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jc w:val="center"/>
        <w:rPr>
          <w:rFonts w:ascii="方正小标宋简体" w:eastAsia="方正小标宋简体"/>
          <w:sz w:val="52"/>
          <w:szCs w:val="52"/>
        </w:rPr>
      </w:pPr>
      <w:bookmarkStart w:id="39" w:name="_GoBack"/>
      <w:bookmarkEnd w:id="39"/>
    </w:p>
    <w:p>
      <w:pPr>
        <w:ind w:firstLine="0" w:firstLineChars="0"/>
        <w:jc w:val="center"/>
        <w:rPr>
          <w:rFonts w:ascii="方正小标宋简体" w:eastAsia="方正小标宋简体"/>
          <w:sz w:val="52"/>
          <w:szCs w:val="52"/>
        </w:rPr>
      </w:pPr>
      <w:r>
        <w:rPr>
          <w:rFonts w:hint="eastAsia" w:ascii="方正小标宋简体" w:eastAsia="方正小标宋简体"/>
          <w:sz w:val="52"/>
          <w:szCs w:val="52"/>
        </w:rPr>
        <w:t>绩效评价报告</w:t>
      </w:r>
    </w:p>
    <w:p>
      <w:pPr>
        <w:ind w:firstLine="640"/>
        <w:jc w:val="center"/>
        <w:rPr>
          <w:rFonts w:ascii="楷体_GB2312" w:eastAsia="楷体_GB2312"/>
          <w:szCs w:val="32"/>
        </w:rPr>
      </w:pPr>
    </w:p>
    <w:p>
      <w:pPr>
        <w:ind w:firstLine="640"/>
        <w:jc w:val="center"/>
        <w:rPr>
          <w:rFonts w:ascii="楷体_GB2312" w:eastAsia="楷体_GB2312"/>
          <w:szCs w:val="32"/>
        </w:rPr>
      </w:pPr>
    </w:p>
    <w:p>
      <w:pPr>
        <w:ind w:firstLine="640"/>
        <w:jc w:val="center"/>
        <w:rPr>
          <w:rFonts w:ascii="楷体_GB2312" w:eastAsia="楷体_GB2312"/>
          <w:szCs w:val="32"/>
        </w:rPr>
      </w:pPr>
    </w:p>
    <w:p>
      <w:pPr>
        <w:ind w:firstLine="640"/>
        <w:jc w:val="center"/>
        <w:rPr>
          <w:rFonts w:ascii="楷体_GB2312" w:eastAsia="楷体_GB2312"/>
          <w:szCs w:val="32"/>
        </w:rPr>
      </w:pPr>
    </w:p>
    <w:p>
      <w:pPr>
        <w:ind w:firstLine="640"/>
        <w:jc w:val="center"/>
        <w:rPr>
          <w:rFonts w:ascii="楷体_GB2312" w:eastAsia="楷体_GB2312"/>
          <w:szCs w:val="32"/>
        </w:rPr>
      </w:pPr>
    </w:p>
    <w:p>
      <w:pPr>
        <w:ind w:firstLine="640"/>
        <w:jc w:val="center"/>
        <w:rPr>
          <w:rFonts w:ascii="楷体_GB2312" w:eastAsia="楷体_GB2312"/>
          <w:szCs w:val="32"/>
        </w:rPr>
      </w:pPr>
    </w:p>
    <w:p>
      <w:pPr>
        <w:ind w:firstLine="640"/>
        <w:jc w:val="center"/>
        <w:rPr>
          <w:rFonts w:ascii="楷体_GB2312" w:eastAsia="楷体_GB2312"/>
          <w:szCs w:val="32"/>
        </w:rPr>
      </w:pPr>
    </w:p>
    <w:p>
      <w:pPr>
        <w:ind w:firstLine="640"/>
        <w:jc w:val="center"/>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ind w:firstLine="640"/>
        <w:jc w:val="center"/>
        <w:rPr>
          <w:rFonts w:ascii="仿宋_GB2312" w:hAnsi="仿宋_GB2312" w:eastAsia="仿宋_GB2312"/>
          <w:szCs w:val="32"/>
          <w:u w:val="single"/>
        </w:rPr>
      </w:pPr>
    </w:p>
    <w:p>
      <w:pPr>
        <w:spacing w:line="600" w:lineRule="exact"/>
        <w:ind w:left="2086" w:leftChars="89" w:hanging="1801" w:hangingChars="563"/>
        <w:rPr>
          <w:rFonts w:ascii="仿宋_GB2312" w:hAnsi="仿宋_GB2312" w:eastAsia="仿宋_GB2312"/>
          <w:szCs w:val="32"/>
          <w:u w:val="single"/>
        </w:rPr>
      </w:pPr>
      <w:r>
        <w:rPr>
          <w:rFonts w:hint="eastAsia" w:ascii="方正小标宋_GBK" w:eastAsia="方正小标宋_GBK"/>
          <w:szCs w:val="32"/>
        </w:rPr>
        <w:t>项目名称：</w:t>
      </w:r>
      <w:r>
        <w:rPr>
          <w:rFonts w:hint="eastAsia" w:eastAsia="仿宋_GB2312"/>
          <w:szCs w:val="32"/>
          <w:u w:val="single"/>
        </w:rPr>
        <w:t>2018</w:t>
      </w:r>
      <w:r>
        <w:rPr>
          <w:rFonts w:hint="eastAsia" w:ascii="仿宋_GB2312" w:hAnsi="仿宋_GB2312" w:eastAsia="仿宋_GB2312"/>
          <w:szCs w:val="32"/>
          <w:u w:val="single"/>
        </w:rPr>
        <w:t>年度湖南衡山萱洲国家湿地公园管理处部门整体支出绩效评价</w:t>
      </w:r>
    </w:p>
    <w:p>
      <w:pPr>
        <w:ind w:left="2086" w:leftChars="89" w:hanging="1801" w:hangingChars="563"/>
        <w:jc w:val="left"/>
        <w:rPr>
          <w:rFonts w:ascii="方正小标宋_GBK" w:eastAsia="方正小标宋_GBK"/>
          <w:szCs w:val="32"/>
          <w:u w:val="single"/>
        </w:rPr>
      </w:pPr>
      <w:r>
        <w:rPr>
          <w:rFonts w:hint="eastAsia" w:ascii="方正小标宋_GBK" w:eastAsia="方正小标宋_GBK"/>
          <w:szCs w:val="32"/>
        </w:rPr>
        <w:t>主管部门：</w:t>
      </w:r>
      <w:r>
        <w:rPr>
          <w:rFonts w:hint="eastAsia" w:ascii="仿宋_GB2312" w:hAnsi="仿宋_GB2312" w:eastAsia="仿宋_GB2312"/>
          <w:szCs w:val="32"/>
          <w:u w:val="single"/>
        </w:rPr>
        <w:t>衡山县财政局</w:t>
      </w:r>
    </w:p>
    <w:p>
      <w:pPr>
        <w:ind w:left="2086" w:leftChars="89" w:hanging="1801" w:hangingChars="563"/>
        <w:jc w:val="left"/>
        <w:rPr>
          <w:rFonts w:ascii="方正小标宋_GBK" w:eastAsia="方正小标宋_GBK"/>
          <w:szCs w:val="32"/>
          <w:u w:val="single"/>
        </w:rPr>
      </w:pPr>
      <w:r>
        <w:rPr>
          <w:rFonts w:hint="eastAsia" w:ascii="方正小标宋_GBK" w:eastAsia="方正小标宋_GBK"/>
          <w:szCs w:val="32"/>
        </w:rPr>
        <w:t>组织单位：</w:t>
      </w:r>
      <w:r>
        <w:rPr>
          <w:rFonts w:hint="eastAsia" w:ascii="仿宋_GB2312" w:hAnsi="仿宋_GB2312" w:eastAsia="仿宋_GB2312"/>
          <w:szCs w:val="32"/>
          <w:u w:val="single"/>
        </w:rPr>
        <w:t>湖南衡山萱洲国家湿地公园管理处</w:t>
      </w:r>
    </w:p>
    <w:p>
      <w:pPr>
        <w:ind w:left="2086" w:leftChars="89" w:hanging="1801" w:hangingChars="563"/>
        <w:jc w:val="left"/>
        <w:rPr>
          <w:rFonts w:ascii="方正小标宋_GBK" w:eastAsia="方正小标宋_GBK"/>
          <w:szCs w:val="32"/>
          <w:u w:val="single"/>
        </w:rPr>
      </w:pPr>
      <w:r>
        <w:rPr>
          <w:rFonts w:hint="eastAsia" w:ascii="方正小标宋_GBK" w:eastAsia="方正小标宋_GBK"/>
          <w:szCs w:val="32"/>
        </w:rPr>
        <w:t>实施机构：</w:t>
      </w:r>
      <w:r>
        <w:rPr>
          <w:rFonts w:hint="eastAsia" w:ascii="仿宋_GB2312" w:hAnsi="仿宋_GB2312" w:eastAsia="仿宋_GB2312"/>
          <w:szCs w:val="32"/>
          <w:u w:val="single"/>
        </w:rPr>
        <w:t xml:space="preserve">湖南宏丰益联合会计师事务所    </w:t>
      </w:r>
    </w:p>
    <w:p>
      <w:pPr>
        <w:ind w:firstLine="320" w:firstLineChars="100"/>
        <w:jc w:val="left"/>
        <w:rPr>
          <w:rFonts w:ascii="方正小标宋_GBK" w:eastAsia="方正小标宋_GBK"/>
          <w:szCs w:val="32"/>
          <w:u w:val="single"/>
        </w:rPr>
      </w:pPr>
    </w:p>
    <w:p>
      <w:pPr>
        <w:ind w:firstLine="320" w:firstLineChars="100"/>
        <w:jc w:val="left"/>
        <w:rPr>
          <w:rFonts w:ascii="方正小标宋_GBK" w:eastAsia="方正小标宋_GBK"/>
          <w:szCs w:val="32"/>
          <w:u w:val="single"/>
        </w:rPr>
      </w:pPr>
    </w:p>
    <w:p>
      <w:pPr>
        <w:ind w:firstLine="320" w:firstLineChars="100"/>
        <w:jc w:val="left"/>
        <w:rPr>
          <w:rFonts w:ascii="方正小标宋_GBK" w:eastAsia="方正小标宋_GBK"/>
          <w:szCs w:val="32"/>
          <w:u w:val="single"/>
        </w:rPr>
      </w:pPr>
    </w:p>
    <w:p>
      <w:pPr>
        <w:ind w:firstLine="321" w:firstLineChars="100"/>
        <w:jc w:val="center"/>
        <w:rPr>
          <w:rFonts w:ascii="楷体_GB2312" w:eastAsia="楷体_GB2312"/>
          <w:b/>
          <w:szCs w:val="32"/>
        </w:rPr>
      </w:pPr>
      <w:r>
        <w:rPr>
          <w:rFonts w:hint="eastAsia" w:eastAsia="楷体_GB2312"/>
          <w:b/>
          <w:szCs w:val="32"/>
        </w:rPr>
        <w:t>2019</w:t>
      </w:r>
      <w:r>
        <w:rPr>
          <w:rFonts w:hint="eastAsia" w:ascii="楷体_GB2312" w:eastAsia="楷体_GB2312"/>
          <w:b/>
          <w:szCs w:val="32"/>
        </w:rPr>
        <w:t>年</w:t>
      </w:r>
      <w:r>
        <w:rPr>
          <w:rFonts w:hint="eastAsia" w:eastAsia="楷体_GB2312"/>
          <w:b/>
          <w:szCs w:val="32"/>
        </w:rPr>
        <w:t>12</w:t>
      </w:r>
      <w:r>
        <w:rPr>
          <w:rFonts w:hint="eastAsia" w:ascii="楷体_GB2312" w:eastAsia="楷体_GB2312"/>
          <w:b/>
          <w:szCs w:val="32"/>
        </w:rPr>
        <w:t>月</w:t>
      </w:r>
      <w:r>
        <w:rPr>
          <w:rFonts w:hint="eastAsia" w:eastAsia="楷体_GB2312"/>
          <w:b/>
          <w:szCs w:val="32"/>
        </w:rPr>
        <w:t>6</w:t>
      </w:r>
      <w:r>
        <w:rPr>
          <w:rFonts w:hint="eastAsia" w:ascii="楷体_GB2312" w:eastAsia="楷体_GB2312"/>
          <w:b/>
          <w:szCs w:val="32"/>
        </w:rPr>
        <w:t>日</w:t>
      </w:r>
    </w:p>
    <w:p>
      <w:pPr>
        <w:spacing w:line="600" w:lineRule="exact"/>
        <w:ind w:firstLine="867"/>
        <w:jc w:val="center"/>
        <w:rPr>
          <w:rFonts w:ascii="宋体" w:hAnsi="宋体"/>
          <w:b/>
          <w:color w:val="000000"/>
          <w:spacing w:val="-4"/>
          <w:sz w:val="44"/>
          <w:szCs w:val="44"/>
        </w:rPr>
        <w:sectPr>
          <w:headerReference r:id="rId5" w:type="first"/>
          <w:footerReference r:id="rId8" w:type="first"/>
          <w:headerReference r:id="rId3" w:type="default"/>
          <w:footerReference r:id="rId6" w:type="default"/>
          <w:headerReference r:id="rId4" w:type="even"/>
          <w:footerReference r:id="rId7" w:type="even"/>
          <w:pgSz w:w="11907" w:h="16840"/>
          <w:pgMar w:top="1134" w:right="1474" w:bottom="1134" w:left="1474" w:header="851" w:footer="1701" w:gutter="0"/>
          <w:pgNumType w:start="1"/>
          <w:cols w:space="720" w:num="1"/>
          <w:docGrid w:linePitch="312" w:charSpace="0"/>
        </w:sectPr>
      </w:pPr>
    </w:p>
    <w:p>
      <w:pPr>
        <w:spacing w:line="600" w:lineRule="exact"/>
        <w:ind w:firstLine="0" w:firstLineChars="0"/>
        <w:jc w:val="center"/>
        <w:rPr>
          <w:rFonts w:ascii="仿宋" w:hAnsi="仿宋"/>
          <w:b/>
          <w:color w:val="000000"/>
          <w:spacing w:val="-4"/>
          <w:sz w:val="44"/>
          <w:szCs w:val="44"/>
        </w:rPr>
      </w:pPr>
      <w:r>
        <w:rPr>
          <w:rFonts w:hint="eastAsia" w:ascii="仿宋" w:hAnsi="仿宋"/>
          <w:b/>
          <w:color w:val="000000"/>
          <w:spacing w:val="-4"/>
          <w:sz w:val="44"/>
          <w:szCs w:val="44"/>
        </w:rPr>
        <w:t>目 录</w:t>
      </w:r>
    </w:p>
    <w:p>
      <w:pPr>
        <w:pStyle w:val="8"/>
        <w:tabs>
          <w:tab w:val="right" w:leader="dot" w:pos="8949"/>
        </w:tabs>
        <w:spacing w:line="340" w:lineRule="atLeast"/>
        <w:ind w:firstLine="482"/>
        <w:rPr>
          <w:rFonts w:ascii="仿宋" w:hAnsi="仿宋" w:cstheme="minorBidi"/>
          <w:sz w:val="24"/>
        </w:rPr>
      </w:pPr>
      <w:r>
        <w:rPr>
          <w:rFonts w:ascii="仿宋" w:hAnsi="仿宋"/>
          <w:b/>
          <w:color w:val="000000"/>
          <w:spacing w:val="-4"/>
          <w:sz w:val="24"/>
        </w:rPr>
        <w:fldChar w:fldCharType="begin"/>
      </w:r>
      <w:r>
        <w:rPr>
          <w:rFonts w:ascii="仿宋" w:hAnsi="仿宋"/>
          <w:b/>
          <w:color w:val="000000"/>
          <w:spacing w:val="-4"/>
          <w:sz w:val="24"/>
        </w:rPr>
        <w:instrText xml:space="preserve"> </w:instrText>
      </w:r>
      <w:r>
        <w:rPr>
          <w:rFonts w:hint="eastAsia" w:ascii="仿宋" w:hAnsi="仿宋"/>
          <w:b/>
          <w:color w:val="000000"/>
          <w:spacing w:val="-4"/>
          <w:sz w:val="24"/>
        </w:rPr>
        <w:instrText xml:space="preserve">TOC \o "1-3" \h \z \u</w:instrText>
      </w:r>
      <w:r>
        <w:rPr>
          <w:rFonts w:ascii="仿宋" w:hAnsi="仿宋"/>
          <w:b/>
          <w:color w:val="000000"/>
          <w:spacing w:val="-4"/>
          <w:sz w:val="24"/>
        </w:rPr>
        <w:instrText xml:space="preserve"> </w:instrText>
      </w:r>
      <w:r>
        <w:rPr>
          <w:rFonts w:ascii="仿宋" w:hAnsi="仿宋"/>
          <w:b/>
          <w:color w:val="000000"/>
          <w:spacing w:val="-4"/>
          <w:sz w:val="24"/>
        </w:rPr>
        <w:fldChar w:fldCharType="separate"/>
      </w:r>
      <w:r>
        <w:fldChar w:fldCharType="begin"/>
      </w:r>
      <w:r>
        <w:instrText xml:space="preserve"> HYPERLINK \l "_Toc33521241" </w:instrText>
      </w:r>
      <w:r>
        <w:fldChar w:fldCharType="separate"/>
      </w:r>
      <w:r>
        <w:rPr>
          <w:rStyle w:val="18"/>
          <w:rFonts w:hint="eastAsia" w:ascii="仿宋" w:hAnsi="仿宋"/>
          <w:kern w:val="0"/>
          <w:sz w:val="24"/>
        </w:rPr>
        <w:t>一、部门概况</w:t>
      </w:r>
      <w:r>
        <w:rPr>
          <w:rFonts w:ascii="仿宋" w:hAnsi="仿宋"/>
          <w:sz w:val="24"/>
        </w:rPr>
        <w:tab/>
      </w:r>
      <w:r>
        <w:rPr>
          <w:rFonts w:ascii="仿宋" w:hAnsi="仿宋"/>
          <w:sz w:val="24"/>
        </w:rPr>
        <w:fldChar w:fldCharType="begin"/>
      </w:r>
      <w:r>
        <w:rPr>
          <w:rFonts w:ascii="仿宋" w:hAnsi="仿宋"/>
          <w:sz w:val="24"/>
        </w:rPr>
        <w:instrText xml:space="preserve"> PAGEREF _Toc33521241 \h </w:instrText>
      </w:r>
      <w:r>
        <w:rPr>
          <w:rFonts w:ascii="仿宋" w:hAnsi="仿宋"/>
          <w:sz w:val="24"/>
        </w:rPr>
        <w:fldChar w:fldCharType="separate"/>
      </w:r>
      <w:r>
        <w:rPr>
          <w:rFonts w:ascii="仿宋" w:hAnsi="仿宋"/>
          <w:sz w:val="24"/>
        </w:rPr>
        <w:t>1</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"_Toc33521242" </w:instrText>
      </w:r>
      <w:r>
        <w:fldChar w:fldCharType="separate"/>
      </w:r>
      <w:r>
        <w:rPr>
          <w:rStyle w:val="18"/>
          <w:rFonts w:hint="eastAsia" w:ascii="仿宋" w:hAnsi="仿宋"/>
          <w:kern w:val="0"/>
          <w:sz w:val="24"/>
        </w:rPr>
        <w:t>（一）部门职能职责</w:t>
      </w:r>
      <w:r>
        <w:rPr>
          <w:rFonts w:ascii="仿宋" w:hAnsi="仿宋"/>
          <w:sz w:val="24"/>
        </w:rPr>
        <w:tab/>
      </w:r>
      <w:r>
        <w:rPr>
          <w:rFonts w:ascii="仿宋" w:hAnsi="仿宋"/>
          <w:sz w:val="24"/>
        </w:rPr>
        <w:fldChar w:fldCharType="begin"/>
      </w:r>
      <w:r>
        <w:rPr>
          <w:rFonts w:ascii="仿宋" w:hAnsi="仿宋"/>
          <w:sz w:val="24"/>
        </w:rPr>
        <w:instrText xml:space="preserve"> PAGEREF _Toc33521242 \h </w:instrText>
      </w:r>
      <w:r>
        <w:rPr>
          <w:rFonts w:ascii="仿宋" w:hAnsi="仿宋"/>
          <w:sz w:val="24"/>
        </w:rPr>
        <w:fldChar w:fldCharType="separate"/>
      </w:r>
      <w:r>
        <w:rPr>
          <w:rFonts w:ascii="仿宋" w:hAnsi="仿宋"/>
          <w:sz w:val="24"/>
        </w:rPr>
        <w:t>1</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"_Toc33521243" </w:instrText>
      </w:r>
      <w:r>
        <w:fldChar w:fldCharType="separate"/>
      </w:r>
      <w:r>
        <w:rPr>
          <w:rStyle w:val="18"/>
          <w:rFonts w:hint="eastAsia" w:ascii="仿宋" w:hAnsi="仿宋"/>
          <w:kern w:val="0"/>
          <w:sz w:val="24"/>
        </w:rPr>
        <w:t>（二）机构设置情况</w:t>
      </w:r>
      <w:r>
        <w:rPr>
          <w:rFonts w:ascii="仿宋" w:hAnsi="仿宋"/>
          <w:sz w:val="24"/>
        </w:rPr>
        <w:tab/>
      </w:r>
      <w:r>
        <w:rPr>
          <w:rFonts w:ascii="仿宋" w:hAnsi="仿宋"/>
          <w:sz w:val="24"/>
        </w:rPr>
        <w:fldChar w:fldCharType="begin"/>
      </w:r>
      <w:r>
        <w:rPr>
          <w:rFonts w:ascii="仿宋" w:hAnsi="仿宋"/>
          <w:sz w:val="24"/>
        </w:rPr>
        <w:instrText xml:space="preserve"> PAGEREF _Toc33521243 \h </w:instrText>
      </w:r>
      <w:r>
        <w:rPr>
          <w:rFonts w:ascii="仿宋" w:hAnsi="仿宋"/>
          <w:sz w:val="24"/>
        </w:rPr>
        <w:fldChar w:fldCharType="separate"/>
      </w:r>
      <w:r>
        <w:rPr>
          <w:rFonts w:ascii="仿宋" w:hAnsi="仿宋"/>
          <w:sz w:val="24"/>
        </w:rPr>
        <w:t>2</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"_Toc33521244" </w:instrText>
      </w:r>
      <w:r>
        <w:fldChar w:fldCharType="separate"/>
      </w:r>
      <w:r>
        <w:rPr>
          <w:rStyle w:val="18"/>
          <w:rFonts w:hint="eastAsia" w:ascii="仿宋" w:hAnsi="仿宋"/>
          <w:kern w:val="0"/>
          <w:sz w:val="24"/>
        </w:rPr>
        <w:t>（三）人员编制情况</w:t>
      </w:r>
      <w:r>
        <w:rPr>
          <w:rFonts w:ascii="仿宋" w:hAnsi="仿宋"/>
          <w:sz w:val="24"/>
        </w:rPr>
        <w:tab/>
      </w:r>
      <w:r>
        <w:rPr>
          <w:rFonts w:ascii="仿宋" w:hAnsi="仿宋"/>
          <w:sz w:val="24"/>
        </w:rPr>
        <w:fldChar w:fldCharType="begin"/>
      </w:r>
      <w:r>
        <w:rPr>
          <w:rFonts w:ascii="仿宋" w:hAnsi="仿宋"/>
          <w:sz w:val="24"/>
        </w:rPr>
        <w:instrText xml:space="preserve"> PAGEREF _Toc33521244 \h </w:instrText>
      </w:r>
      <w:r>
        <w:rPr>
          <w:rFonts w:ascii="仿宋" w:hAnsi="仿宋"/>
          <w:sz w:val="24"/>
        </w:rPr>
        <w:fldChar w:fldCharType="separate"/>
      </w:r>
      <w:r>
        <w:rPr>
          <w:rFonts w:ascii="仿宋" w:hAnsi="仿宋"/>
          <w:sz w:val="24"/>
        </w:rPr>
        <w:t>3</w:t>
      </w:r>
      <w:r>
        <w:rPr>
          <w:rFonts w:ascii="仿宋" w:hAnsi="仿宋"/>
          <w:sz w:val="24"/>
        </w:rPr>
        <w:fldChar w:fldCharType="end"/>
      </w:r>
      <w:r>
        <w:rPr>
          <w:rFonts w:ascii="仿宋" w:hAnsi="仿宋"/>
          <w:sz w:val="24"/>
        </w:rPr>
        <w:fldChar w:fldCharType="end"/>
      </w:r>
    </w:p>
    <w:p>
      <w:pPr>
        <w:pStyle w:val="8"/>
        <w:tabs>
          <w:tab w:val="right" w:leader="dot" w:pos="8949"/>
        </w:tabs>
        <w:spacing w:line="340" w:lineRule="atLeast"/>
        <w:ind w:firstLine="480"/>
        <w:rPr>
          <w:rFonts w:ascii="仿宋" w:hAnsi="仿宋" w:cstheme="minorBidi"/>
          <w:sz w:val="24"/>
        </w:rPr>
      </w:pPr>
      <w:r>
        <w:fldChar w:fldCharType="begin"/>
      </w:r>
      <w:r>
        <w:instrText xml:space="preserve"> HYPERLINK \l "_Toc33521245" </w:instrText>
      </w:r>
      <w:r>
        <w:fldChar w:fldCharType="separate"/>
      </w:r>
      <w:r>
        <w:rPr>
          <w:rStyle w:val="18"/>
          <w:rFonts w:hint="eastAsia" w:ascii="仿宋" w:hAnsi="仿宋"/>
          <w:kern w:val="0"/>
          <w:sz w:val="24"/>
        </w:rPr>
        <w:t>二、部门整体支出管理及使用情况</w:t>
      </w:r>
      <w:r>
        <w:rPr>
          <w:rFonts w:ascii="仿宋" w:hAnsi="仿宋"/>
          <w:sz w:val="24"/>
        </w:rPr>
        <w:tab/>
      </w:r>
      <w:r>
        <w:rPr>
          <w:rFonts w:ascii="仿宋" w:hAnsi="仿宋"/>
          <w:sz w:val="24"/>
        </w:rPr>
        <w:fldChar w:fldCharType="begin"/>
      </w:r>
      <w:r>
        <w:rPr>
          <w:rFonts w:ascii="仿宋" w:hAnsi="仿宋"/>
          <w:sz w:val="24"/>
        </w:rPr>
        <w:instrText xml:space="preserve"> PAGEREF _Toc33521245 \h </w:instrText>
      </w:r>
      <w:r>
        <w:rPr>
          <w:rFonts w:ascii="仿宋" w:hAnsi="仿宋"/>
          <w:sz w:val="24"/>
        </w:rPr>
        <w:fldChar w:fldCharType="separate"/>
      </w:r>
      <w:r>
        <w:rPr>
          <w:rFonts w:ascii="仿宋" w:hAnsi="仿宋"/>
          <w:sz w:val="24"/>
        </w:rPr>
        <w:t>3</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"_Toc33521246" </w:instrText>
      </w:r>
      <w:r>
        <w:fldChar w:fldCharType="separate"/>
      </w:r>
      <w:r>
        <w:rPr>
          <w:rStyle w:val="18"/>
          <w:rFonts w:hint="eastAsia" w:ascii="仿宋" w:hAnsi="仿宋"/>
          <w:kern w:val="0"/>
          <w:sz w:val="24"/>
        </w:rPr>
        <w:t>（一）</w:t>
      </w:r>
      <w:r>
        <w:rPr>
          <w:rStyle w:val="18"/>
          <w:rFonts w:ascii="仿宋" w:hAnsi="仿宋"/>
          <w:kern w:val="0"/>
          <w:sz w:val="24"/>
        </w:rPr>
        <w:t>2018</w:t>
      </w:r>
      <w:r>
        <w:rPr>
          <w:rStyle w:val="18"/>
          <w:rFonts w:hint="eastAsia" w:ascii="仿宋" w:hAnsi="仿宋"/>
          <w:kern w:val="0"/>
          <w:sz w:val="24"/>
        </w:rPr>
        <w:t>年部门预算情况</w:t>
      </w:r>
      <w:r>
        <w:rPr>
          <w:rFonts w:ascii="仿宋" w:hAnsi="仿宋"/>
          <w:sz w:val="24"/>
        </w:rPr>
        <w:tab/>
      </w:r>
      <w:r>
        <w:rPr>
          <w:rFonts w:ascii="仿宋" w:hAnsi="仿宋"/>
          <w:sz w:val="24"/>
        </w:rPr>
        <w:fldChar w:fldCharType="begin"/>
      </w:r>
      <w:r>
        <w:rPr>
          <w:rFonts w:ascii="仿宋" w:hAnsi="仿宋"/>
          <w:sz w:val="24"/>
        </w:rPr>
        <w:instrText xml:space="preserve"> PAGEREF _Toc33521246 \h </w:instrText>
      </w:r>
      <w:r>
        <w:rPr>
          <w:rFonts w:ascii="仿宋" w:hAnsi="仿宋"/>
          <w:sz w:val="24"/>
        </w:rPr>
        <w:fldChar w:fldCharType="separate"/>
      </w:r>
      <w:r>
        <w:rPr>
          <w:rFonts w:ascii="仿宋" w:hAnsi="仿宋"/>
          <w:sz w:val="24"/>
        </w:rPr>
        <w:t>3</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"_Toc33521247" </w:instrText>
      </w:r>
      <w:r>
        <w:fldChar w:fldCharType="separate"/>
      </w:r>
      <w:r>
        <w:rPr>
          <w:rStyle w:val="18"/>
          <w:rFonts w:hint="eastAsia" w:ascii="仿宋" w:hAnsi="仿宋"/>
          <w:kern w:val="0"/>
          <w:sz w:val="24"/>
        </w:rPr>
        <w:t>（二）</w:t>
      </w:r>
      <w:r>
        <w:rPr>
          <w:rStyle w:val="18"/>
          <w:rFonts w:ascii="仿宋" w:hAnsi="仿宋"/>
          <w:kern w:val="0"/>
          <w:sz w:val="24"/>
        </w:rPr>
        <w:t>2018</w:t>
      </w:r>
      <w:r>
        <w:rPr>
          <w:rStyle w:val="18"/>
          <w:rFonts w:hint="eastAsia" w:ascii="仿宋" w:hAnsi="仿宋"/>
          <w:kern w:val="0"/>
          <w:sz w:val="24"/>
        </w:rPr>
        <w:t>年部门决算情况</w:t>
      </w:r>
      <w:r>
        <w:rPr>
          <w:rFonts w:ascii="仿宋" w:hAnsi="仿宋"/>
          <w:sz w:val="24"/>
        </w:rPr>
        <w:tab/>
      </w:r>
      <w:r>
        <w:rPr>
          <w:rFonts w:ascii="仿宋" w:hAnsi="仿宋"/>
          <w:sz w:val="24"/>
        </w:rPr>
        <w:fldChar w:fldCharType="begin"/>
      </w:r>
      <w:r>
        <w:rPr>
          <w:rFonts w:ascii="仿宋" w:hAnsi="仿宋"/>
          <w:sz w:val="24"/>
        </w:rPr>
        <w:instrText xml:space="preserve"> PAGEREF _Toc33521247 \h </w:instrText>
      </w:r>
      <w:r>
        <w:rPr>
          <w:rFonts w:ascii="仿宋" w:hAnsi="仿宋"/>
          <w:sz w:val="24"/>
        </w:rPr>
        <w:fldChar w:fldCharType="separate"/>
      </w:r>
      <w:r>
        <w:rPr>
          <w:rFonts w:ascii="仿宋" w:hAnsi="仿宋"/>
          <w:sz w:val="24"/>
        </w:rPr>
        <w:t>3</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"_Toc33521248" </w:instrText>
      </w:r>
      <w:r>
        <w:fldChar w:fldCharType="separate"/>
      </w:r>
      <w:r>
        <w:rPr>
          <w:rStyle w:val="18"/>
          <w:rFonts w:hint="eastAsia" w:ascii="仿宋" w:hAnsi="仿宋"/>
          <w:kern w:val="0"/>
          <w:sz w:val="24"/>
        </w:rPr>
        <w:t>（三）</w:t>
      </w:r>
      <w:r>
        <w:rPr>
          <w:rStyle w:val="18"/>
          <w:rFonts w:ascii="仿宋" w:hAnsi="仿宋"/>
          <w:kern w:val="0"/>
          <w:sz w:val="24"/>
        </w:rPr>
        <w:t>2018</w:t>
      </w:r>
      <w:r>
        <w:rPr>
          <w:rStyle w:val="18"/>
          <w:rFonts w:hint="eastAsia" w:ascii="仿宋" w:hAnsi="仿宋"/>
          <w:kern w:val="0"/>
          <w:sz w:val="24"/>
        </w:rPr>
        <w:t>年支出分类情况</w:t>
      </w:r>
      <w:r>
        <w:rPr>
          <w:rFonts w:ascii="仿宋" w:hAnsi="仿宋"/>
          <w:sz w:val="24"/>
        </w:rPr>
        <w:tab/>
      </w:r>
      <w:r>
        <w:rPr>
          <w:rFonts w:ascii="仿宋" w:hAnsi="仿宋"/>
          <w:sz w:val="24"/>
        </w:rPr>
        <w:fldChar w:fldCharType="begin"/>
      </w:r>
      <w:r>
        <w:rPr>
          <w:rFonts w:ascii="仿宋" w:hAnsi="仿宋"/>
          <w:sz w:val="24"/>
        </w:rPr>
        <w:instrText xml:space="preserve"> PAGEREF _Toc33521248 \h </w:instrText>
      </w:r>
      <w:r>
        <w:rPr>
          <w:rFonts w:ascii="仿宋" w:hAnsi="仿宋"/>
          <w:sz w:val="24"/>
        </w:rPr>
        <w:fldChar w:fldCharType="separate"/>
      </w:r>
      <w:r>
        <w:rPr>
          <w:rFonts w:ascii="仿宋" w:hAnsi="仿宋"/>
          <w:sz w:val="24"/>
        </w:rPr>
        <w:t>4</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"_Toc33521249" </w:instrText>
      </w:r>
      <w:r>
        <w:fldChar w:fldCharType="separate"/>
      </w:r>
      <w:r>
        <w:rPr>
          <w:rStyle w:val="18"/>
          <w:rFonts w:ascii="仿宋" w:hAnsi="仿宋"/>
          <w:kern w:val="0"/>
          <w:sz w:val="24"/>
        </w:rPr>
        <w:t>1</w:t>
      </w:r>
      <w:r>
        <w:rPr>
          <w:rStyle w:val="18"/>
          <w:rFonts w:hint="eastAsia" w:ascii="仿宋" w:hAnsi="仿宋"/>
          <w:kern w:val="0"/>
          <w:sz w:val="24"/>
        </w:rPr>
        <w:t>、基本支出</w:t>
      </w:r>
      <w:r>
        <w:rPr>
          <w:rFonts w:ascii="仿宋" w:hAnsi="仿宋"/>
          <w:sz w:val="24"/>
        </w:rPr>
        <w:tab/>
      </w:r>
      <w:r>
        <w:rPr>
          <w:rFonts w:ascii="仿宋" w:hAnsi="仿宋"/>
          <w:sz w:val="24"/>
        </w:rPr>
        <w:fldChar w:fldCharType="begin"/>
      </w:r>
      <w:r>
        <w:rPr>
          <w:rFonts w:ascii="仿宋" w:hAnsi="仿宋"/>
          <w:sz w:val="24"/>
        </w:rPr>
        <w:instrText xml:space="preserve"> PAGEREF _Toc33521249 \h </w:instrText>
      </w:r>
      <w:r>
        <w:rPr>
          <w:rFonts w:ascii="仿宋" w:hAnsi="仿宋"/>
          <w:sz w:val="24"/>
        </w:rPr>
        <w:fldChar w:fldCharType="separate"/>
      </w:r>
      <w:r>
        <w:rPr>
          <w:rFonts w:ascii="仿宋" w:hAnsi="仿宋"/>
          <w:sz w:val="24"/>
        </w:rPr>
        <w:t>4</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"_Toc33521250" </w:instrText>
      </w:r>
      <w:r>
        <w:fldChar w:fldCharType="separate"/>
      </w:r>
      <w:r>
        <w:rPr>
          <w:rStyle w:val="18"/>
          <w:rFonts w:ascii="仿宋" w:hAnsi="仿宋"/>
          <w:kern w:val="0"/>
          <w:sz w:val="24"/>
        </w:rPr>
        <w:t>2</w:t>
      </w:r>
      <w:r>
        <w:rPr>
          <w:rStyle w:val="18"/>
          <w:rFonts w:hint="eastAsia" w:ascii="仿宋" w:hAnsi="仿宋"/>
          <w:kern w:val="0"/>
          <w:sz w:val="24"/>
        </w:rPr>
        <w:t>、项目支出</w:t>
      </w:r>
      <w:r>
        <w:rPr>
          <w:rFonts w:ascii="仿宋" w:hAnsi="仿宋"/>
          <w:sz w:val="24"/>
        </w:rPr>
        <w:tab/>
      </w:r>
      <w:r>
        <w:rPr>
          <w:rFonts w:ascii="仿宋" w:hAnsi="仿宋"/>
          <w:sz w:val="24"/>
        </w:rPr>
        <w:fldChar w:fldCharType="begin"/>
      </w:r>
      <w:r>
        <w:rPr>
          <w:rFonts w:ascii="仿宋" w:hAnsi="仿宋"/>
          <w:sz w:val="24"/>
        </w:rPr>
        <w:instrText xml:space="preserve"> PAGEREF _Toc33521250 \h </w:instrText>
      </w:r>
      <w:r>
        <w:rPr>
          <w:rFonts w:ascii="仿宋" w:hAnsi="仿宋"/>
          <w:sz w:val="24"/>
        </w:rPr>
        <w:fldChar w:fldCharType="separate"/>
      </w:r>
      <w:r>
        <w:rPr>
          <w:rFonts w:ascii="仿宋" w:hAnsi="仿宋"/>
          <w:sz w:val="24"/>
        </w:rPr>
        <w:t>4</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"_Toc33521251" </w:instrText>
      </w:r>
      <w:r>
        <w:fldChar w:fldCharType="separate"/>
      </w:r>
      <w:r>
        <w:rPr>
          <w:rStyle w:val="18"/>
          <w:rFonts w:hint="eastAsia" w:ascii="仿宋" w:hAnsi="仿宋"/>
          <w:kern w:val="0"/>
          <w:sz w:val="24"/>
        </w:rPr>
        <w:t>（四）</w:t>
      </w:r>
      <w:r>
        <w:rPr>
          <w:rStyle w:val="18"/>
          <w:rFonts w:ascii="仿宋" w:hAnsi="仿宋"/>
          <w:kern w:val="0"/>
          <w:sz w:val="24"/>
        </w:rPr>
        <w:t xml:space="preserve"> </w:t>
      </w:r>
      <w:r>
        <w:rPr>
          <w:rStyle w:val="18"/>
          <w:rFonts w:hint="eastAsia" w:ascii="仿宋" w:hAnsi="仿宋"/>
          <w:kern w:val="0"/>
          <w:sz w:val="24"/>
        </w:rPr>
        <w:t>“三公”经费情况</w:t>
      </w:r>
      <w:r>
        <w:rPr>
          <w:rFonts w:ascii="仿宋" w:hAnsi="仿宋"/>
          <w:sz w:val="24"/>
        </w:rPr>
        <w:tab/>
      </w:r>
      <w:r>
        <w:rPr>
          <w:rFonts w:ascii="仿宋" w:hAnsi="仿宋"/>
          <w:sz w:val="24"/>
        </w:rPr>
        <w:fldChar w:fldCharType="begin"/>
      </w:r>
      <w:r>
        <w:rPr>
          <w:rFonts w:ascii="仿宋" w:hAnsi="仿宋"/>
          <w:sz w:val="24"/>
        </w:rPr>
        <w:instrText xml:space="preserve"> PAGEREF _Toc33521251 \h </w:instrText>
      </w:r>
      <w:r>
        <w:rPr>
          <w:rFonts w:ascii="仿宋" w:hAnsi="仿宋"/>
          <w:sz w:val="24"/>
        </w:rPr>
        <w:fldChar w:fldCharType="separate"/>
      </w:r>
      <w:r>
        <w:rPr>
          <w:rFonts w:ascii="仿宋" w:hAnsi="仿宋"/>
          <w:sz w:val="24"/>
        </w:rPr>
        <w:t>4</w:t>
      </w:r>
      <w:r>
        <w:rPr>
          <w:rFonts w:ascii="仿宋" w:hAnsi="仿宋"/>
          <w:sz w:val="24"/>
        </w:rPr>
        <w:fldChar w:fldCharType="end"/>
      </w:r>
      <w:r>
        <w:rPr>
          <w:rFonts w:ascii="仿宋" w:hAnsi="仿宋"/>
          <w:sz w:val="24"/>
        </w:rPr>
        <w:fldChar w:fldCharType="end"/>
      </w:r>
    </w:p>
    <w:p>
      <w:pPr>
        <w:pStyle w:val="8"/>
        <w:tabs>
          <w:tab w:val="right" w:leader="dot" w:pos="8949"/>
        </w:tabs>
        <w:spacing w:line="340" w:lineRule="atLeast"/>
        <w:ind w:firstLine="480"/>
        <w:rPr>
          <w:rFonts w:ascii="仿宋" w:hAnsi="仿宋" w:cstheme="minorBidi"/>
          <w:sz w:val="24"/>
        </w:rPr>
      </w:pPr>
      <w:r>
        <w:fldChar w:fldCharType="begin"/>
      </w:r>
      <w:r>
        <w:instrText xml:space="preserve"> HYPERLINK \l "_Toc33521252" </w:instrText>
      </w:r>
      <w:r>
        <w:fldChar w:fldCharType="separate"/>
      </w:r>
      <w:r>
        <w:rPr>
          <w:rStyle w:val="18"/>
          <w:rFonts w:hint="eastAsia" w:ascii="仿宋" w:hAnsi="仿宋"/>
          <w:kern w:val="0"/>
          <w:sz w:val="24"/>
        </w:rPr>
        <w:t>三、资产管理情况</w:t>
      </w:r>
      <w:r>
        <w:rPr>
          <w:rFonts w:ascii="仿宋" w:hAnsi="仿宋"/>
          <w:sz w:val="24"/>
        </w:rPr>
        <w:tab/>
      </w:r>
      <w:r>
        <w:rPr>
          <w:rFonts w:ascii="仿宋" w:hAnsi="仿宋"/>
          <w:sz w:val="24"/>
        </w:rPr>
        <w:fldChar w:fldCharType="begin"/>
      </w:r>
      <w:r>
        <w:rPr>
          <w:rFonts w:ascii="仿宋" w:hAnsi="仿宋"/>
          <w:sz w:val="24"/>
        </w:rPr>
        <w:instrText xml:space="preserve"> PAGEREF _Toc33521252 \h </w:instrText>
      </w:r>
      <w:r>
        <w:rPr>
          <w:rFonts w:ascii="仿宋" w:hAnsi="仿宋"/>
          <w:sz w:val="24"/>
        </w:rPr>
        <w:fldChar w:fldCharType="separate"/>
      </w:r>
      <w:r>
        <w:rPr>
          <w:rFonts w:ascii="仿宋" w:hAnsi="仿宋"/>
          <w:sz w:val="24"/>
        </w:rPr>
        <w:t>5</w:t>
      </w:r>
      <w:r>
        <w:rPr>
          <w:rFonts w:ascii="仿宋" w:hAnsi="仿宋"/>
          <w:sz w:val="24"/>
        </w:rPr>
        <w:fldChar w:fldCharType="end"/>
      </w:r>
      <w:r>
        <w:rPr>
          <w:rFonts w:ascii="仿宋" w:hAnsi="仿宋"/>
          <w:sz w:val="24"/>
        </w:rPr>
        <w:fldChar w:fldCharType="end"/>
      </w:r>
    </w:p>
    <w:p>
      <w:pPr>
        <w:pStyle w:val="8"/>
        <w:tabs>
          <w:tab w:val="right" w:leader="dot" w:pos="8949"/>
        </w:tabs>
        <w:spacing w:line="340" w:lineRule="atLeast"/>
        <w:ind w:firstLine="480"/>
        <w:rPr>
          <w:rFonts w:ascii="仿宋" w:hAnsi="仿宋" w:cstheme="minorBidi"/>
          <w:sz w:val="24"/>
        </w:rPr>
      </w:pPr>
      <w:r>
        <w:fldChar w:fldCharType="begin"/>
      </w:r>
      <w:r>
        <w:instrText xml:space="preserve"> HYPERLINK \l "_Toc33521253" </w:instrText>
      </w:r>
      <w:r>
        <w:fldChar w:fldCharType="separate"/>
      </w:r>
      <w:r>
        <w:rPr>
          <w:rStyle w:val="18"/>
          <w:rFonts w:hint="eastAsia" w:ascii="仿宋" w:hAnsi="仿宋"/>
          <w:kern w:val="0"/>
          <w:sz w:val="24"/>
        </w:rPr>
        <w:t>四、部门整体绩效情况</w:t>
      </w:r>
      <w:r>
        <w:rPr>
          <w:rFonts w:ascii="仿宋" w:hAnsi="仿宋"/>
          <w:sz w:val="24"/>
        </w:rPr>
        <w:tab/>
      </w:r>
      <w:r>
        <w:rPr>
          <w:rFonts w:ascii="仿宋" w:hAnsi="仿宋"/>
          <w:sz w:val="24"/>
        </w:rPr>
        <w:fldChar w:fldCharType="begin"/>
      </w:r>
      <w:r>
        <w:rPr>
          <w:rFonts w:ascii="仿宋" w:hAnsi="仿宋"/>
          <w:sz w:val="24"/>
        </w:rPr>
        <w:instrText xml:space="preserve"> PAGEREF _Toc33521253 \h </w:instrText>
      </w:r>
      <w:r>
        <w:rPr>
          <w:rFonts w:ascii="仿宋" w:hAnsi="仿宋"/>
          <w:sz w:val="24"/>
        </w:rPr>
        <w:fldChar w:fldCharType="separate"/>
      </w:r>
      <w:r>
        <w:rPr>
          <w:rFonts w:ascii="仿宋" w:hAnsi="仿宋"/>
          <w:sz w:val="24"/>
        </w:rPr>
        <w:t>5</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"_Toc33521254" </w:instrText>
      </w:r>
      <w:r>
        <w:fldChar w:fldCharType="separate"/>
      </w:r>
      <w:r>
        <w:rPr>
          <w:rStyle w:val="18"/>
          <w:rFonts w:hint="eastAsia" w:ascii="仿宋" w:hAnsi="仿宋"/>
          <w:kern w:val="0"/>
          <w:sz w:val="24"/>
        </w:rPr>
        <w:t>（一）打造良好区域生态湿地系统，有效保障区域生态平衡</w:t>
      </w:r>
      <w:r>
        <w:rPr>
          <w:rFonts w:ascii="仿宋" w:hAnsi="仿宋"/>
          <w:sz w:val="24"/>
        </w:rPr>
        <w:tab/>
      </w:r>
      <w:r>
        <w:rPr>
          <w:rFonts w:ascii="仿宋" w:hAnsi="仿宋"/>
          <w:sz w:val="24"/>
        </w:rPr>
        <w:fldChar w:fldCharType="begin"/>
      </w:r>
      <w:r>
        <w:rPr>
          <w:rFonts w:ascii="仿宋" w:hAnsi="仿宋"/>
          <w:sz w:val="24"/>
        </w:rPr>
        <w:instrText xml:space="preserve"> PAGEREF _Toc33521254 \h </w:instrText>
      </w:r>
      <w:r>
        <w:rPr>
          <w:rFonts w:ascii="仿宋" w:hAnsi="仿宋"/>
          <w:sz w:val="24"/>
        </w:rPr>
        <w:fldChar w:fldCharType="separate"/>
      </w:r>
      <w:r>
        <w:rPr>
          <w:rFonts w:ascii="仿宋" w:hAnsi="仿宋"/>
          <w:sz w:val="24"/>
        </w:rPr>
        <w:t>5</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"_Toc33521255" </w:instrText>
      </w:r>
      <w:r>
        <w:fldChar w:fldCharType="separate"/>
      </w:r>
      <w:r>
        <w:rPr>
          <w:rStyle w:val="18"/>
          <w:rFonts w:hint="eastAsia" w:ascii="仿宋" w:hAnsi="仿宋"/>
          <w:kern w:val="0"/>
          <w:sz w:val="24"/>
        </w:rPr>
        <w:t>（二）推进湿地文化传播，加快生态文明建设步伐</w:t>
      </w:r>
      <w:r>
        <w:rPr>
          <w:rFonts w:ascii="仿宋" w:hAnsi="仿宋"/>
          <w:sz w:val="24"/>
        </w:rPr>
        <w:tab/>
      </w:r>
      <w:r>
        <w:rPr>
          <w:rFonts w:ascii="仿宋" w:hAnsi="仿宋"/>
          <w:sz w:val="24"/>
        </w:rPr>
        <w:fldChar w:fldCharType="begin"/>
      </w:r>
      <w:r>
        <w:rPr>
          <w:rFonts w:ascii="仿宋" w:hAnsi="仿宋"/>
          <w:sz w:val="24"/>
        </w:rPr>
        <w:instrText xml:space="preserve"> PAGEREF _Toc33521255 \h </w:instrText>
      </w:r>
      <w:r>
        <w:rPr>
          <w:rFonts w:ascii="仿宋" w:hAnsi="仿宋"/>
          <w:sz w:val="24"/>
        </w:rPr>
        <w:fldChar w:fldCharType="separate"/>
      </w:r>
      <w:r>
        <w:rPr>
          <w:rFonts w:ascii="仿宋" w:hAnsi="仿宋"/>
          <w:sz w:val="24"/>
        </w:rPr>
        <w:t>6</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"_Toc33521256" </w:instrText>
      </w:r>
      <w:r>
        <w:fldChar w:fldCharType="separate"/>
      </w:r>
      <w:r>
        <w:rPr>
          <w:rStyle w:val="18"/>
          <w:rFonts w:hint="eastAsia" w:ascii="仿宋" w:hAnsi="仿宋"/>
          <w:kern w:val="0"/>
          <w:sz w:val="24"/>
        </w:rPr>
        <w:t>（三）促进第三产业发展，提高区域农户经济收入</w:t>
      </w:r>
      <w:r>
        <w:rPr>
          <w:rFonts w:ascii="仿宋" w:hAnsi="仿宋"/>
          <w:sz w:val="24"/>
        </w:rPr>
        <w:tab/>
      </w:r>
      <w:r>
        <w:rPr>
          <w:rFonts w:ascii="仿宋" w:hAnsi="仿宋"/>
          <w:sz w:val="24"/>
        </w:rPr>
        <w:fldChar w:fldCharType="begin"/>
      </w:r>
      <w:r>
        <w:rPr>
          <w:rFonts w:ascii="仿宋" w:hAnsi="仿宋"/>
          <w:sz w:val="24"/>
        </w:rPr>
        <w:instrText xml:space="preserve"> PAGEREF _Toc33521256 \h </w:instrText>
      </w:r>
      <w:r>
        <w:rPr>
          <w:rFonts w:ascii="仿宋" w:hAnsi="仿宋"/>
          <w:sz w:val="24"/>
        </w:rPr>
        <w:fldChar w:fldCharType="separate"/>
      </w:r>
      <w:r>
        <w:rPr>
          <w:rFonts w:ascii="仿宋" w:hAnsi="仿宋"/>
          <w:sz w:val="24"/>
        </w:rPr>
        <w:t>6</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"_Toc33521257" </w:instrText>
      </w:r>
      <w:r>
        <w:fldChar w:fldCharType="separate"/>
      </w:r>
      <w:r>
        <w:rPr>
          <w:rStyle w:val="18"/>
          <w:rFonts w:hint="eastAsia" w:ascii="仿宋" w:hAnsi="仿宋"/>
          <w:kern w:val="0"/>
          <w:sz w:val="24"/>
        </w:rPr>
        <w:t>（四）人居环境日益改善，居民生活品质显著提高</w:t>
      </w:r>
      <w:r>
        <w:rPr>
          <w:rFonts w:ascii="仿宋" w:hAnsi="仿宋"/>
          <w:sz w:val="24"/>
        </w:rPr>
        <w:tab/>
      </w:r>
      <w:r>
        <w:rPr>
          <w:rFonts w:ascii="仿宋" w:hAnsi="仿宋"/>
          <w:sz w:val="24"/>
        </w:rPr>
        <w:fldChar w:fldCharType="begin"/>
      </w:r>
      <w:r>
        <w:rPr>
          <w:rFonts w:ascii="仿宋" w:hAnsi="仿宋"/>
          <w:sz w:val="24"/>
        </w:rPr>
        <w:instrText xml:space="preserve"> PAGEREF _Toc33521257 \h </w:instrText>
      </w:r>
      <w:r>
        <w:rPr>
          <w:rFonts w:ascii="仿宋" w:hAnsi="仿宋"/>
          <w:sz w:val="24"/>
        </w:rPr>
        <w:fldChar w:fldCharType="separate"/>
      </w:r>
      <w:r>
        <w:rPr>
          <w:rFonts w:ascii="仿宋" w:hAnsi="仿宋"/>
          <w:sz w:val="24"/>
        </w:rPr>
        <w:t>6</w:t>
      </w:r>
      <w:r>
        <w:rPr>
          <w:rFonts w:ascii="仿宋" w:hAnsi="仿宋"/>
          <w:sz w:val="24"/>
        </w:rPr>
        <w:fldChar w:fldCharType="end"/>
      </w:r>
      <w:r>
        <w:rPr>
          <w:rFonts w:ascii="仿宋" w:hAnsi="仿宋"/>
          <w:sz w:val="24"/>
        </w:rPr>
        <w:fldChar w:fldCharType="end"/>
      </w:r>
    </w:p>
    <w:p>
      <w:pPr>
        <w:pStyle w:val="8"/>
        <w:tabs>
          <w:tab w:val="right" w:leader="dot" w:pos="8949"/>
        </w:tabs>
        <w:spacing w:line="340" w:lineRule="atLeast"/>
        <w:ind w:firstLine="480"/>
        <w:rPr>
          <w:rFonts w:ascii="仿宋" w:hAnsi="仿宋" w:cstheme="minorBidi"/>
          <w:sz w:val="24"/>
        </w:rPr>
      </w:pPr>
      <w:r>
        <w:fldChar w:fldCharType="begin"/>
      </w:r>
      <w:r>
        <w:instrText xml:space="preserve"> HYPERLINK \l "_Toc33521258" </w:instrText>
      </w:r>
      <w:r>
        <w:fldChar w:fldCharType="separate"/>
      </w:r>
      <w:r>
        <w:rPr>
          <w:rStyle w:val="18"/>
          <w:rFonts w:hint="eastAsia" w:ascii="仿宋" w:hAnsi="仿宋"/>
          <w:kern w:val="0"/>
          <w:sz w:val="24"/>
        </w:rPr>
        <w:t>五、综合评价情况及评价结论</w:t>
      </w:r>
      <w:r>
        <w:rPr>
          <w:rFonts w:ascii="仿宋" w:hAnsi="仿宋"/>
          <w:sz w:val="24"/>
        </w:rPr>
        <w:tab/>
      </w:r>
      <w:r>
        <w:rPr>
          <w:rFonts w:ascii="仿宋" w:hAnsi="仿宋"/>
          <w:sz w:val="24"/>
        </w:rPr>
        <w:fldChar w:fldCharType="begin"/>
      </w:r>
      <w:r>
        <w:rPr>
          <w:rFonts w:ascii="仿宋" w:hAnsi="仿宋"/>
          <w:sz w:val="24"/>
        </w:rPr>
        <w:instrText xml:space="preserve"> PAGEREF _Toc33521258 \h </w:instrText>
      </w:r>
      <w:r>
        <w:rPr>
          <w:rFonts w:ascii="仿宋" w:hAnsi="仿宋"/>
          <w:sz w:val="24"/>
        </w:rPr>
        <w:fldChar w:fldCharType="separate"/>
      </w:r>
      <w:r>
        <w:rPr>
          <w:rFonts w:ascii="仿宋" w:hAnsi="仿宋"/>
          <w:sz w:val="24"/>
        </w:rPr>
        <w:t>7</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"_Toc33521259" </w:instrText>
      </w:r>
      <w:r>
        <w:fldChar w:fldCharType="separate"/>
      </w:r>
      <w:r>
        <w:rPr>
          <w:rStyle w:val="18"/>
          <w:rFonts w:hint="eastAsia" w:ascii="仿宋" w:hAnsi="仿宋"/>
          <w:kern w:val="0"/>
          <w:sz w:val="24"/>
        </w:rPr>
        <w:t>（一）绩效评价结论</w:t>
      </w:r>
      <w:r>
        <w:rPr>
          <w:rFonts w:ascii="仿宋" w:hAnsi="仿宋"/>
          <w:sz w:val="24"/>
        </w:rPr>
        <w:tab/>
      </w:r>
      <w:r>
        <w:rPr>
          <w:rFonts w:ascii="仿宋" w:hAnsi="仿宋"/>
          <w:sz w:val="24"/>
        </w:rPr>
        <w:fldChar w:fldCharType="begin"/>
      </w:r>
      <w:r>
        <w:rPr>
          <w:rFonts w:ascii="仿宋" w:hAnsi="仿宋"/>
          <w:sz w:val="24"/>
        </w:rPr>
        <w:instrText xml:space="preserve"> PAGEREF _Toc33521259 \h </w:instrText>
      </w:r>
      <w:r>
        <w:rPr>
          <w:rFonts w:ascii="仿宋" w:hAnsi="仿宋"/>
          <w:sz w:val="24"/>
        </w:rPr>
        <w:fldChar w:fldCharType="separate"/>
      </w:r>
      <w:r>
        <w:rPr>
          <w:rFonts w:ascii="仿宋" w:hAnsi="仿宋"/>
          <w:sz w:val="24"/>
        </w:rPr>
        <w:t>7</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"_Toc33521260" </w:instrText>
      </w:r>
      <w:r>
        <w:fldChar w:fldCharType="separate"/>
      </w:r>
      <w:r>
        <w:rPr>
          <w:rStyle w:val="18"/>
          <w:rFonts w:hint="eastAsia" w:ascii="仿宋" w:hAnsi="仿宋"/>
          <w:kern w:val="0"/>
          <w:sz w:val="24"/>
        </w:rPr>
        <w:t>（二）简析指标评分情况</w:t>
      </w:r>
      <w:r>
        <w:rPr>
          <w:rFonts w:ascii="仿宋" w:hAnsi="仿宋"/>
          <w:sz w:val="24"/>
        </w:rPr>
        <w:tab/>
      </w:r>
      <w:r>
        <w:rPr>
          <w:rFonts w:ascii="仿宋" w:hAnsi="仿宋"/>
          <w:sz w:val="24"/>
        </w:rPr>
        <w:fldChar w:fldCharType="begin"/>
      </w:r>
      <w:r>
        <w:rPr>
          <w:rFonts w:ascii="仿宋" w:hAnsi="仿宋"/>
          <w:sz w:val="24"/>
        </w:rPr>
        <w:instrText xml:space="preserve"> PAGEREF _Toc33521260 \h </w:instrText>
      </w:r>
      <w:r>
        <w:rPr>
          <w:rFonts w:ascii="仿宋" w:hAnsi="仿宋"/>
          <w:sz w:val="24"/>
        </w:rPr>
        <w:fldChar w:fldCharType="separate"/>
      </w:r>
      <w:r>
        <w:rPr>
          <w:rFonts w:ascii="仿宋" w:hAnsi="仿宋"/>
          <w:sz w:val="24"/>
        </w:rPr>
        <w:t>7</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"_Toc33521261" </w:instrText>
      </w:r>
      <w:r>
        <w:fldChar w:fldCharType="separate"/>
      </w:r>
      <w:r>
        <w:rPr>
          <w:rStyle w:val="18"/>
          <w:rFonts w:ascii="仿宋" w:hAnsi="仿宋"/>
          <w:kern w:val="0"/>
          <w:sz w:val="24"/>
        </w:rPr>
        <w:t>1</w:t>
      </w:r>
      <w:r>
        <w:rPr>
          <w:rStyle w:val="18"/>
          <w:rFonts w:hint="eastAsia" w:ascii="仿宋" w:hAnsi="仿宋"/>
          <w:kern w:val="0"/>
          <w:sz w:val="24"/>
        </w:rPr>
        <w:t>、预算配置控制较好，得分为</w:t>
      </w:r>
      <w:r>
        <w:rPr>
          <w:rStyle w:val="18"/>
          <w:rFonts w:ascii="仿宋" w:hAnsi="仿宋"/>
          <w:kern w:val="0"/>
          <w:sz w:val="24"/>
        </w:rPr>
        <w:t>10</w:t>
      </w:r>
      <w:r>
        <w:rPr>
          <w:rStyle w:val="18"/>
          <w:rFonts w:hint="eastAsia" w:ascii="仿宋" w:hAnsi="仿宋"/>
          <w:kern w:val="0"/>
          <w:sz w:val="24"/>
        </w:rPr>
        <w:t>分</w:t>
      </w:r>
      <w:r>
        <w:rPr>
          <w:rFonts w:ascii="仿宋" w:hAnsi="仿宋"/>
          <w:sz w:val="24"/>
        </w:rPr>
        <w:tab/>
      </w:r>
      <w:r>
        <w:rPr>
          <w:rFonts w:ascii="仿宋" w:hAnsi="仿宋"/>
          <w:sz w:val="24"/>
        </w:rPr>
        <w:fldChar w:fldCharType="begin"/>
      </w:r>
      <w:r>
        <w:rPr>
          <w:rFonts w:ascii="仿宋" w:hAnsi="仿宋"/>
          <w:sz w:val="24"/>
        </w:rPr>
        <w:instrText xml:space="preserve"> PAGEREF _Toc33521261 \h </w:instrText>
      </w:r>
      <w:r>
        <w:rPr>
          <w:rFonts w:ascii="仿宋" w:hAnsi="仿宋"/>
          <w:sz w:val="24"/>
        </w:rPr>
        <w:fldChar w:fldCharType="separate"/>
      </w:r>
      <w:r>
        <w:rPr>
          <w:rFonts w:ascii="仿宋" w:hAnsi="仿宋"/>
          <w:sz w:val="24"/>
        </w:rPr>
        <w:t>7</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"_Toc33521262" </w:instrText>
      </w:r>
      <w:r>
        <w:fldChar w:fldCharType="separate"/>
      </w:r>
      <w:r>
        <w:rPr>
          <w:rStyle w:val="18"/>
          <w:rFonts w:ascii="仿宋" w:hAnsi="仿宋"/>
          <w:kern w:val="0"/>
          <w:sz w:val="24"/>
        </w:rPr>
        <w:t>2</w:t>
      </w:r>
      <w:r>
        <w:rPr>
          <w:rStyle w:val="18"/>
          <w:rFonts w:hint="eastAsia" w:ascii="仿宋" w:hAnsi="仿宋"/>
          <w:kern w:val="0"/>
          <w:sz w:val="24"/>
        </w:rPr>
        <w:t>、预算执行存在较大不足之处，得分为</w:t>
      </w:r>
      <w:r>
        <w:rPr>
          <w:rStyle w:val="18"/>
          <w:rFonts w:ascii="仿宋" w:hAnsi="仿宋"/>
          <w:kern w:val="0"/>
          <w:sz w:val="24"/>
        </w:rPr>
        <w:t>10</w:t>
      </w:r>
      <w:r>
        <w:rPr>
          <w:rStyle w:val="18"/>
          <w:rFonts w:hint="eastAsia" w:ascii="仿宋" w:hAnsi="仿宋"/>
          <w:kern w:val="0"/>
          <w:sz w:val="24"/>
        </w:rPr>
        <w:t>分</w:t>
      </w:r>
      <w:r>
        <w:rPr>
          <w:rFonts w:ascii="仿宋" w:hAnsi="仿宋"/>
          <w:sz w:val="24"/>
        </w:rPr>
        <w:tab/>
      </w:r>
      <w:r>
        <w:rPr>
          <w:rFonts w:ascii="仿宋" w:hAnsi="仿宋"/>
          <w:sz w:val="24"/>
        </w:rPr>
        <w:fldChar w:fldCharType="begin"/>
      </w:r>
      <w:r>
        <w:rPr>
          <w:rFonts w:ascii="仿宋" w:hAnsi="仿宋"/>
          <w:sz w:val="24"/>
        </w:rPr>
        <w:instrText xml:space="preserve"> PAGEREF _Toc33521262 \h </w:instrText>
      </w:r>
      <w:r>
        <w:rPr>
          <w:rFonts w:ascii="仿宋" w:hAnsi="仿宋"/>
          <w:sz w:val="24"/>
        </w:rPr>
        <w:fldChar w:fldCharType="separate"/>
      </w:r>
      <w:r>
        <w:rPr>
          <w:rFonts w:ascii="仿宋" w:hAnsi="仿宋"/>
          <w:sz w:val="24"/>
        </w:rPr>
        <w:t>7</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"_Toc33521263" </w:instrText>
      </w:r>
      <w:r>
        <w:fldChar w:fldCharType="separate"/>
      </w:r>
      <w:r>
        <w:rPr>
          <w:rStyle w:val="18"/>
          <w:rFonts w:ascii="仿宋" w:hAnsi="仿宋"/>
          <w:kern w:val="0"/>
          <w:sz w:val="24"/>
        </w:rPr>
        <w:t>3</w:t>
      </w:r>
      <w:r>
        <w:rPr>
          <w:rStyle w:val="18"/>
          <w:rFonts w:hint="eastAsia" w:ascii="仿宋" w:hAnsi="仿宋"/>
          <w:kern w:val="0"/>
          <w:sz w:val="24"/>
        </w:rPr>
        <w:t>、预算管理较为理想，得分为</w:t>
      </w:r>
      <w:r>
        <w:rPr>
          <w:rStyle w:val="18"/>
          <w:rFonts w:ascii="仿宋" w:hAnsi="仿宋"/>
          <w:kern w:val="0"/>
          <w:sz w:val="24"/>
        </w:rPr>
        <w:t>35</w:t>
      </w:r>
      <w:r>
        <w:rPr>
          <w:rStyle w:val="18"/>
          <w:rFonts w:hint="eastAsia" w:ascii="仿宋" w:hAnsi="仿宋"/>
          <w:kern w:val="0"/>
          <w:sz w:val="24"/>
        </w:rPr>
        <w:t>分</w:t>
      </w:r>
      <w:r>
        <w:rPr>
          <w:rFonts w:ascii="仿宋" w:hAnsi="仿宋"/>
          <w:sz w:val="24"/>
        </w:rPr>
        <w:tab/>
      </w:r>
      <w:r>
        <w:rPr>
          <w:rFonts w:ascii="仿宋" w:hAnsi="仿宋"/>
          <w:sz w:val="24"/>
        </w:rPr>
        <w:fldChar w:fldCharType="begin"/>
      </w:r>
      <w:r>
        <w:rPr>
          <w:rFonts w:ascii="仿宋" w:hAnsi="仿宋"/>
          <w:sz w:val="24"/>
        </w:rPr>
        <w:instrText xml:space="preserve"> PAGEREF _Toc33521263 \h </w:instrText>
      </w:r>
      <w:r>
        <w:rPr>
          <w:rFonts w:ascii="仿宋" w:hAnsi="仿宋"/>
          <w:sz w:val="24"/>
        </w:rPr>
        <w:fldChar w:fldCharType="separate"/>
      </w:r>
      <w:r>
        <w:rPr>
          <w:rFonts w:ascii="仿宋" w:hAnsi="仿宋"/>
          <w:sz w:val="24"/>
        </w:rPr>
        <w:t>8</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"_Toc33521264" </w:instrText>
      </w:r>
      <w:r>
        <w:fldChar w:fldCharType="separate"/>
      </w:r>
      <w:r>
        <w:rPr>
          <w:rStyle w:val="18"/>
          <w:rFonts w:ascii="仿宋" w:hAnsi="仿宋"/>
          <w:kern w:val="0"/>
          <w:sz w:val="24"/>
        </w:rPr>
        <w:t>4</w:t>
      </w:r>
      <w:r>
        <w:rPr>
          <w:rStyle w:val="18"/>
          <w:rFonts w:hint="eastAsia" w:ascii="仿宋" w:hAnsi="仿宋"/>
          <w:kern w:val="0"/>
          <w:sz w:val="24"/>
        </w:rPr>
        <w:t>、职责履行得分</w:t>
      </w:r>
      <w:r>
        <w:rPr>
          <w:rStyle w:val="18"/>
          <w:rFonts w:ascii="仿宋" w:hAnsi="仿宋"/>
          <w:kern w:val="0"/>
          <w:sz w:val="24"/>
        </w:rPr>
        <w:t>8</w:t>
      </w:r>
      <w:r>
        <w:rPr>
          <w:rStyle w:val="18"/>
          <w:rFonts w:hint="eastAsia" w:ascii="仿宋" w:hAnsi="仿宋"/>
          <w:kern w:val="0"/>
          <w:sz w:val="24"/>
        </w:rPr>
        <w:t>分</w:t>
      </w:r>
      <w:r>
        <w:rPr>
          <w:rFonts w:ascii="仿宋" w:hAnsi="仿宋"/>
          <w:sz w:val="24"/>
        </w:rPr>
        <w:tab/>
      </w:r>
      <w:r>
        <w:rPr>
          <w:rFonts w:ascii="仿宋" w:hAnsi="仿宋"/>
          <w:sz w:val="24"/>
        </w:rPr>
        <w:fldChar w:fldCharType="begin"/>
      </w:r>
      <w:r>
        <w:rPr>
          <w:rFonts w:ascii="仿宋" w:hAnsi="仿宋"/>
          <w:sz w:val="24"/>
        </w:rPr>
        <w:instrText xml:space="preserve"> PAGEREF _Toc33521264 \h </w:instrText>
      </w:r>
      <w:r>
        <w:rPr>
          <w:rFonts w:ascii="仿宋" w:hAnsi="仿宋"/>
          <w:sz w:val="24"/>
        </w:rPr>
        <w:fldChar w:fldCharType="separate"/>
      </w:r>
      <w:r>
        <w:rPr>
          <w:rFonts w:ascii="仿宋" w:hAnsi="仿宋"/>
          <w:sz w:val="24"/>
        </w:rPr>
        <w:t>9</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"_Toc33521265" </w:instrText>
      </w:r>
      <w:r>
        <w:fldChar w:fldCharType="separate"/>
      </w:r>
      <w:r>
        <w:rPr>
          <w:rStyle w:val="18"/>
          <w:rFonts w:ascii="仿宋" w:hAnsi="仿宋"/>
          <w:kern w:val="0"/>
          <w:sz w:val="24"/>
        </w:rPr>
        <w:t>5</w:t>
      </w:r>
      <w:r>
        <w:rPr>
          <w:rStyle w:val="18"/>
          <w:rFonts w:hint="eastAsia" w:ascii="仿宋" w:hAnsi="仿宋"/>
          <w:kern w:val="0"/>
          <w:sz w:val="24"/>
        </w:rPr>
        <w:t>、履职效益得分</w:t>
      </w:r>
      <w:r>
        <w:rPr>
          <w:rStyle w:val="18"/>
          <w:rFonts w:ascii="仿宋" w:hAnsi="仿宋"/>
          <w:kern w:val="0"/>
          <w:sz w:val="24"/>
        </w:rPr>
        <w:t>22</w:t>
      </w:r>
      <w:r>
        <w:rPr>
          <w:rStyle w:val="18"/>
          <w:rFonts w:hint="eastAsia" w:ascii="仿宋" w:hAnsi="仿宋"/>
          <w:kern w:val="0"/>
          <w:sz w:val="24"/>
        </w:rPr>
        <w:t>分</w:t>
      </w:r>
      <w:r>
        <w:rPr>
          <w:rFonts w:ascii="仿宋" w:hAnsi="仿宋"/>
          <w:sz w:val="24"/>
        </w:rPr>
        <w:tab/>
      </w:r>
      <w:r>
        <w:rPr>
          <w:rFonts w:ascii="仿宋" w:hAnsi="仿宋"/>
          <w:sz w:val="24"/>
        </w:rPr>
        <w:fldChar w:fldCharType="begin"/>
      </w:r>
      <w:r>
        <w:rPr>
          <w:rFonts w:ascii="仿宋" w:hAnsi="仿宋"/>
          <w:sz w:val="24"/>
        </w:rPr>
        <w:instrText xml:space="preserve"> PAGEREF _Toc33521265 \h </w:instrText>
      </w:r>
      <w:r>
        <w:rPr>
          <w:rFonts w:ascii="仿宋" w:hAnsi="仿宋"/>
          <w:sz w:val="24"/>
        </w:rPr>
        <w:fldChar w:fldCharType="separate"/>
      </w:r>
      <w:r>
        <w:rPr>
          <w:rFonts w:ascii="仿宋" w:hAnsi="仿宋"/>
          <w:sz w:val="24"/>
        </w:rPr>
        <w:t>9</w:t>
      </w:r>
      <w:r>
        <w:rPr>
          <w:rFonts w:ascii="仿宋" w:hAnsi="仿宋"/>
          <w:sz w:val="24"/>
        </w:rPr>
        <w:fldChar w:fldCharType="end"/>
      </w:r>
      <w:r>
        <w:rPr>
          <w:rFonts w:ascii="仿宋" w:hAnsi="仿宋"/>
          <w:sz w:val="24"/>
        </w:rPr>
        <w:fldChar w:fldCharType="end"/>
      </w:r>
    </w:p>
    <w:p>
      <w:pPr>
        <w:pStyle w:val="8"/>
        <w:tabs>
          <w:tab w:val="right" w:leader="dot" w:pos="8949"/>
        </w:tabs>
        <w:spacing w:line="340" w:lineRule="atLeast"/>
        <w:ind w:firstLine="480"/>
        <w:rPr>
          <w:rFonts w:ascii="仿宋" w:hAnsi="仿宋" w:cstheme="minorBidi"/>
          <w:sz w:val="24"/>
        </w:rPr>
      </w:pPr>
      <w:r>
        <w:fldChar w:fldCharType="begin"/>
      </w:r>
      <w:r>
        <w:instrText xml:space="preserve"> HYPERLINK \l "_Toc33521266" </w:instrText>
      </w:r>
      <w:r>
        <w:fldChar w:fldCharType="separate"/>
      </w:r>
      <w:r>
        <w:rPr>
          <w:rStyle w:val="18"/>
          <w:rFonts w:hint="eastAsia" w:ascii="仿宋" w:hAnsi="仿宋"/>
          <w:kern w:val="0"/>
          <w:sz w:val="24"/>
        </w:rPr>
        <w:t>六、存在的问题</w:t>
      </w:r>
      <w:r>
        <w:rPr>
          <w:rFonts w:ascii="仿宋" w:hAnsi="仿宋"/>
          <w:sz w:val="24"/>
        </w:rPr>
        <w:tab/>
      </w:r>
      <w:r>
        <w:rPr>
          <w:rFonts w:ascii="仿宋" w:hAnsi="仿宋"/>
          <w:sz w:val="24"/>
        </w:rPr>
        <w:fldChar w:fldCharType="begin"/>
      </w:r>
      <w:r>
        <w:rPr>
          <w:rFonts w:ascii="仿宋" w:hAnsi="仿宋"/>
          <w:sz w:val="24"/>
        </w:rPr>
        <w:instrText xml:space="preserve"> PAGEREF _Toc33521266 \h </w:instrText>
      </w:r>
      <w:r>
        <w:rPr>
          <w:rFonts w:ascii="仿宋" w:hAnsi="仿宋"/>
          <w:sz w:val="24"/>
        </w:rPr>
        <w:fldChar w:fldCharType="separate"/>
      </w:r>
      <w:r>
        <w:rPr>
          <w:rFonts w:ascii="仿宋" w:hAnsi="仿宋"/>
          <w:sz w:val="24"/>
        </w:rPr>
        <w:t>10</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"_Toc33521267" </w:instrText>
      </w:r>
      <w:r>
        <w:fldChar w:fldCharType="separate"/>
      </w:r>
      <w:r>
        <w:rPr>
          <w:rStyle w:val="18"/>
          <w:rFonts w:hint="eastAsia" w:ascii="仿宋" w:hAnsi="仿宋"/>
          <w:kern w:val="0"/>
          <w:sz w:val="24"/>
        </w:rPr>
        <w:t>（一）资金管理方面</w:t>
      </w:r>
      <w:r>
        <w:rPr>
          <w:rFonts w:ascii="仿宋" w:hAnsi="仿宋"/>
          <w:sz w:val="24"/>
        </w:rPr>
        <w:tab/>
      </w:r>
      <w:r>
        <w:rPr>
          <w:rFonts w:ascii="仿宋" w:hAnsi="仿宋"/>
          <w:sz w:val="24"/>
        </w:rPr>
        <w:fldChar w:fldCharType="begin"/>
      </w:r>
      <w:r>
        <w:rPr>
          <w:rFonts w:ascii="仿宋" w:hAnsi="仿宋"/>
          <w:sz w:val="24"/>
        </w:rPr>
        <w:instrText xml:space="preserve"> PAGEREF _Toc33521267 \h </w:instrText>
      </w:r>
      <w:r>
        <w:rPr>
          <w:rFonts w:ascii="仿宋" w:hAnsi="仿宋"/>
          <w:sz w:val="24"/>
        </w:rPr>
        <w:fldChar w:fldCharType="separate"/>
      </w:r>
      <w:r>
        <w:rPr>
          <w:rFonts w:ascii="仿宋" w:hAnsi="仿宋"/>
          <w:sz w:val="24"/>
        </w:rPr>
        <w:t>10</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"_Toc33521268" </w:instrText>
      </w:r>
      <w:r>
        <w:fldChar w:fldCharType="separate"/>
      </w:r>
      <w:r>
        <w:rPr>
          <w:rStyle w:val="18"/>
          <w:rFonts w:hint="eastAsia" w:ascii="仿宋" w:hAnsi="仿宋"/>
          <w:kern w:val="0"/>
          <w:sz w:val="24"/>
        </w:rPr>
        <w:t>（二）财务管理制度方面</w:t>
      </w:r>
      <w:r>
        <w:rPr>
          <w:rFonts w:ascii="仿宋" w:hAnsi="仿宋"/>
          <w:sz w:val="24"/>
        </w:rPr>
        <w:tab/>
      </w:r>
      <w:r>
        <w:rPr>
          <w:rFonts w:ascii="仿宋" w:hAnsi="仿宋"/>
          <w:sz w:val="24"/>
        </w:rPr>
        <w:fldChar w:fldCharType="begin"/>
      </w:r>
      <w:r>
        <w:rPr>
          <w:rFonts w:ascii="仿宋" w:hAnsi="仿宋"/>
          <w:sz w:val="24"/>
        </w:rPr>
        <w:instrText xml:space="preserve"> PAGEREF _Toc33521268 \h </w:instrText>
      </w:r>
      <w:r>
        <w:rPr>
          <w:rFonts w:ascii="仿宋" w:hAnsi="仿宋"/>
          <w:sz w:val="24"/>
        </w:rPr>
        <w:fldChar w:fldCharType="separate"/>
      </w:r>
      <w:r>
        <w:rPr>
          <w:rFonts w:ascii="仿宋" w:hAnsi="仿宋"/>
          <w:sz w:val="24"/>
        </w:rPr>
        <w:t>10</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"_Toc33521269" </w:instrText>
      </w:r>
      <w:r>
        <w:fldChar w:fldCharType="separate"/>
      </w:r>
      <w:r>
        <w:rPr>
          <w:rStyle w:val="18"/>
          <w:rFonts w:ascii="仿宋" w:hAnsi="仿宋"/>
          <w:kern w:val="0"/>
          <w:sz w:val="24"/>
        </w:rPr>
        <w:t>1</w:t>
      </w:r>
      <w:r>
        <w:rPr>
          <w:rStyle w:val="18"/>
          <w:rFonts w:hint="eastAsia" w:ascii="仿宋" w:hAnsi="仿宋"/>
          <w:kern w:val="0"/>
          <w:sz w:val="24"/>
        </w:rPr>
        <w:t>、存在跨年度报销费用的情况</w:t>
      </w:r>
      <w:r>
        <w:rPr>
          <w:rFonts w:ascii="仿宋" w:hAnsi="仿宋"/>
          <w:sz w:val="24"/>
        </w:rPr>
        <w:tab/>
      </w:r>
      <w:r>
        <w:rPr>
          <w:rFonts w:ascii="仿宋" w:hAnsi="仿宋"/>
          <w:sz w:val="24"/>
        </w:rPr>
        <w:fldChar w:fldCharType="begin"/>
      </w:r>
      <w:r>
        <w:rPr>
          <w:rFonts w:ascii="仿宋" w:hAnsi="仿宋"/>
          <w:sz w:val="24"/>
        </w:rPr>
        <w:instrText xml:space="preserve"> PAGEREF _Toc33521269 \h </w:instrText>
      </w:r>
      <w:r>
        <w:rPr>
          <w:rFonts w:ascii="仿宋" w:hAnsi="仿宋"/>
          <w:sz w:val="24"/>
        </w:rPr>
        <w:fldChar w:fldCharType="separate"/>
      </w:r>
      <w:r>
        <w:rPr>
          <w:rFonts w:ascii="仿宋" w:hAnsi="仿宋"/>
          <w:sz w:val="24"/>
        </w:rPr>
        <w:t>11</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"_Toc33521270" </w:instrText>
      </w:r>
      <w:r>
        <w:fldChar w:fldCharType="separate"/>
      </w:r>
      <w:r>
        <w:rPr>
          <w:rStyle w:val="18"/>
          <w:rFonts w:ascii="仿宋" w:hAnsi="仿宋"/>
          <w:kern w:val="0"/>
          <w:sz w:val="24"/>
        </w:rPr>
        <w:t>2</w:t>
      </w:r>
      <w:r>
        <w:rPr>
          <w:rStyle w:val="18"/>
          <w:rFonts w:hint="eastAsia" w:ascii="仿宋" w:hAnsi="仿宋"/>
          <w:kern w:val="0"/>
          <w:sz w:val="24"/>
        </w:rPr>
        <w:t>、存在部分原始凭证附件资料不齐全的情况</w:t>
      </w:r>
      <w:r>
        <w:rPr>
          <w:rFonts w:ascii="仿宋" w:hAnsi="仿宋"/>
          <w:sz w:val="24"/>
        </w:rPr>
        <w:tab/>
      </w:r>
      <w:r>
        <w:rPr>
          <w:rFonts w:ascii="仿宋" w:hAnsi="仿宋"/>
          <w:sz w:val="24"/>
        </w:rPr>
        <w:fldChar w:fldCharType="begin"/>
      </w:r>
      <w:r>
        <w:rPr>
          <w:rFonts w:ascii="仿宋" w:hAnsi="仿宋"/>
          <w:sz w:val="24"/>
        </w:rPr>
        <w:instrText xml:space="preserve"> PAGEREF _Toc33521270 \h </w:instrText>
      </w:r>
      <w:r>
        <w:rPr>
          <w:rFonts w:ascii="仿宋" w:hAnsi="仿宋"/>
          <w:sz w:val="24"/>
        </w:rPr>
        <w:fldChar w:fldCharType="separate"/>
      </w:r>
      <w:r>
        <w:rPr>
          <w:rFonts w:ascii="仿宋" w:hAnsi="仿宋"/>
          <w:sz w:val="24"/>
        </w:rPr>
        <w:t>11</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"_Toc33521271" </w:instrText>
      </w:r>
      <w:r>
        <w:fldChar w:fldCharType="separate"/>
      </w:r>
      <w:r>
        <w:rPr>
          <w:rStyle w:val="18"/>
          <w:rFonts w:ascii="仿宋" w:hAnsi="仿宋"/>
          <w:kern w:val="0"/>
          <w:sz w:val="24"/>
        </w:rPr>
        <w:t>3</w:t>
      </w:r>
      <w:r>
        <w:rPr>
          <w:rStyle w:val="18"/>
          <w:rFonts w:hint="eastAsia" w:ascii="仿宋" w:hAnsi="仿宋"/>
          <w:kern w:val="0"/>
          <w:sz w:val="24"/>
        </w:rPr>
        <w:t>、存在发票抬头不规范的情况。</w:t>
      </w:r>
      <w:r>
        <w:rPr>
          <w:rFonts w:ascii="仿宋" w:hAnsi="仿宋"/>
          <w:sz w:val="24"/>
        </w:rPr>
        <w:tab/>
      </w:r>
      <w:r>
        <w:rPr>
          <w:rFonts w:ascii="仿宋" w:hAnsi="仿宋"/>
          <w:sz w:val="24"/>
        </w:rPr>
        <w:fldChar w:fldCharType="begin"/>
      </w:r>
      <w:r>
        <w:rPr>
          <w:rFonts w:ascii="仿宋" w:hAnsi="仿宋"/>
          <w:sz w:val="24"/>
        </w:rPr>
        <w:instrText xml:space="preserve"> PAGEREF _Toc33521271 \h </w:instrText>
      </w:r>
      <w:r>
        <w:rPr>
          <w:rFonts w:ascii="仿宋" w:hAnsi="仿宋"/>
          <w:sz w:val="24"/>
        </w:rPr>
        <w:fldChar w:fldCharType="separate"/>
      </w:r>
      <w:r>
        <w:rPr>
          <w:rFonts w:ascii="仿宋" w:hAnsi="仿宋"/>
          <w:sz w:val="24"/>
        </w:rPr>
        <w:t>11</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"_Toc33521272" </w:instrText>
      </w:r>
      <w:r>
        <w:fldChar w:fldCharType="separate"/>
      </w:r>
      <w:r>
        <w:rPr>
          <w:rStyle w:val="18"/>
          <w:rFonts w:hint="eastAsia" w:ascii="仿宋" w:hAnsi="仿宋"/>
          <w:kern w:val="0"/>
          <w:sz w:val="24"/>
        </w:rPr>
        <w:t>（三）</w:t>
      </w:r>
      <w:r>
        <w:rPr>
          <w:rStyle w:val="18"/>
          <w:rFonts w:ascii="仿宋" w:hAnsi="仿宋"/>
          <w:kern w:val="0"/>
          <w:sz w:val="24"/>
        </w:rPr>
        <w:t>“</w:t>
      </w:r>
      <w:r>
        <w:rPr>
          <w:rStyle w:val="18"/>
          <w:rFonts w:hint="eastAsia" w:ascii="仿宋" w:hAnsi="仿宋"/>
          <w:kern w:val="0"/>
          <w:sz w:val="24"/>
        </w:rPr>
        <w:t>三公经费</w:t>
      </w:r>
      <w:r>
        <w:rPr>
          <w:rStyle w:val="18"/>
          <w:rFonts w:ascii="仿宋" w:hAnsi="仿宋"/>
          <w:kern w:val="0"/>
          <w:sz w:val="24"/>
        </w:rPr>
        <w:t>”</w:t>
      </w:r>
      <w:r>
        <w:rPr>
          <w:rStyle w:val="18"/>
          <w:rFonts w:hint="eastAsia" w:ascii="仿宋" w:hAnsi="仿宋"/>
          <w:kern w:val="0"/>
          <w:sz w:val="24"/>
        </w:rPr>
        <w:t>管理方面</w:t>
      </w:r>
      <w:r>
        <w:rPr>
          <w:rFonts w:ascii="仿宋" w:hAnsi="仿宋"/>
          <w:sz w:val="24"/>
        </w:rPr>
        <w:tab/>
      </w:r>
      <w:r>
        <w:rPr>
          <w:rFonts w:ascii="仿宋" w:hAnsi="仿宋"/>
          <w:sz w:val="24"/>
        </w:rPr>
        <w:fldChar w:fldCharType="begin"/>
      </w:r>
      <w:r>
        <w:rPr>
          <w:rFonts w:ascii="仿宋" w:hAnsi="仿宋"/>
          <w:sz w:val="24"/>
        </w:rPr>
        <w:instrText xml:space="preserve"> PAGEREF _Toc33521272 \h </w:instrText>
      </w:r>
      <w:r>
        <w:rPr>
          <w:rFonts w:ascii="仿宋" w:hAnsi="仿宋"/>
          <w:sz w:val="24"/>
        </w:rPr>
        <w:fldChar w:fldCharType="separate"/>
      </w:r>
      <w:r>
        <w:rPr>
          <w:rFonts w:ascii="仿宋" w:hAnsi="仿宋"/>
          <w:sz w:val="24"/>
        </w:rPr>
        <w:t>11</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"_Toc33521273" </w:instrText>
      </w:r>
      <w:r>
        <w:fldChar w:fldCharType="separate"/>
      </w:r>
      <w:r>
        <w:rPr>
          <w:rStyle w:val="18"/>
          <w:rFonts w:ascii="仿宋" w:hAnsi="仿宋"/>
          <w:kern w:val="0"/>
          <w:sz w:val="24"/>
        </w:rPr>
        <w:t>1</w:t>
      </w:r>
      <w:r>
        <w:rPr>
          <w:rStyle w:val="18"/>
          <w:rFonts w:hint="eastAsia" w:ascii="仿宋" w:hAnsi="仿宋"/>
          <w:kern w:val="0"/>
          <w:sz w:val="24"/>
        </w:rPr>
        <w:t>、存在部分公务接待未严格按照制度执行的情况</w:t>
      </w:r>
      <w:r>
        <w:rPr>
          <w:rFonts w:ascii="仿宋" w:hAnsi="仿宋"/>
          <w:sz w:val="24"/>
        </w:rPr>
        <w:tab/>
      </w:r>
      <w:r>
        <w:rPr>
          <w:rFonts w:ascii="仿宋" w:hAnsi="仿宋"/>
          <w:sz w:val="24"/>
        </w:rPr>
        <w:fldChar w:fldCharType="begin"/>
      </w:r>
      <w:r>
        <w:rPr>
          <w:rFonts w:ascii="仿宋" w:hAnsi="仿宋"/>
          <w:sz w:val="24"/>
        </w:rPr>
        <w:instrText xml:space="preserve"> PAGEREF _Toc33521273 \h </w:instrText>
      </w:r>
      <w:r>
        <w:rPr>
          <w:rFonts w:ascii="仿宋" w:hAnsi="仿宋"/>
          <w:sz w:val="24"/>
        </w:rPr>
        <w:fldChar w:fldCharType="separate"/>
      </w:r>
      <w:r>
        <w:rPr>
          <w:rFonts w:ascii="仿宋" w:hAnsi="仿宋"/>
          <w:sz w:val="24"/>
        </w:rPr>
        <w:t>11</w:t>
      </w:r>
      <w:r>
        <w:rPr>
          <w:rFonts w:ascii="仿宋" w:hAnsi="仿宋"/>
          <w:sz w:val="24"/>
        </w:rPr>
        <w:fldChar w:fldCharType="end"/>
      </w:r>
      <w:r>
        <w:rPr>
          <w:rFonts w:ascii="仿宋" w:hAnsi="仿宋"/>
          <w:sz w:val="24"/>
        </w:rPr>
        <w:fldChar w:fldCharType="end"/>
      </w:r>
    </w:p>
    <w:p>
      <w:pPr>
        <w:pStyle w:val="5"/>
        <w:tabs>
          <w:tab w:val="right" w:leader="dot" w:pos="8949"/>
        </w:tabs>
        <w:spacing w:line="340" w:lineRule="atLeast"/>
        <w:ind w:left="1280" w:firstLine="480"/>
        <w:rPr>
          <w:rFonts w:ascii="仿宋" w:hAnsi="仿宋" w:cstheme="minorBidi"/>
          <w:sz w:val="24"/>
        </w:rPr>
      </w:pPr>
      <w:r>
        <w:fldChar w:fldCharType="begin"/>
      </w:r>
      <w:r>
        <w:instrText xml:space="preserve"> HYPERLINK \l "_Toc33521274" </w:instrText>
      </w:r>
      <w:r>
        <w:fldChar w:fldCharType="separate"/>
      </w:r>
      <w:r>
        <w:rPr>
          <w:rStyle w:val="18"/>
          <w:rFonts w:ascii="仿宋" w:hAnsi="仿宋"/>
          <w:kern w:val="0"/>
          <w:sz w:val="24"/>
        </w:rPr>
        <w:t>2</w:t>
      </w:r>
      <w:r>
        <w:rPr>
          <w:rStyle w:val="18"/>
          <w:rFonts w:hint="eastAsia" w:ascii="仿宋" w:hAnsi="仿宋"/>
          <w:kern w:val="0"/>
          <w:sz w:val="24"/>
        </w:rPr>
        <w:t>、公务车管理方面待进一步完善</w:t>
      </w:r>
      <w:r>
        <w:rPr>
          <w:rFonts w:ascii="仿宋" w:hAnsi="仿宋"/>
          <w:sz w:val="24"/>
        </w:rPr>
        <w:tab/>
      </w:r>
      <w:r>
        <w:rPr>
          <w:rFonts w:ascii="仿宋" w:hAnsi="仿宋"/>
          <w:sz w:val="24"/>
        </w:rPr>
        <w:fldChar w:fldCharType="begin"/>
      </w:r>
      <w:r>
        <w:rPr>
          <w:rFonts w:ascii="仿宋" w:hAnsi="仿宋"/>
          <w:sz w:val="24"/>
        </w:rPr>
        <w:instrText xml:space="preserve"> PAGEREF _Toc33521274 \h </w:instrText>
      </w:r>
      <w:r>
        <w:rPr>
          <w:rFonts w:ascii="仿宋" w:hAnsi="仿宋"/>
          <w:sz w:val="24"/>
        </w:rPr>
        <w:fldChar w:fldCharType="separate"/>
      </w:r>
      <w:r>
        <w:rPr>
          <w:rFonts w:ascii="仿宋" w:hAnsi="仿宋"/>
          <w:sz w:val="24"/>
        </w:rPr>
        <w:t>11</w:t>
      </w:r>
      <w:r>
        <w:rPr>
          <w:rFonts w:ascii="仿宋" w:hAnsi="仿宋"/>
          <w:sz w:val="24"/>
        </w:rPr>
        <w:fldChar w:fldCharType="end"/>
      </w:r>
      <w:r>
        <w:rPr>
          <w:rFonts w:ascii="仿宋" w:hAnsi="仿宋"/>
          <w:sz w:val="24"/>
        </w:rPr>
        <w:fldChar w:fldCharType="end"/>
      </w:r>
    </w:p>
    <w:p>
      <w:pPr>
        <w:pStyle w:val="8"/>
        <w:tabs>
          <w:tab w:val="right" w:leader="dot" w:pos="8949"/>
        </w:tabs>
        <w:spacing w:line="340" w:lineRule="atLeast"/>
        <w:ind w:firstLine="480"/>
        <w:rPr>
          <w:rFonts w:ascii="仿宋" w:hAnsi="仿宋" w:cstheme="minorBidi"/>
          <w:sz w:val="24"/>
        </w:rPr>
      </w:pPr>
      <w:r>
        <w:fldChar w:fldCharType="begin"/>
      </w:r>
      <w:r>
        <w:instrText xml:space="preserve"> HYPERLINK \l "_Toc33521275" </w:instrText>
      </w:r>
      <w:r>
        <w:fldChar w:fldCharType="separate"/>
      </w:r>
      <w:r>
        <w:rPr>
          <w:rStyle w:val="18"/>
          <w:rFonts w:hint="eastAsia" w:ascii="仿宋" w:hAnsi="仿宋"/>
          <w:kern w:val="0"/>
          <w:sz w:val="24"/>
        </w:rPr>
        <w:t>七、建议</w:t>
      </w:r>
      <w:r>
        <w:rPr>
          <w:rFonts w:ascii="仿宋" w:hAnsi="仿宋"/>
          <w:sz w:val="24"/>
        </w:rPr>
        <w:tab/>
      </w:r>
      <w:r>
        <w:rPr>
          <w:rFonts w:ascii="仿宋" w:hAnsi="仿宋"/>
          <w:sz w:val="24"/>
        </w:rPr>
        <w:fldChar w:fldCharType="begin"/>
      </w:r>
      <w:r>
        <w:rPr>
          <w:rFonts w:ascii="仿宋" w:hAnsi="仿宋"/>
          <w:sz w:val="24"/>
        </w:rPr>
        <w:instrText xml:space="preserve"> PAGEREF _Toc33521275 \h </w:instrText>
      </w:r>
      <w:r>
        <w:rPr>
          <w:rFonts w:ascii="仿宋" w:hAnsi="仿宋"/>
          <w:sz w:val="24"/>
        </w:rPr>
        <w:fldChar w:fldCharType="separate"/>
      </w:r>
      <w:r>
        <w:rPr>
          <w:rFonts w:ascii="仿宋" w:hAnsi="仿宋"/>
          <w:sz w:val="24"/>
        </w:rPr>
        <w:t>12</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"_Toc33521276" </w:instrText>
      </w:r>
      <w:r>
        <w:fldChar w:fldCharType="separate"/>
      </w:r>
      <w:r>
        <w:rPr>
          <w:rStyle w:val="18"/>
          <w:rFonts w:hint="eastAsia" w:ascii="仿宋" w:hAnsi="仿宋"/>
          <w:kern w:val="0"/>
          <w:sz w:val="24"/>
        </w:rPr>
        <w:t>（一）加强财务管理，规范会计核算</w:t>
      </w:r>
      <w:r>
        <w:rPr>
          <w:rFonts w:ascii="仿宋" w:hAnsi="仿宋"/>
          <w:sz w:val="24"/>
        </w:rPr>
        <w:tab/>
      </w:r>
      <w:r>
        <w:rPr>
          <w:rFonts w:ascii="仿宋" w:hAnsi="仿宋"/>
          <w:sz w:val="24"/>
        </w:rPr>
        <w:fldChar w:fldCharType="begin"/>
      </w:r>
      <w:r>
        <w:rPr>
          <w:rFonts w:ascii="仿宋" w:hAnsi="仿宋"/>
          <w:sz w:val="24"/>
        </w:rPr>
        <w:instrText xml:space="preserve"> PAGEREF _Toc33521276 \h </w:instrText>
      </w:r>
      <w:r>
        <w:rPr>
          <w:rFonts w:ascii="仿宋" w:hAnsi="仿宋"/>
          <w:sz w:val="24"/>
        </w:rPr>
        <w:fldChar w:fldCharType="separate"/>
      </w:r>
      <w:r>
        <w:rPr>
          <w:rFonts w:ascii="仿宋" w:hAnsi="仿宋"/>
          <w:sz w:val="24"/>
        </w:rPr>
        <w:t>12</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仿宋" w:hAnsi="仿宋" w:cstheme="minorBidi"/>
          <w:sz w:val="24"/>
        </w:rPr>
      </w:pPr>
      <w:r>
        <w:fldChar w:fldCharType="begin"/>
      </w:r>
      <w:r>
        <w:instrText xml:space="preserve"> HYPERLINK \l "_Toc33521277" </w:instrText>
      </w:r>
      <w:r>
        <w:fldChar w:fldCharType="separate"/>
      </w:r>
      <w:r>
        <w:rPr>
          <w:rStyle w:val="18"/>
          <w:rFonts w:hint="eastAsia" w:ascii="仿宋" w:hAnsi="仿宋"/>
          <w:kern w:val="0"/>
          <w:sz w:val="24"/>
        </w:rPr>
        <w:t>（二）严格执行单位内部管理制度，加强风险管理把控</w:t>
      </w:r>
      <w:r>
        <w:rPr>
          <w:rFonts w:ascii="仿宋" w:hAnsi="仿宋"/>
          <w:sz w:val="24"/>
        </w:rPr>
        <w:tab/>
      </w:r>
      <w:r>
        <w:rPr>
          <w:rFonts w:ascii="仿宋" w:hAnsi="仿宋"/>
          <w:sz w:val="24"/>
        </w:rPr>
        <w:fldChar w:fldCharType="begin"/>
      </w:r>
      <w:r>
        <w:rPr>
          <w:rFonts w:ascii="仿宋" w:hAnsi="仿宋"/>
          <w:sz w:val="24"/>
        </w:rPr>
        <w:instrText xml:space="preserve"> PAGEREF _Toc33521277 \h </w:instrText>
      </w:r>
      <w:r>
        <w:rPr>
          <w:rFonts w:ascii="仿宋" w:hAnsi="仿宋"/>
          <w:sz w:val="24"/>
        </w:rPr>
        <w:fldChar w:fldCharType="separate"/>
      </w:r>
      <w:r>
        <w:rPr>
          <w:rFonts w:ascii="仿宋" w:hAnsi="仿宋"/>
          <w:sz w:val="24"/>
        </w:rPr>
        <w:t>12</w:t>
      </w:r>
      <w:r>
        <w:rPr>
          <w:rFonts w:ascii="仿宋" w:hAnsi="仿宋"/>
          <w:sz w:val="24"/>
        </w:rPr>
        <w:fldChar w:fldCharType="end"/>
      </w:r>
      <w:r>
        <w:rPr>
          <w:rFonts w:ascii="仿宋" w:hAnsi="仿宋"/>
          <w:sz w:val="24"/>
        </w:rPr>
        <w:fldChar w:fldCharType="end"/>
      </w:r>
    </w:p>
    <w:p>
      <w:pPr>
        <w:pStyle w:val="9"/>
        <w:tabs>
          <w:tab w:val="right" w:leader="dot" w:pos="8949"/>
        </w:tabs>
        <w:spacing w:line="340" w:lineRule="atLeast"/>
        <w:ind w:left="640" w:firstLine="480"/>
        <w:rPr>
          <w:rFonts w:asciiTheme="minorHAnsi" w:hAnsiTheme="minorHAnsi" w:eastAsiaTheme="minorEastAsia" w:cstheme="minorBidi"/>
          <w:sz w:val="21"/>
          <w:szCs w:val="22"/>
        </w:rPr>
      </w:pPr>
      <w:r>
        <w:fldChar w:fldCharType="begin"/>
      </w:r>
      <w:r>
        <w:instrText xml:space="preserve"> HYPERLINK \l "_Toc33521278" </w:instrText>
      </w:r>
      <w:r>
        <w:fldChar w:fldCharType="separate"/>
      </w:r>
      <w:r>
        <w:rPr>
          <w:rStyle w:val="18"/>
          <w:rFonts w:hint="eastAsia" w:ascii="仿宋" w:hAnsi="仿宋"/>
          <w:sz w:val="24"/>
        </w:rPr>
        <w:t>附件一：</w:t>
      </w:r>
      <w:r>
        <w:rPr>
          <w:rFonts w:ascii="仿宋" w:hAnsi="仿宋"/>
          <w:sz w:val="24"/>
        </w:rPr>
        <w:tab/>
      </w:r>
      <w:r>
        <w:rPr>
          <w:rFonts w:ascii="仿宋" w:hAnsi="仿宋"/>
          <w:sz w:val="24"/>
        </w:rPr>
        <w:fldChar w:fldCharType="begin"/>
      </w:r>
      <w:r>
        <w:rPr>
          <w:rFonts w:ascii="仿宋" w:hAnsi="仿宋"/>
          <w:sz w:val="24"/>
        </w:rPr>
        <w:instrText xml:space="preserve"> PAGEREF _Toc33521278 \h </w:instrText>
      </w:r>
      <w:r>
        <w:rPr>
          <w:rFonts w:ascii="仿宋" w:hAnsi="仿宋"/>
          <w:sz w:val="24"/>
        </w:rPr>
        <w:fldChar w:fldCharType="separate"/>
      </w:r>
      <w:r>
        <w:rPr>
          <w:rFonts w:ascii="仿宋" w:hAnsi="仿宋"/>
          <w:sz w:val="24"/>
        </w:rPr>
        <w:t>14</w:t>
      </w:r>
      <w:r>
        <w:rPr>
          <w:rFonts w:ascii="仿宋" w:hAnsi="仿宋"/>
          <w:sz w:val="24"/>
        </w:rPr>
        <w:fldChar w:fldCharType="end"/>
      </w:r>
      <w:r>
        <w:rPr>
          <w:rFonts w:ascii="仿宋" w:hAnsi="仿宋"/>
          <w:sz w:val="24"/>
        </w:rPr>
        <w:fldChar w:fldCharType="end"/>
      </w:r>
    </w:p>
    <w:p>
      <w:pPr>
        <w:spacing w:line="300" w:lineRule="exact"/>
        <w:ind w:firstLine="0" w:firstLineChars="0"/>
        <w:jc w:val="left"/>
        <w:rPr>
          <w:rFonts w:ascii="仿宋" w:hAnsi="仿宋"/>
          <w:b/>
          <w:color w:val="000000"/>
          <w:spacing w:val="-4"/>
          <w:szCs w:val="32"/>
        </w:rPr>
        <w:sectPr>
          <w:pgSz w:w="11907" w:h="16840"/>
          <w:pgMar w:top="1134" w:right="1474" w:bottom="1134" w:left="1474" w:header="851" w:footer="1701" w:gutter="0"/>
          <w:pgNumType w:start="1"/>
          <w:cols w:space="720" w:num="1"/>
          <w:docGrid w:linePitch="312" w:charSpace="0"/>
        </w:sectPr>
      </w:pPr>
      <w:r>
        <w:rPr>
          <w:rFonts w:ascii="仿宋" w:hAnsi="仿宋"/>
          <w:b/>
          <w:color w:val="000000"/>
          <w:spacing w:val="-4"/>
          <w:sz w:val="24"/>
        </w:rPr>
        <w:fldChar w:fldCharType="end"/>
      </w:r>
    </w:p>
    <w:p>
      <w:pPr>
        <w:spacing w:line="600" w:lineRule="exact"/>
        <w:ind w:firstLine="0" w:firstLineChars="0"/>
        <w:jc w:val="center"/>
        <w:rPr>
          <w:rFonts w:ascii="黑体" w:hAnsi="黑体" w:eastAsia="黑体"/>
          <w:b/>
          <w:color w:val="000000"/>
          <w:spacing w:val="-4"/>
          <w:sz w:val="44"/>
          <w:szCs w:val="44"/>
        </w:rPr>
      </w:pPr>
      <w:r>
        <w:rPr>
          <w:rFonts w:hint="eastAsia" w:eastAsia="黑体"/>
          <w:b/>
          <w:color w:val="000000"/>
          <w:spacing w:val="-4"/>
          <w:sz w:val="44"/>
          <w:szCs w:val="44"/>
        </w:rPr>
        <w:t>2018</w:t>
      </w:r>
      <w:r>
        <w:rPr>
          <w:rFonts w:hint="eastAsia" w:ascii="黑体" w:hAnsi="黑体" w:eastAsia="黑体"/>
          <w:b/>
          <w:color w:val="000000"/>
          <w:spacing w:val="-4"/>
          <w:sz w:val="44"/>
          <w:szCs w:val="44"/>
        </w:rPr>
        <w:t>年度湖南衡山萱洲国家湿地公园管理处 部门整体支出</w:t>
      </w:r>
      <w:r>
        <w:rPr>
          <w:rFonts w:ascii="黑体" w:hAnsi="黑体" w:eastAsia="黑体"/>
          <w:b/>
          <w:color w:val="000000"/>
          <w:spacing w:val="-4"/>
          <w:sz w:val="44"/>
          <w:szCs w:val="44"/>
        </w:rPr>
        <w:t>绩效评价</w:t>
      </w:r>
      <w:r>
        <w:rPr>
          <w:rFonts w:hint="eastAsia" w:ascii="黑体" w:hAnsi="黑体" w:eastAsia="黑体"/>
          <w:b/>
          <w:color w:val="000000"/>
          <w:spacing w:val="-4"/>
          <w:sz w:val="44"/>
          <w:szCs w:val="44"/>
        </w:rPr>
        <w:t>报告</w:t>
      </w:r>
    </w:p>
    <w:p>
      <w:pPr>
        <w:widowControl/>
        <w:adjustRightInd w:val="0"/>
        <w:snapToGrid w:val="0"/>
        <w:spacing w:line="600" w:lineRule="exact"/>
        <w:ind w:firstLine="0" w:firstLineChars="0"/>
        <w:jc w:val="left"/>
        <w:rPr>
          <w:rFonts w:ascii="黑体" w:hAnsi="黑体" w:eastAsia="黑体"/>
          <w:b/>
          <w:kern w:val="0"/>
          <w:sz w:val="36"/>
          <w:szCs w:val="36"/>
        </w:rPr>
      </w:pPr>
    </w:p>
    <w:p>
      <w:pPr>
        <w:widowControl/>
        <w:adjustRightInd w:val="0"/>
        <w:snapToGrid w:val="0"/>
        <w:spacing w:line="600" w:lineRule="exact"/>
        <w:ind w:firstLine="0" w:firstLineChars="0"/>
        <w:jc w:val="left"/>
        <w:rPr>
          <w:rFonts w:ascii="黑体" w:hAnsi="黑体" w:eastAsia="黑体"/>
          <w:b/>
          <w:kern w:val="0"/>
          <w:szCs w:val="32"/>
        </w:rPr>
      </w:pPr>
      <w:r>
        <w:rPr>
          <w:rFonts w:hint="eastAsia" w:ascii="黑体" w:hAnsi="黑体" w:eastAsia="黑体"/>
          <w:b/>
          <w:kern w:val="0"/>
          <w:szCs w:val="32"/>
        </w:rPr>
        <w:t>衡山县财政局：</w:t>
      </w:r>
    </w:p>
    <w:p>
      <w:pPr>
        <w:ind w:firstLine="594"/>
        <w:rPr>
          <w:rFonts w:ascii="黑体" w:hAnsi="黑体" w:eastAsia="黑体"/>
          <w:b/>
          <w:kern w:val="0"/>
        </w:rPr>
      </w:pPr>
      <w:r>
        <w:rPr>
          <w:rFonts w:hint="eastAsia"/>
          <w:kern w:val="0"/>
        </w:rPr>
        <w:t>为加强财政预算资金管理，进一步规范预算资金使用，提高财政资金的使用效率，根据《中共中央国务院关于全面实施预算绩效管理的意见》（中发﹝2018﹞34号）、《衡山县财政局关于对2018年度部分县级财政支出项目及部门整体支出开展现场绩效评价的通知》（山财绩﹝2019﹞220号）等文件精神，受衡山县财政局委托，湖南宏丰益联合会计师事务所成立绩效评价工作组（简称“评价工作组”），于2019年11月25日至2019年11月29日对湖南衡山萱洲国家湿地公园管理处2018年度部门整体支出资金项目实施了绩效评价。评价采用定量分析和定性分析相结合的方法，从预算配置、预算执行、预算管理、职责履行和履职效益等方面对部门整体进行了综合评价。现将绩效评价情况报告如下：</w:t>
      </w:r>
    </w:p>
    <w:p>
      <w:pPr>
        <w:pStyle w:val="2"/>
        <w:ind w:firstLine="594"/>
        <w:rPr>
          <w:kern w:val="0"/>
        </w:rPr>
      </w:pPr>
      <w:bookmarkStart w:id="0" w:name="_Toc33521241"/>
      <w:r>
        <w:rPr>
          <w:kern w:val="0"/>
        </w:rPr>
        <w:t>一、</w:t>
      </w:r>
      <w:r>
        <w:rPr>
          <w:rFonts w:hint="eastAsia"/>
          <w:kern w:val="0"/>
        </w:rPr>
        <w:t>部门</w:t>
      </w:r>
      <w:r>
        <w:rPr>
          <w:kern w:val="0"/>
        </w:rPr>
        <w:t>概况</w:t>
      </w:r>
      <w:bookmarkEnd w:id="0"/>
    </w:p>
    <w:p>
      <w:pPr>
        <w:pStyle w:val="3"/>
        <w:ind w:firstLine="596"/>
        <w:rPr>
          <w:kern w:val="0"/>
        </w:rPr>
      </w:pPr>
      <w:bookmarkStart w:id="1" w:name="_Toc33521242"/>
      <w:r>
        <w:rPr>
          <w:kern w:val="0"/>
        </w:rPr>
        <w:t>（一）</w:t>
      </w:r>
      <w:r>
        <w:rPr>
          <w:rFonts w:hint="eastAsia"/>
          <w:kern w:val="0"/>
        </w:rPr>
        <w:t>部门</w:t>
      </w:r>
      <w:r>
        <w:rPr>
          <w:kern w:val="0"/>
        </w:rPr>
        <w:t>职能职责</w:t>
      </w:r>
      <w:bookmarkEnd w:id="1"/>
    </w:p>
    <w:p>
      <w:pPr>
        <w:ind w:firstLine="594"/>
        <w:rPr>
          <w:kern w:val="0"/>
        </w:rPr>
      </w:pPr>
      <w:r>
        <w:rPr>
          <w:kern w:val="0"/>
        </w:rPr>
        <w:t>1</w:t>
      </w:r>
      <w:r>
        <w:rPr>
          <w:rFonts w:hint="eastAsia"/>
          <w:kern w:val="0"/>
        </w:rPr>
        <w:t>、</w:t>
      </w:r>
      <w:r>
        <w:rPr>
          <w:kern w:val="0"/>
        </w:rPr>
        <w:t>贯彻执行国家、省、市有关湿地保护的法律、法规、规章和方针政策</w:t>
      </w:r>
      <w:r>
        <w:rPr>
          <w:rFonts w:hint="eastAsia"/>
          <w:kern w:val="0"/>
        </w:rPr>
        <w:t>。</w:t>
      </w:r>
    </w:p>
    <w:p>
      <w:pPr>
        <w:ind w:firstLine="594"/>
        <w:rPr>
          <w:kern w:val="0"/>
        </w:rPr>
      </w:pPr>
      <w:r>
        <w:rPr>
          <w:kern w:val="0"/>
        </w:rPr>
        <w:t>2</w:t>
      </w:r>
      <w:r>
        <w:rPr>
          <w:rFonts w:hint="eastAsia"/>
          <w:kern w:val="0"/>
        </w:rPr>
        <w:t>、</w:t>
      </w:r>
      <w:r>
        <w:rPr>
          <w:kern w:val="0"/>
        </w:rPr>
        <w:t>负责实施湿地公园总体规划；负责制定湿地公园的各项规章制度和管理计划；负责对湿地公园规划控制区内的建设、规划、开发、经营活动进行监管；协调湿地公园与周边乡镇、村（社区）的关系</w:t>
      </w:r>
      <w:r>
        <w:rPr>
          <w:rFonts w:hint="eastAsia"/>
          <w:kern w:val="0"/>
        </w:rPr>
        <w:t>。</w:t>
      </w:r>
    </w:p>
    <w:p>
      <w:pPr>
        <w:ind w:firstLine="594"/>
        <w:rPr>
          <w:kern w:val="0"/>
        </w:rPr>
      </w:pPr>
      <w:r>
        <w:rPr>
          <w:kern w:val="0"/>
        </w:rPr>
        <w:t>3</w:t>
      </w:r>
      <w:r>
        <w:rPr>
          <w:rFonts w:hint="eastAsia"/>
          <w:kern w:val="0"/>
        </w:rPr>
        <w:t>、</w:t>
      </w:r>
      <w:r>
        <w:rPr>
          <w:kern w:val="0"/>
        </w:rPr>
        <w:t>负责湿地公园内的自然资源和生态环境的保护与管理；负责湿地公园内湿地保护与利用，生态旅游等事务；负责园内野生动植物的救护和疫源疾病的防控工作</w:t>
      </w:r>
      <w:r>
        <w:rPr>
          <w:rFonts w:hint="eastAsia"/>
          <w:kern w:val="0"/>
        </w:rPr>
        <w:t>。</w:t>
      </w:r>
    </w:p>
    <w:p>
      <w:pPr>
        <w:ind w:firstLine="594"/>
        <w:rPr>
          <w:kern w:val="0"/>
        </w:rPr>
      </w:pPr>
      <w:r>
        <w:rPr>
          <w:kern w:val="0"/>
        </w:rPr>
        <w:t>4</w:t>
      </w:r>
      <w:r>
        <w:rPr>
          <w:rFonts w:hint="eastAsia"/>
          <w:kern w:val="0"/>
        </w:rPr>
        <w:t>、</w:t>
      </w:r>
      <w:r>
        <w:rPr>
          <w:kern w:val="0"/>
        </w:rPr>
        <w:t>负责湿地公园资源调查和监测工作；管理湿地科研成果、数据和资料，并按照规定向有关部门报送调查和监测结果</w:t>
      </w:r>
      <w:r>
        <w:rPr>
          <w:rFonts w:hint="eastAsia"/>
          <w:kern w:val="0"/>
        </w:rPr>
        <w:t>。</w:t>
      </w:r>
    </w:p>
    <w:p>
      <w:pPr>
        <w:ind w:firstLine="594"/>
        <w:rPr>
          <w:kern w:val="0"/>
        </w:rPr>
      </w:pPr>
      <w:r>
        <w:rPr>
          <w:kern w:val="0"/>
        </w:rPr>
        <w:t>5</w:t>
      </w:r>
      <w:r>
        <w:rPr>
          <w:rFonts w:hint="eastAsia"/>
          <w:kern w:val="0"/>
        </w:rPr>
        <w:t>、</w:t>
      </w:r>
      <w:r>
        <w:rPr>
          <w:kern w:val="0"/>
        </w:rPr>
        <w:t>负责湿地科学知识的科普教育、参与国际国内湿地保护与利用的交流与合作</w:t>
      </w:r>
      <w:r>
        <w:rPr>
          <w:rFonts w:hint="eastAsia"/>
          <w:kern w:val="0"/>
        </w:rPr>
        <w:t>。</w:t>
      </w:r>
    </w:p>
    <w:p>
      <w:pPr>
        <w:ind w:firstLine="594"/>
        <w:rPr>
          <w:kern w:val="0"/>
        </w:rPr>
      </w:pPr>
      <w:r>
        <w:rPr>
          <w:kern w:val="0"/>
        </w:rPr>
        <w:t>6</w:t>
      </w:r>
      <w:r>
        <w:rPr>
          <w:rFonts w:hint="eastAsia"/>
          <w:kern w:val="0"/>
        </w:rPr>
        <w:t>、</w:t>
      </w:r>
      <w:r>
        <w:rPr>
          <w:kern w:val="0"/>
        </w:rPr>
        <w:t>协助争取、筹措湿地保护、修复、建设和管理资金；对授权的相关资产进行经营、管理、合理开发和综合利用；组织实施湿地公园生态保护修复工程、基础设施配套、</w:t>
      </w:r>
      <w:r>
        <w:rPr>
          <w:rFonts w:hint="eastAsia"/>
          <w:kern w:val="0"/>
        </w:rPr>
        <w:t>湿地公园</w:t>
      </w:r>
      <w:r>
        <w:rPr>
          <w:kern w:val="0"/>
        </w:rPr>
        <w:t>生态旅游开发及其它项目，并予以管理</w:t>
      </w:r>
      <w:r>
        <w:rPr>
          <w:rFonts w:hint="eastAsia"/>
          <w:kern w:val="0"/>
        </w:rPr>
        <w:t>。</w:t>
      </w:r>
    </w:p>
    <w:p>
      <w:pPr>
        <w:ind w:firstLine="594"/>
        <w:rPr>
          <w:kern w:val="0"/>
        </w:rPr>
      </w:pPr>
      <w:r>
        <w:rPr>
          <w:kern w:val="0"/>
        </w:rPr>
        <w:t>7</w:t>
      </w:r>
      <w:r>
        <w:rPr>
          <w:rFonts w:hint="eastAsia"/>
          <w:kern w:val="0"/>
        </w:rPr>
        <w:t>、</w:t>
      </w:r>
      <w:r>
        <w:rPr>
          <w:kern w:val="0"/>
        </w:rPr>
        <w:t>配合有关部门做好园区内的林业林政、渔业渔政、环境保护、园林绿化等工作</w:t>
      </w:r>
      <w:r>
        <w:rPr>
          <w:rFonts w:hint="eastAsia"/>
          <w:kern w:val="0"/>
        </w:rPr>
        <w:t>。</w:t>
      </w:r>
    </w:p>
    <w:p>
      <w:pPr>
        <w:ind w:firstLine="594"/>
        <w:rPr>
          <w:rFonts w:hAnsi="仿宋"/>
          <w:szCs w:val="32"/>
        </w:rPr>
      </w:pPr>
      <w:r>
        <w:rPr>
          <w:kern w:val="0"/>
        </w:rPr>
        <w:t>8</w:t>
      </w:r>
      <w:r>
        <w:rPr>
          <w:rFonts w:hint="eastAsia"/>
          <w:kern w:val="0"/>
        </w:rPr>
        <w:t>、</w:t>
      </w:r>
      <w:r>
        <w:rPr>
          <w:kern w:val="0"/>
        </w:rPr>
        <w:t>完成县人民政府交办的其它事项。</w:t>
      </w:r>
    </w:p>
    <w:p>
      <w:pPr>
        <w:pStyle w:val="3"/>
        <w:ind w:firstLine="596"/>
        <w:rPr>
          <w:kern w:val="0"/>
        </w:rPr>
      </w:pPr>
      <w:bookmarkStart w:id="2" w:name="_Toc33521243"/>
      <w:r>
        <w:rPr>
          <w:kern w:val="0"/>
        </w:rPr>
        <w:t>（二）</w:t>
      </w:r>
      <w:r>
        <w:rPr>
          <w:rFonts w:hint="eastAsia"/>
          <w:kern w:val="0"/>
        </w:rPr>
        <w:t>机构</w:t>
      </w:r>
      <w:r>
        <w:rPr>
          <w:kern w:val="0"/>
        </w:rPr>
        <w:t>设置情况</w:t>
      </w:r>
      <w:bookmarkEnd w:id="2"/>
    </w:p>
    <w:p>
      <w:pPr>
        <w:ind w:firstLine="594"/>
        <w:rPr>
          <w:kern w:val="0"/>
        </w:rPr>
      </w:pPr>
      <w:r>
        <w:rPr>
          <w:rFonts w:hint="eastAsia"/>
          <w:kern w:val="0"/>
        </w:rPr>
        <w:t>湖南衡山萱洲国家湿地公园管理处共设有机构7个。</w:t>
      </w:r>
    </w:p>
    <w:p>
      <w:pPr>
        <w:ind w:firstLine="594"/>
        <w:rPr>
          <w:kern w:val="0"/>
        </w:rPr>
      </w:pPr>
      <w:r>
        <w:rPr>
          <w:rFonts w:hint="eastAsia"/>
          <w:kern w:val="0"/>
        </w:rPr>
        <w:t>其中内设机构5个，分别为办公室、计划财务股、资源保护股、科研监测股、政策法规（科普宣教）股。</w:t>
      </w:r>
    </w:p>
    <w:p>
      <w:pPr>
        <w:ind w:firstLine="594"/>
        <w:rPr>
          <w:kern w:val="0"/>
        </w:rPr>
      </w:pPr>
      <w:r>
        <w:rPr>
          <w:rFonts w:hint="eastAsia"/>
          <w:kern w:val="0"/>
        </w:rPr>
        <w:t>下设机构2个，均为</w:t>
      </w:r>
      <w:r>
        <w:rPr>
          <w:kern w:val="0"/>
        </w:rPr>
        <w:t>正股级事业单位</w:t>
      </w:r>
      <w:r>
        <w:rPr>
          <w:rFonts w:hint="eastAsia"/>
          <w:kern w:val="0"/>
        </w:rPr>
        <w:t>，分别为永和湿地保护管理站、萱洲湿地保护管理站。</w:t>
      </w:r>
    </w:p>
    <w:p>
      <w:pPr>
        <w:pStyle w:val="3"/>
        <w:ind w:firstLine="596"/>
        <w:rPr>
          <w:kern w:val="0"/>
        </w:rPr>
      </w:pPr>
      <w:bookmarkStart w:id="3" w:name="_Toc33521244"/>
      <w:r>
        <w:rPr>
          <w:rFonts w:hint="eastAsia"/>
          <w:kern w:val="0"/>
        </w:rPr>
        <w:t>（三）人员编制情况</w:t>
      </w:r>
      <w:bookmarkEnd w:id="3"/>
    </w:p>
    <w:p>
      <w:pPr>
        <w:ind w:firstLine="274"/>
        <w:rPr>
          <w:kern w:val="0"/>
        </w:rPr>
      </w:pPr>
      <w:r>
        <w:rPr>
          <w:rFonts w:ascii="Arial" w:hAnsi="Arial" w:cs="Arial"/>
          <w:color w:val="333333"/>
          <w:kern w:val="0"/>
          <w:sz w:val="16"/>
          <w:szCs w:val="16"/>
        </w:rPr>
        <w:t>　</w:t>
      </w:r>
      <w:r>
        <w:rPr>
          <w:kern w:val="0"/>
        </w:rPr>
        <w:t>2018年末，</w:t>
      </w:r>
      <w:r>
        <w:rPr>
          <w:rFonts w:hint="eastAsia"/>
          <w:kern w:val="0"/>
        </w:rPr>
        <w:t>湖南衡山萱洲国家湿地公园管理处</w:t>
      </w:r>
      <w:r>
        <w:rPr>
          <w:kern w:val="0"/>
        </w:rPr>
        <w:t>共有</w:t>
      </w:r>
      <w:r>
        <w:rPr>
          <w:rFonts w:hint="eastAsia"/>
          <w:kern w:val="0"/>
        </w:rPr>
        <w:t>全额拨款</w:t>
      </w:r>
      <w:r>
        <w:rPr>
          <w:kern w:val="0"/>
        </w:rPr>
        <w:t>事业编制</w:t>
      </w:r>
      <w:r>
        <w:rPr>
          <w:rFonts w:hint="eastAsia"/>
          <w:kern w:val="0"/>
        </w:rPr>
        <w:t>15</w:t>
      </w:r>
      <w:r>
        <w:rPr>
          <w:kern w:val="0"/>
        </w:rPr>
        <w:t>人。年末实有在职人员</w:t>
      </w:r>
      <w:r>
        <w:rPr>
          <w:rFonts w:hint="eastAsia"/>
          <w:kern w:val="0"/>
        </w:rPr>
        <w:t>10</w:t>
      </w:r>
      <w:r>
        <w:rPr>
          <w:kern w:val="0"/>
        </w:rPr>
        <w:t>人，离休人员</w:t>
      </w:r>
      <w:r>
        <w:rPr>
          <w:rFonts w:hint="eastAsia"/>
          <w:kern w:val="0"/>
        </w:rPr>
        <w:t>0</w:t>
      </w:r>
      <w:r>
        <w:rPr>
          <w:kern w:val="0"/>
        </w:rPr>
        <w:t>人。</w:t>
      </w:r>
    </w:p>
    <w:p>
      <w:pPr>
        <w:pStyle w:val="2"/>
        <w:ind w:firstLine="594"/>
        <w:rPr>
          <w:kern w:val="0"/>
        </w:rPr>
      </w:pPr>
      <w:bookmarkStart w:id="4" w:name="_Toc33521245"/>
      <w:r>
        <w:rPr>
          <w:kern w:val="0"/>
        </w:rPr>
        <w:t>二、</w:t>
      </w:r>
      <w:r>
        <w:rPr>
          <w:rFonts w:hint="eastAsia"/>
          <w:kern w:val="0"/>
        </w:rPr>
        <w:t>部门</w:t>
      </w:r>
      <w:r>
        <w:rPr>
          <w:kern w:val="0"/>
        </w:rPr>
        <w:t>整体支出管理及使用情况</w:t>
      </w:r>
      <w:bookmarkEnd w:id="4"/>
    </w:p>
    <w:p>
      <w:pPr>
        <w:pStyle w:val="3"/>
        <w:ind w:firstLine="596"/>
        <w:rPr>
          <w:kern w:val="0"/>
        </w:rPr>
      </w:pPr>
      <w:bookmarkStart w:id="5" w:name="_Toc33521246"/>
      <w:r>
        <w:rPr>
          <w:kern w:val="0"/>
        </w:rPr>
        <w:t>（一）</w:t>
      </w:r>
      <w:bookmarkStart w:id="6" w:name="_Hlk518291918"/>
      <w:r>
        <w:rPr>
          <w:rFonts w:hint="eastAsia" w:ascii="Times New Roman" w:hAnsi="Times New Roman"/>
          <w:kern w:val="0"/>
        </w:rPr>
        <w:t>2018</w:t>
      </w:r>
      <w:r>
        <w:rPr>
          <w:rFonts w:hint="eastAsia"/>
          <w:kern w:val="0"/>
        </w:rPr>
        <w:t>年部门预算情况</w:t>
      </w:r>
      <w:bookmarkEnd w:id="5"/>
    </w:p>
    <w:bookmarkEnd w:id="6"/>
    <w:p>
      <w:pPr>
        <w:ind w:firstLine="594"/>
        <w:rPr>
          <w:kern w:val="0"/>
        </w:rPr>
      </w:pPr>
      <w:r>
        <w:rPr>
          <w:kern w:val="0"/>
        </w:rPr>
        <w:t>经衡山县财政局通过的</w:t>
      </w:r>
      <w:r>
        <w:rPr>
          <w:rFonts w:hint="eastAsia"/>
          <w:kern w:val="0"/>
        </w:rPr>
        <w:t>2018年部门</w:t>
      </w:r>
      <w:r>
        <w:rPr>
          <w:kern w:val="0"/>
        </w:rPr>
        <w:t>预算批复，全年收入预算总计</w:t>
      </w:r>
      <w:r>
        <w:rPr>
          <w:rFonts w:hint="eastAsia"/>
          <w:kern w:val="0"/>
        </w:rPr>
        <w:t>74.65万元，其中：经费拨款74.65万元，纳入预算管理的非税收入拨款0万元，转移支付安排0万元，基金预算拨款0万元，财政专户管理的非税收入拨款0万元，经营收入0万元，实际补助收入0万元，对附属单位缴款0万元，其他收入0万元。</w:t>
      </w:r>
    </w:p>
    <w:p>
      <w:pPr>
        <w:ind w:firstLine="594"/>
        <w:rPr>
          <w:kern w:val="0"/>
        </w:rPr>
      </w:pPr>
      <w:r>
        <w:rPr>
          <w:rFonts w:hint="eastAsia"/>
          <w:kern w:val="0"/>
        </w:rPr>
        <w:t>全年支出预算总计74.65万元，其中：基本支出59.65万元（工资福利支出55.15万元、一般商品和服务支出4.5万元、对个人和家庭的补助0万元），项目支出15万元，经营支出0万元，对附属单位补助支出0万元，上缴上级支出0万元。全年预算收支平衡。</w:t>
      </w:r>
    </w:p>
    <w:p>
      <w:pPr>
        <w:pStyle w:val="3"/>
        <w:ind w:firstLine="596"/>
        <w:rPr>
          <w:kern w:val="0"/>
        </w:rPr>
      </w:pPr>
      <w:bookmarkStart w:id="7" w:name="_Toc33521247"/>
      <w:r>
        <w:rPr>
          <w:kern w:val="0"/>
        </w:rPr>
        <w:t>（二）</w:t>
      </w:r>
      <w:r>
        <w:rPr>
          <w:rFonts w:hint="eastAsia" w:ascii="Times New Roman" w:hAnsi="Times New Roman"/>
          <w:kern w:val="0"/>
        </w:rPr>
        <w:t>2018</w:t>
      </w:r>
      <w:r>
        <w:rPr>
          <w:rFonts w:hint="eastAsia"/>
          <w:kern w:val="0"/>
        </w:rPr>
        <w:t>年部门决算情况</w:t>
      </w:r>
      <w:bookmarkEnd w:id="7"/>
    </w:p>
    <w:p>
      <w:pPr>
        <w:ind w:firstLine="594"/>
        <w:rPr>
          <w:kern w:val="0"/>
        </w:rPr>
      </w:pPr>
      <w:r>
        <w:rPr>
          <w:kern w:val="0"/>
        </w:rPr>
        <w:t>2018年度决算总收入</w:t>
      </w:r>
      <w:r>
        <w:rPr>
          <w:rFonts w:hint="eastAsia"/>
          <w:kern w:val="0"/>
        </w:rPr>
        <w:t>883.17</w:t>
      </w:r>
      <w:r>
        <w:rPr>
          <w:kern w:val="0"/>
        </w:rPr>
        <w:t>万元</w:t>
      </w:r>
      <w:r>
        <w:rPr>
          <w:rFonts w:hint="eastAsia"/>
          <w:kern w:val="0"/>
        </w:rPr>
        <w:t>，</w:t>
      </w:r>
      <w:r>
        <w:rPr>
          <w:kern w:val="0"/>
        </w:rPr>
        <w:t>其中</w:t>
      </w:r>
      <w:r>
        <w:rPr>
          <w:rFonts w:hint="eastAsia"/>
          <w:kern w:val="0"/>
        </w:rPr>
        <w:t>：</w:t>
      </w:r>
      <w:r>
        <w:rPr>
          <w:kern w:val="0"/>
        </w:rPr>
        <w:t>一般公共预算财政拨款</w:t>
      </w:r>
      <w:r>
        <w:rPr>
          <w:rFonts w:hint="eastAsia"/>
          <w:kern w:val="0"/>
        </w:rPr>
        <w:t>183.08万元，政府性基金预算财政拨款700万元，</w:t>
      </w:r>
      <w:r>
        <w:rPr>
          <w:kern w:val="0"/>
        </w:rPr>
        <w:t>其他收入0.09万元</w:t>
      </w:r>
      <w:r>
        <w:rPr>
          <w:rFonts w:hint="eastAsia"/>
          <w:kern w:val="0"/>
        </w:rPr>
        <w:t>。</w:t>
      </w:r>
    </w:p>
    <w:p>
      <w:pPr>
        <w:ind w:firstLine="594"/>
        <w:rPr>
          <w:kern w:val="0"/>
        </w:rPr>
      </w:pPr>
      <w:r>
        <w:rPr>
          <w:kern w:val="0"/>
        </w:rPr>
        <w:t>2018年度决算总支出</w:t>
      </w:r>
      <w:r>
        <w:rPr>
          <w:rFonts w:hint="eastAsia"/>
          <w:kern w:val="0"/>
        </w:rPr>
        <w:t>469.06</w:t>
      </w:r>
      <w:r>
        <w:rPr>
          <w:kern w:val="0"/>
        </w:rPr>
        <w:t>万元，其中：基本支出</w:t>
      </w:r>
      <w:r>
        <w:rPr>
          <w:rFonts w:hint="eastAsia"/>
          <w:kern w:val="0"/>
        </w:rPr>
        <w:t>170.17</w:t>
      </w:r>
      <w:r>
        <w:rPr>
          <w:kern w:val="0"/>
        </w:rPr>
        <w:t>万元，占总支出的</w:t>
      </w:r>
      <w:r>
        <w:rPr>
          <w:rFonts w:hint="eastAsia"/>
          <w:kern w:val="0"/>
        </w:rPr>
        <w:t>36.28</w:t>
      </w:r>
      <w:r>
        <w:rPr>
          <w:kern w:val="0"/>
        </w:rPr>
        <w:t>%；项目支出</w:t>
      </w:r>
      <w:r>
        <w:rPr>
          <w:rFonts w:hint="eastAsia"/>
          <w:kern w:val="0"/>
        </w:rPr>
        <w:t>298.89</w:t>
      </w:r>
      <w:r>
        <w:rPr>
          <w:kern w:val="0"/>
        </w:rPr>
        <w:t>万元，占总支出的</w:t>
      </w:r>
      <w:r>
        <w:rPr>
          <w:rFonts w:hint="eastAsia"/>
          <w:kern w:val="0"/>
        </w:rPr>
        <w:t>63.72</w:t>
      </w:r>
      <w:r>
        <w:rPr>
          <w:kern w:val="0"/>
        </w:rPr>
        <w:t>%。</w:t>
      </w:r>
    </w:p>
    <w:p>
      <w:pPr>
        <w:ind w:firstLine="594"/>
        <w:rPr>
          <w:kern w:val="0"/>
        </w:rPr>
      </w:pPr>
      <w:r>
        <w:rPr>
          <w:rFonts w:hint="eastAsia"/>
          <w:kern w:val="0"/>
        </w:rPr>
        <w:t>2018年年初结转和结余113.07万元，其中：基本支出结转113.07万元，项目支出结转和结余0</w:t>
      </w:r>
      <w:r>
        <w:rPr>
          <w:kern w:val="0"/>
        </w:rPr>
        <w:t>万元</w:t>
      </w:r>
      <w:r>
        <w:rPr>
          <w:rFonts w:hint="eastAsia"/>
          <w:kern w:val="0"/>
        </w:rPr>
        <w:t>。</w:t>
      </w:r>
      <w:r>
        <w:rPr>
          <w:kern w:val="0"/>
        </w:rPr>
        <w:t>2018年年末结转和结余</w:t>
      </w:r>
      <w:r>
        <w:rPr>
          <w:rFonts w:hint="eastAsia"/>
          <w:kern w:val="0"/>
        </w:rPr>
        <w:t>527.18</w:t>
      </w:r>
      <w:r>
        <w:rPr>
          <w:kern w:val="0"/>
        </w:rPr>
        <w:t>万元，其中</w:t>
      </w:r>
      <w:r>
        <w:rPr>
          <w:rFonts w:hint="eastAsia"/>
          <w:kern w:val="0"/>
        </w:rPr>
        <w:t>：基本支出结转0万元，项目支出结转和结余526.98</w:t>
      </w:r>
      <w:r>
        <w:rPr>
          <w:kern w:val="0"/>
        </w:rPr>
        <w:t>万元</w:t>
      </w:r>
      <w:r>
        <w:rPr>
          <w:rFonts w:hint="eastAsia"/>
          <w:kern w:val="0"/>
        </w:rPr>
        <w:t>，结余分配转入事业基金结余0.2万元。</w:t>
      </w:r>
    </w:p>
    <w:p>
      <w:pPr>
        <w:pStyle w:val="3"/>
        <w:ind w:firstLine="596"/>
        <w:rPr>
          <w:kern w:val="0"/>
        </w:rPr>
      </w:pPr>
      <w:bookmarkStart w:id="8" w:name="_Toc33521248"/>
      <w:r>
        <w:rPr>
          <w:kern w:val="0"/>
        </w:rPr>
        <w:t>（</w:t>
      </w:r>
      <w:r>
        <w:rPr>
          <w:rFonts w:hint="eastAsia"/>
          <w:kern w:val="0"/>
        </w:rPr>
        <w:t>三</w:t>
      </w:r>
      <w:r>
        <w:rPr>
          <w:kern w:val="0"/>
        </w:rPr>
        <w:t>）</w:t>
      </w:r>
      <w:r>
        <w:rPr>
          <w:rFonts w:hint="eastAsia" w:ascii="Times New Roman" w:hAnsi="Times New Roman"/>
          <w:kern w:val="0"/>
        </w:rPr>
        <w:t>2018</w:t>
      </w:r>
      <w:r>
        <w:rPr>
          <w:rFonts w:hint="eastAsia"/>
          <w:kern w:val="0"/>
        </w:rPr>
        <w:t>年支出分类情况</w:t>
      </w:r>
      <w:bookmarkEnd w:id="8"/>
    </w:p>
    <w:p>
      <w:pPr>
        <w:pStyle w:val="4"/>
        <w:ind w:firstLine="596"/>
        <w:rPr>
          <w:kern w:val="0"/>
        </w:rPr>
      </w:pPr>
      <w:bookmarkStart w:id="9" w:name="_Toc33521249"/>
      <w:r>
        <w:rPr>
          <w:rFonts w:hint="eastAsia"/>
          <w:kern w:val="0"/>
        </w:rPr>
        <w:t>1、</w:t>
      </w:r>
      <w:r>
        <w:rPr>
          <w:kern w:val="0"/>
        </w:rPr>
        <w:t>基本支出</w:t>
      </w:r>
      <w:bookmarkEnd w:id="9"/>
    </w:p>
    <w:p>
      <w:pPr>
        <w:ind w:firstLine="594"/>
        <w:rPr>
          <w:rFonts w:ascii="仿宋" w:hAnsi="仿宋"/>
          <w:kern w:val="0"/>
          <w:szCs w:val="32"/>
        </w:rPr>
      </w:pPr>
      <w:r>
        <w:rPr>
          <w:kern w:val="0"/>
        </w:rPr>
        <w:t>基本支出系保障</w:t>
      </w:r>
      <w:r>
        <w:rPr>
          <w:rFonts w:hint="eastAsia"/>
          <w:kern w:val="0"/>
        </w:rPr>
        <w:t>湖南</w:t>
      </w:r>
      <w:r>
        <w:rPr>
          <w:kern w:val="0"/>
        </w:rPr>
        <w:t>衡山萱洲国家湿地公园管理处正常运转的日常支出，包括基本工资、津贴补贴等人员经费以及办公费、印刷费、水电费、办公设备购置等日常公用经费。2018年基本支出</w:t>
      </w:r>
      <w:r>
        <w:rPr>
          <w:rFonts w:hint="eastAsia"/>
          <w:kern w:val="0"/>
        </w:rPr>
        <w:t>170.17</w:t>
      </w:r>
      <w:r>
        <w:rPr>
          <w:kern w:val="0"/>
        </w:rPr>
        <w:t>万元，较上年增加</w:t>
      </w:r>
      <w:r>
        <w:rPr>
          <w:rFonts w:hint="eastAsia"/>
          <w:kern w:val="0"/>
        </w:rPr>
        <w:t>71.5</w:t>
      </w:r>
      <w:r>
        <w:rPr>
          <w:kern w:val="0"/>
        </w:rPr>
        <w:t>万元，增长</w:t>
      </w:r>
      <w:r>
        <w:rPr>
          <w:rFonts w:hint="eastAsia"/>
          <w:kern w:val="0"/>
        </w:rPr>
        <w:t>72.46</w:t>
      </w:r>
      <w:r>
        <w:rPr>
          <w:kern w:val="0"/>
        </w:rPr>
        <w:t>%。基本支出中人员经费</w:t>
      </w:r>
      <w:r>
        <w:rPr>
          <w:rFonts w:hint="eastAsia"/>
          <w:kern w:val="0"/>
        </w:rPr>
        <w:t>89.55</w:t>
      </w:r>
      <w:r>
        <w:rPr>
          <w:kern w:val="0"/>
        </w:rPr>
        <w:t>万元，占基本支出的</w:t>
      </w:r>
      <w:r>
        <w:rPr>
          <w:rFonts w:hint="eastAsia"/>
          <w:kern w:val="0"/>
        </w:rPr>
        <w:t>52.62</w:t>
      </w:r>
      <w:r>
        <w:rPr>
          <w:kern w:val="0"/>
        </w:rPr>
        <w:t>%，较上年增长</w:t>
      </w:r>
      <w:r>
        <w:rPr>
          <w:rFonts w:hint="eastAsia"/>
          <w:kern w:val="0"/>
        </w:rPr>
        <w:t>49.08</w:t>
      </w:r>
      <w:r>
        <w:rPr>
          <w:kern w:val="0"/>
        </w:rPr>
        <w:t>%，日常公用经费</w:t>
      </w:r>
      <w:r>
        <w:rPr>
          <w:rFonts w:hint="eastAsia"/>
          <w:kern w:val="0"/>
        </w:rPr>
        <w:t>80.62</w:t>
      </w:r>
      <w:r>
        <w:rPr>
          <w:kern w:val="0"/>
        </w:rPr>
        <w:t>万元，占基本支出的</w:t>
      </w:r>
      <w:r>
        <w:rPr>
          <w:rFonts w:hint="eastAsia"/>
          <w:kern w:val="0"/>
        </w:rPr>
        <w:t xml:space="preserve">47.38 </w:t>
      </w:r>
      <w:r>
        <w:rPr>
          <w:kern w:val="0"/>
        </w:rPr>
        <w:t>%，较上年增长</w:t>
      </w:r>
      <w:r>
        <w:rPr>
          <w:rFonts w:hint="eastAsia"/>
          <w:kern w:val="0"/>
        </w:rPr>
        <w:t>108.86</w:t>
      </w:r>
      <w:r>
        <w:rPr>
          <w:kern w:val="0"/>
        </w:rPr>
        <w:t>%。</w:t>
      </w:r>
    </w:p>
    <w:p>
      <w:pPr>
        <w:pStyle w:val="4"/>
        <w:ind w:firstLine="596"/>
        <w:rPr>
          <w:kern w:val="0"/>
        </w:rPr>
      </w:pPr>
      <w:bookmarkStart w:id="10" w:name="_Toc33521250"/>
      <w:r>
        <w:rPr>
          <w:kern w:val="0"/>
        </w:rPr>
        <w:t>2</w:t>
      </w:r>
      <w:r>
        <w:rPr>
          <w:rFonts w:hint="eastAsia"/>
          <w:kern w:val="0"/>
        </w:rPr>
        <w:t>、</w:t>
      </w:r>
      <w:r>
        <w:rPr>
          <w:kern w:val="0"/>
        </w:rPr>
        <w:t>项目支出</w:t>
      </w:r>
      <w:bookmarkEnd w:id="10"/>
    </w:p>
    <w:p>
      <w:pPr>
        <w:ind w:firstLine="594"/>
        <w:rPr>
          <w:kern w:val="0"/>
        </w:rPr>
      </w:pPr>
      <w:r>
        <w:rPr>
          <w:kern w:val="0"/>
        </w:rPr>
        <w:t>项目支出</w:t>
      </w:r>
      <w:r>
        <w:rPr>
          <w:rFonts w:hint="eastAsia"/>
          <w:kern w:val="0"/>
        </w:rPr>
        <w:t>主要为保障湖南</w:t>
      </w:r>
      <w:r>
        <w:rPr>
          <w:kern w:val="0"/>
        </w:rPr>
        <w:t>衡山萱洲国家湿地公园</w:t>
      </w:r>
      <w:r>
        <w:rPr>
          <w:rFonts w:hint="eastAsia"/>
          <w:kern w:val="0"/>
        </w:rPr>
        <w:t>试点建设工作而发生的支出，2018年度湖南衡山萱洲国家湿地公园试点建设工作中主要对退耕还湿试点项目、湿地广场建设项目、湿地科普宣教项目以及湿地科研监测项目进行具体的项目实施工作。</w:t>
      </w:r>
      <w:r>
        <w:rPr>
          <w:kern w:val="0"/>
        </w:rPr>
        <w:t>2018年项目支出</w:t>
      </w:r>
      <w:r>
        <w:rPr>
          <w:rFonts w:hint="eastAsia"/>
          <w:kern w:val="0"/>
        </w:rPr>
        <w:t>298.89</w:t>
      </w:r>
      <w:r>
        <w:rPr>
          <w:kern w:val="0"/>
        </w:rPr>
        <w:t>万元，比上年增加</w:t>
      </w:r>
      <w:r>
        <w:rPr>
          <w:rFonts w:hint="eastAsia"/>
          <w:kern w:val="0"/>
        </w:rPr>
        <w:t>12.98</w:t>
      </w:r>
      <w:r>
        <w:rPr>
          <w:kern w:val="0"/>
        </w:rPr>
        <w:t>万元，增长</w:t>
      </w:r>
      <w:r>
        <w:rPr>
          <w:rFonts w:hint="eastAsia"/>
          <w:kern w:val="0"/>
        </w:rPr>
        <w:t>4.54</w:t>
      </w:r>
      <w:r>
        <w:rPr>
          <w:kern w:val="0"/>
        </w:rPr>
        <w:t>%。</w:t>
      </w:r>
    </w:p>
    <w:p>
      <w:pPr>
        <w:pStyle w:val="3"/>
        <w:ind w:firstLine="596"/>
        <w:rPr>
          <w:kern w:val="0"/>
        </w:rPr>
      </w:pPr>
      <w:bookmarkStart w:id="11" w:name="_Toc33521251"/>
      <w:r>
        <w:rPr>
          <w:rFonts w:hint="eastAsia"/>
          <w:kern w:val="0"/>
        </w:rPr>
        <w:t>（四） “三公”经费情况</w:t>
      </w:r>
      <w:bookmarkEnd w:id="11"/>
    </w:p>
    <w:p>
      <w:pPr>
        <w:ind w:firstLine="274"/>
        <w:rPr>
          <w:kern w:val="0"/>
        </w:rPr>
      </w:pPr>
      <w:r>
        <w:rPr>
          <w:rFonts w:ascii="Arial" w:hAnsi="Arial" w:cs="Arial"/>
          <w:color w:val="333333"/>
          <w:kern w:val="0"/>
          <w:sz w:val="16"/>
          <w:szCs w:val="16"/>
        </w:rPr>
        <w:t>　</w:t>
      </w:r>
      <w:r>
        <w:rPr>
          <w:kern w:val="0"/>
        </w:rPr>
        <w:t>2018年三公经费支出</w:t>
      </w:r>
      <w:r>
        <w:rPr>
          <w:rFonts w:hint="eastAsia"/>
          <w:kern w:val="0"/>
        </w:rPr>
        <w:t>2.99</w:t>
      </w:r>
      <w:r>
        <w:rPr>
          <w:kern w:val="0"/>
        </w:rPr>
        <w:t>万元，为年初预算</w:t>
      </w:r>
      <w:r>
        <w:rPr>
          <w:rFonts w:hint="eastAsia"/>
          <w:kern w:val="0"/>
        </w:rPr>
        <w:t>3</w:t>
      </w:r>
      <w:r>
        <w:rPr>
          <w:kern w:val="0"/>
        </w:rPr>
        <w:t>万元的</w:t>
      </w:r>
      <w:r>
        <w:rPr>
          <w:rFonts w:hint="eastAsia"/>
          <w:kern w:val="0"/>
        </w:rPr>
        <w:t>99.67</w:t>
      </w:r>
      <w:r>
        <w:rPr>
          <w:kern w:val="0"/>
        </w:rPr>
        <w:t>%，比上年</w:t>
      </w:r>
      <w:r>
        <w:rPr>
          <w:rFonts w:hint="eastAsia"/>
          <w:kern w:val="0"/>
        </w:rPr>
        <w:t>2.5</w:t>
      </w:r>
      <w:r>
        <w:rPr>
          <w:kern w:val="0"/>
        </w:rPr>
        <w:t>万元</w:t>
      </w:r>
      <w:r>
        <w:rPr>
          <w:rFonts w:hint="eastAsia"/>
          <w:kern w:val="0"/>
        </w:rPr>
        <w:t>增加19.6</w:t>
      </w:r>
      <w:r>
        <w:rPr>
          <w:kern w:val="0"/>
        </w:rPr>
        <w:t>%。其中：</w:t>
      </w:r>
    </w:p>
    <w:p>
      <w:pPr>
        <w:ind w:firstLine="594"/>
        <w:rPr>
          <w:kern w:val="0"/>
        </w:rPr>
      </w:pPr>
      <w:r>
        <w:rPr>
          <w:kern w:val="0"/>
        </w:rPr>
        <w:t>因公出国（境）费支出</w:t>
      </w:r>
      <w:r>
        <w:rPr>
          <w:rFonts w:hint="eastAsia"/>
          <w:kern w:val="0"/>
        </w:rPr>
        <w:t>0</w:t>
      </w:r>
      <w:r>
        <w:rPr>
          <w:kern w:val="0"/>
        </w:rPr>
        <w:t>万元，为年初预算</w:t>
      </w:r>
      <w:r>
        <w:rPr>
          <w:rFonts w:hint="eastAsia"/>
          <w:kern w:val="0"/>
        </w:rPr>
        <w:t>0</w:t>
      </w:r>
      <w:r>
        <w:rPr>
          <w:kern w:val="0"/>
        </w:rPr>
        <w:t>万元的</w:t>
      </w:r>
      <w:r>
        <w:rPr>
          <w:rFonts w:hint="eastAsia"/>
          <w:kern w:val="0"/>
        </w:rPr>
        <w:t>100</w:t>
      </w:r>
      <w:r>
        <w:rPr>
          <w:kern w:val="0"/>
        </w:rPr>
        <w:t>%，比上年</w:t>
      </w:r>
      <w:r>
        <w:rPr>
          <w:rFonts w:hint="eastAsia"/>
          <w:kern w:val="0"/>
        </w:rPr>
        <w:t>0</w:t>
      </w:r>
      <w:r>
        <w:rPr>
          <w:kern w:val="0"/>
        </w:rPr>
        <w:t>万元增加</w:t>
      </w:r>
      <w:r>
        <w:rPr>
          <w:rFonts w:hint="eastAsia"/>
          <w:kern w:val="0"/>
        </w:rPr>
        <w:t>0</w:t>
      </w:r>
      <w:r>
        <w:rPr>
          <w:kern w:val="0"/>
        </w:rPr>
        <w:t>%</w:t>
      </w:r>
      <w:r>
        <w:rPr>
          <w:rFonts w:hint="eastAsia"/>
          <w:kern w:val="0"/>
        </w:rPr>
        <w:t>。</w:t>
      </w:r>
    </w:p>
    <w:p>
      <w:pPr>
        <w:ind w:firstLine="594"/>
        <w:rPr>
          <w:kern w:val="0"/>
        </w:rPr>
      </w:pPr>
      <w:r>
        <w:rPr>
          <w:kern w:val="0"/>
        </w:rPr>
        <w:t>公务用车购置及运行维护费支出</w:t>
      </w:r>
      <w:r>
        <w:rPr>
          <w:rFonts w:hint="eastAsia"/>
          <w:kern w:val="0"/>
        </w:rPr>
        <w:t>0.5</w:t>
      </w:r>
      <w:r>
        <w:rPr>
          <w:kern w:val="0"/>
        </w:rPr>
        <w:t>万元，为年初预算</w:t>
      </w:r>
      <w:r>
        <w:rPr>
          <w:rFonts w:hint="eastAsia"/>
          <w:kern w:val="0"/>
        </w:rPr>
        <w:t>0.5</w:t>
      </w:r>
      <w:r>
        <w:rPr>
          <w:kern w:val="0"/>
        </w:rPr>
        <w:t>万元的</w:t>
      </w:r>
      <w:r>
        <w:rPr>
          <w:rFonts w:hint="eastAsia"/>
          <w:kern w:val="0"/>
        </w:rPr>
        <w:t>100</w:t>
      </w:r>
      <w:r>
        <w:rPr>
          <w:kern w:val="0"/>
        </w:rPr>
        <w:t>%，比上年</w:t>
      </w:r>
      <w:r>
        <w:rPr>
          <w:rFonts w:hint="eastAsia"/>
          <w:kern w:val="0"/>
        </w:rPr>
        <w:t>0</w:t>
      </w:r>
      <w:r>
        <w:rPr>
          <w:kern w:val="0"/>
        </w:rPr>
        <w:t>万元</w:t>
      </w:r>
      <w:r>
        <w:rPr>
          <w:rFonts w:hint="eastAsia"/>
          <w:kern w:val="0"/>
        </w:rPr>
        <w:t>增加100%</w:t>
      </w:r>
      <w:r>
        <w:rPr>
          <w:kern w:val="0"/>
        </w:rPr>
        <w:t>。其中公</w:t>
      </w:r>
      <w:r>
        <w:rPr>
          <w:rFonts w:hint="eastAsia"/>
          <w:kern w:val="0"/>
        </w:rPr>
        <w:t>车</w:t>
      </w:r>
      <w:r>
        <w:rPr>
          <w:kern w:val="0"/>
        </w:rPr>
        <w:t>运行维护费支出</w:t>
      </w:r>
      <w:r>
        <w:rPr>
          <w:rFonts w:hint="eastAsia"/>
          <w:kern w:val="0"/>
        </w:rPr>
        <w:t>0.5</w:t>
      </w:r>
      <w:r>
        <w:rPr>
          <w:kern w:val="0"/>
        </w:rPr>
        <w:t>万元，为年初预算</w:t>
      </w:r>
      <w:r>
        <w:rPr>
          <w:rFonts w:hint="eastAsia"/>
          <w:kern w:val="0"/>
        </w:rPr>
        <w:t>0.5</w:t>
      </w:r>
      <w:r>
        <w:rPr>
          <w:kern w:val="0"/>
        </w:rPr>
        <w:t>万元的</w:t>
      </w:r>
      <w:r>
        <w:rPr>
          <w:rFonts w:hint="eastAsia"/>
          <w:kern w:val="0"/>
        </w:rPr>
        <w:t>100</w:t>
      </w:r>
      <w:r>
        <w:rPr>
          <w:kern w:val="0"/>
        </w:rPr>
        <w:t>%，比上年</w:t>
      </w:r>
      <w:r>
        <w:rPr>
          <w:rFonts w:hint="eastAsia"/>
          <w:kern w:val="0"/>
        </w:rPr>
        <w:t>0</w:t>
      </w:r>
      <w:r>
        <w:rPr>
          <w:kern w:val="0"/>
        </w:rPr>
        <w:t>万元</w:t>
      </w:r>
      <w:r>
        <w:rPr>
          <w:rFonts w:hint="eastAsia"/>
          <w:kern w:val="0"/>
        </w:rPr>
        <w:t>增加100%</w:t>
      </w:r>
      <w:r>
        <w:rPr>
          <w:kern w:val="0"/>
        </w:rPr>
        <w:t>，2018年</w:t>
      </w:r>
      <w:r>
        <w:rPr>
          <w:rFonts w:hint="eastAsia"/>
          <w:kern w:val="0"/>
        </w:rPr>
        <w:t>无</w:t>
      </w:r>
      <w:r>
        <w:rPr>
          <w:kern w:val="0"/>
        </w:rPr>
        <w:t>购置和处置车辆，公务用车购置费0万元，年末车辆保有量</w:t>
      </w:r>
      <w:r>
        <w:rPr>
          <w:rFonts w:hint="eastAsia"/>
          <w:kern w:val="0"/>
        </w:rPr>
        <w:t>1</w:t>
      </w:r>
      <w:r>
        <w:rPr>
          <w:kern w:val="0"/>
        </w:rPr>
        <w:t>台。</w:t>
      </w:r>
    </w:p>
    <w:p>
      <w:pPr>
        <w:ind w:firstLine="594"/>
        <w:rPr>
          <w:kern w:val="0"/>
        </w:rPr>
      </w:pPr>
      <w:r>
        <w:rPr>
          <w:kern w:val="0"/>
        </w:rPr>
        <w:t>公务接待费支出</w:t>
      </w:r>
      <w:r>
        <w:rPr>
          <w:rFonts w:hint="eastAsia"/>
          <w:kern w:val="0"/>
        </w:rPr>
        <w:t>2.49</w:t>
      </w:r>
      <w:r>
        <w:rPr>
          <w:kern w:val="0"/>
        </w:rPr>
        <w:t>万元，为年初预算</w:t>
      </w:r>
      <w:r>
        <w:rPr>
          <w:rFonts w:hint="eastAsia"/>
          <w:kern w:val="0"/>
        </w:rPr>
        <w:t>2.5</w:t>
      </w:r>
      <w:r>
        <w:rPr>
          <w:kern w:val="0"/>
        </w:rPr>
        <w:t>万元的</w:t>
      </w:r>
      <w:r>
        <w:rPr>
          <w:rFonts w:hint="eastAsia"/>
          <w:kern w:val="0"/>
        </w:rPr>
        <w:t>99.6</w:t>
      </w:r>
      <w:r>
        <w:rPr>
          <w:kern w:val="0"/>
        </w:rPr>
        <w:t>%，</w:t>
      </w:r>
      <w:r>
        <w:rPr>
          <w:rFonts w:hint="eastAsia"/>
          <w:kern w:val="0"/>
        </w:rPr>
        <w:t>与</w:t>
      </w:r>
      <w:r>
        <w:rPr>
          <w:kern w:val="0"/>
        </w:rPr>
        <w:t>上年</w:t>
      </w:r>
      <w:r>
        <w:rPr>
          <w:rFonts w:hint="eastAsia"/>
          <w:kern w:val="0"/>
        </w:rPr>
        <w:t>2.5</w:t>
      </w:r>
      <w:r>
        <w:rPr>
          <w:kern w:val="0"/>
        </w:rPr>
        <w:t>万元</w:t>
      </w:r>
      <w:r>
        <w:rPr>
          <w:rFonts w:hint="eastAsia"/>
          <w:kern w:val="0"/>
        </w:rPr>
        <w:t>持平</w:t>
      </w:r>
      <w:r>
        <w:rPr>
          <w:kern w:val="0"/>
        </w:rPr>
        <w:t>。</w:t>
      </w:r>
    </w:p>
    <w:p>
      <w:pPr>
        <w:pStyle w:val="2"/>
        <w:ind w:firstLine="594"/>
        <w:rPr>
          <w:kern w:val="0"/>
        </w:rPr>
      </w:pPr>
      <w:bookmarkStart w:id="12" w:name="_Toc33521252"/>
      <w:r>
        <w:rPr>
          <w:rFonts w:hint="eastAsia"/>
          <w:kern w:val="0"/>
        </w:rPr>
        <w:t>三、资产管理情况</w:t>
      </w:r>
      <w:bookmarkEnd w:id="12"/>
    </w:p>
    <w:p>
      <w:pPr>
        <w:ind w:firstLine="594"/>
        <w:rPr>
          <w:kern w:val="0"/>
        </w:rPr>
      </w:pPr>
      <w:r>
        <w:rPr>
          <w:rFonts w:hint="eastAsia"/>
          <w:kern w:val="0"/>
        </w:rPr>
        <w:t>截至2018年12月31日，资产总额为748.62万元，其中：流动资产528.38万元，占70.58%；固定资产168.28万元，占22.48%；在建工程51.96万元，占6.94%；无单价50万元以上通用设备，无单价100.00万元以上的专用设备；无无形资产。</w:t>
      </w:r>
    </w:p>
    <w:p>
      <w:pPr>
        <w:ind w:firstLine="594"/>
        <w:rPr>
          <w:kern w:val="0"/>
        </w:rPr>
      </w:pPr>
      <w:r>
        <w:rPr>
          <w:rFonts w:hint="eastAsia"/>
          <w:kern w:val="0"/>
        </w:rPr>
        <w:t>2018年新增固定资产168.28万元，其中通用设备37个，共计67.76万元；专用设备21个，共计63.32万元；文物和陈列品1个，价值30万；家具、用具、装具、及动植物81个，共计7.2万元。</w:t>
      </w:r>
    </w:p>
    <w:p>
      <w:pPr>
        <w:pStyle w:val="2"/>
        <w:ind w:firstLine="594"/>
        <w:rPr>
          <w:kern w:val="0"/>
        </w:rPr>
      </w:pPr>
      <w:bookmarkStart w:id="13" w:name="_Toc33521253"/>
      <w:r>
        <w:rPr>
          <w:rFonts w:hint="eastAsia"/>
          <w:kern w:val="0"/>
        </w:rPr>
        <w:t>四、部门整体绩效情况</w:t>
      </w:r>
      <w:bookmarkEnd w:id="13"/>
    </w:p>
    <w:p>
      <w:pPr>
        <w:pStyle w:val="3"/>
        <w:ind w:firstLine="596"/>
        <w:rPr>
          <w:kern w:val="0"/>
        </w:rPr>
      </w:pPr>
      <w:bookmarkStart w:id="14" w:name="_Toc33521254"/>
      <w:r>
        <w:rPr>
          <w:rFonts w:hint="eastAsia"/>
          <w:kern w:val="0"/>
        </w:rPr>
        <w:t>（一）打造良好区域生态湿地系统，有效保障区域生态平衡</w:t>
      </w:r>
      <w:bookmarkEnd w:id="14"/>
    </w:p>
    <w:p>
      <w:pPr>
        <w:ind w:firstLine="594"/>
        <w:rPr>
          <w:kern w:val="0"/>
        </w:rPr>
      </w:pPr>
      <w:r>
        <w:rPr>
          <w:rFonts w:hint="eastAsia"/>
          <w:kern w:val="0"/>
        </w:rPr>
        <w:t>湖南衡山萱洲国家湿地公园的试点建设，一是通过改善水质环境，为鱼类“三场一通道”保护提供良好的生态环境，对鱼类种质资源保护具有重要意义；二是通过采取一系列的生态保护和湿地恢复工程措施，增加了生物栖息地的面积，改善现有生物栖息地环境，有利于保护生物多样性；三是通过优化湿地类型，提高湿地质量，增加了生态系统服务价值，不断完善湿地生态系统。同时也提高了湿地生态系统涵养水源、均化洪水的能力。</w:t>
      </w:r>
    </w:p>
    <w:p>
      <w:pPr>
        <w:pStyle w:val="3"/>
        <w:ind w:firstLine="596"/>
        <w:rPr>
          <w:rFonts w:ascii="仿宋" w:hAnsi="仿宋" w:eastAsia="仿宋"/>
          <w:kern w:val="0"/>
        </w:rPr>
      </w:pPr>
      <w:bookmarkStart w:id="15" w:name="_Toc33521255"/>
      <w:r>
        <w:rPr>
          <w:rFonts w:hint="eastAsia"/>
          <w:kern w:val="0"/>
        </w:rPr>
        <w:t>（二）推进湿地文化传播，加快生态文明建设步伐</w:t>
      </w:r>
      <w:bookmarkEnd w:id="15"/>
    </w:p>
    <w:p>
      <w:pPr>
        <w:ind w:firstLine="594"/>
        <w:rPr>
          <w:kern w:val="0"/>
        </w:rPr>
      </w:pPr>
      <w:r>
        <w:rPr>
          <w:rFonts w:hint="eastAsia"/>
          <w:kern w:val="0"/>
        </w:rPr>
        <w:t>湖南衡山萱洲国家湿地公园的试点建设，通过建设湿地公园科普宣教中心、科普宣教长廊和科普宣教标识标牌体系，大力推进生态自然教育，组织开展了一系列线上和线下、室内室外、传统媒体和自媒体等形式的湿地科普宣教活动，丰富了群众的湿地文化知识，促进自然资源保护，唤起公众对湿地环保和生态环保意识，对推进精神文明建设具有重要意义。</w:t>
      </w:r>
    </w:p>
    <w:p>
      <w:pPr>
        <w:pStyle w:val="3"/>
        <w:ind w:firstLine="596"/>
        <w:rPr>
          <w:kern w:val="0"/>
        </w:rPr>
      </w:pPr>
      <w:bookmarkStart w:id="16" w:name="_Toc33521256"/>
      <w:r>
        <w:rPr>
          <w:rFonts w:hint="eastAsia"/>
          <w:kern w:val="0"/>
        </w:rPr>
        <w:t>（三）促进第三产业发展，提高区域农户经济收入</w:t>
      </w:r>
      <w:bookmarkEnd w:id="16"/>
    </w:p>
    <w:p>
      <w:pPr>
        <w:ind w:firstLine="594"/>
        <w:rPr>
          <w:kern w:val="0"/>
        </w:rPr>
      </w:pPr>
      <w:r>
        <w:rPr>
          <w:rFonts w:hint="eastAsia"/>
          <w:kern w:val="0"/>
        </w:rPr>
        <w:t>湖南衡山萱洲国家湿地公园的试点建设过程中，随着科研、宣传工作的不断深化和生态旅游的发展，湿地公园成为了对外交流的重要窗口。一是直接提高了衡山县的知名度，吸引诸多专家、学者、游客及媒体都纷至沓来；二是开展生态旅游，带动了与旅游业相关的吃、住、行、购、娱等第三产业的发展，促进了地方区域经济发展，为当地居民提供了更多的就业机会，增加了收入来源。</w:t>
      </w:r>
    </w:p>
    <w:p>
      <w:pPr>
        <w:pStyle w:val="3"/>
        <w:ind w:firstLine="596"/>
        <w:rPr>
          <w:kern w:val="0"/>
        </w:rPr>
      </w:pPr>
      <w:bookmarkStart w:id="17" w:name="_Toc33521257"/>
      <w:r>
        <w:rPr>
          <w:rFonts w:hint="eastAsia"/>
          <w:kern w:val="0"/>
        </w:rPr>
        <w:t>（四）人居环境日益改善，居民生活品质显著提高</w:t>
      </w:r>
      <w:bookmarkEnd w:id="17"/>
    </w:p>
    <w:p>
      <w:pPr>
        <w:ind w:firstLine="594"/>
        <w:rPr>
          <w:kern w:val="0"/>
        </w:rPr>
      </w:pPr>
      <w:r>
        <w:rPr>
          <w:rFonts w:hint="eastAsia"/>
          <w:kern w:val="0"/>
        </w:rPr>
        <w:t>湖南衡山萱洲国家湿地公园的试点建设，通过积极引导群众进行生产经营方式的转变，降低污染源，提高其环境卫生意识，改善了农村面貌，促进了区域居民生活环境日益改善，实现社会环境的良性循环。</w:t>
      </w:r>
    </w:p>
    <w:p>
      <w:pPr>
        <w:pStyle w:val="2"/>
        <w:ind w:firstLine="594"/>
        <w:rPr>
          <w:kern w:val="0"/>
        </w:rPr>
      </w:pPr>
      <w:bookmarkStart w:id="18" w:name="_Toc33521258"/>
      <w:r>
        <w:rPr>
          <w:rFonts w:hint="eastAsia"/>
          <w:kern w:val="0"/>
        </w:rPr>
        <w:t>五、综合评价情况及评价结论</w:t>
      </w:r>
      <w:bookmarkEnd w:id="18"/>
    </w:p>
    <w:p>
      <w:pPr>
        <w:pStyle w:val="3"/>
        <w:ind w:firstLine="596"/>
        <w:rPr>
          <w:kern w:val="0"/>
        </w:rPr>
      </w:pPr>
      <w:bookmarkStart w:id="19" w:name="_Toc33521259"/>
      <w:r>
        <w:rPr>
          <w:rFonts w:hint="eastAsia"/>
          <w:kern w:val="0"/>
        </w:rPr>
        <w:t>（一）绩效评价结论</w:t>
      </w:r>
      <w:bookmarkEnd w:id="19"/>
    </w:p>
    <w:p>
      <w:pPr>
        <w:ind w:firstLine="594"/>
        <w:rPr>
          <w:kern w:val="0"/>
        </w:rPr>
      </w:pPr>
      <w:r>
        <w:rPr>
          <w:rFonts w:hint="eastAsia"/>
          <w:kern w:val="0"/>
        </w:rPr>
        <w:t>经评价工作组从预算配置、预算执行、预算管理、职责履行和履职效益等方面对湖南</w:t>
      </w:r>
      <w:r>
        <w:rPr>
          <w:kern w:val="0"/>
        </w:rPr>
        <w:t>衡山萱洲国家湿地</w:t>
      </w:r>
      <w:r>
        <w:rPr>
          <w:rFonts w:hint="eastAsia"/>
          <w:kern w:val="0"/>
        </w:rPr>
        <w:t>公</w:t>
      </w:r>
      <w:r>
        <w:rPr>
          <w:kern w:val="0"/>
        </w:rPr>
        <w:t>园</w:t>
      </w:r>
      <w:r>
        <w:rPr>
          <w:rFonts w:hint="eastAsia"/>
          <w:kern w:val="0"/>
        </w:rPr>
        <w:t>管理处2018年度部门整体支出资金项目进行综合评定，该项目绩效评价得分为85分。具体指标评分情况见附件一。</w:t>
      </w:r>
    </w:p>
    <w:p>
      <w:pPr>
        <w:pStyle w:val="3"/>
        <w:ind w:firstLine="596"/>
        <w:rPr>
          <w:kern w:val="0"/>
        </w:rPr>
      </w:pPr>
      <w:bookmarkStart w:id="20" w:name="_Toc33521260"/>
      <w:r>
        <w:rPr>
          <w:rFonts w:hint="eastAsia"/>
          <w:kern w:val="0"/>
        </w:rPr>
        <w:t>（二）简析指标评分情况</w:t>
      </w:r>
      <w:bookmarkEnd w:id="20"/>
    </w:p>
    <w:p>
      <w:pPr>
        <w:pStyle w:val="4"/>
        <w:ind w:firstLine="596"/>
        <w:rPr>
          <w:kern w:val="0"/>
        </w:rPr>
      </w:pPr>
      <w:bookmarkStart w:id="21" w:name="_Toc33521261"/>
      <w:r>
        <w:rPr>
          <w:rFonts w:hint="eastAsia"/>
          <w:kern w:val="0"/>
        </w:rPr>
        <w:t>1、预算配置控制较好，得分为10分</w:t>
      </w:r>
      <w:bookmarkEnd w:id="21"/>
    </w:p>
    <w:p>
      <w:pPr>
        <w:ind w:firstLine="594"/>
        <w:rPr>
          <w:kern w:val="0"/>
        </w:rPr>
      </w:pPr>
      <w:r>
        <w:rPr>
          <w:rFonts w:hint="eastAsia"/>
          <w:kern w:val="0"/>
        </w:rPr>
        <w:t>（1）在职人员控制率=（在职人员10人/编制15人）×100%=66.67%，≦100%得满分5分，每超过一个百分点扣0.5分，扣完为止。本项无扣分，得5分。</w:t>
      </w:r>
    </w:p>
    <w:p>
      <w:pPr>
        <w:ind w:firstLine="594"/>
        <w:rPr>
          <w:rFonts w:ascii="仿宋" w:hAnsi="仿宋"/>
          <w:kern w:val="0"/>
          <w:szCs w:val="32"/>
        </w:rPr>
      </w:pPr>
      <w:r>
        <w:rPr>
          <w:rFonts w:hint="eastAsia"/>
          <w:kern w:val="0"/>
        </w:rPr>
        <w:t>（2）“三公经费”变动率=（本年度“三公经费”预算数3万元-上年度“三公经费”预算数6万元）/上年度“三公经费”预算数6万元×100%=-50%，“三公经费”变动率≦0得满分5分，本项无扣分，得5分。</w:t>
      </w:r>
    </w:p>
    <w:p>
      <w:pPr>
        <w:pStyle w:val="4"/>
        <w:ind w:firstLine="596"/>
        <w:rPr>
          <w:kern w:val="0"/>
        </w:rPr>
      </w:pPr>
      <w:bookmarkStart w:id="22" w:name="_Toc33521262"/>
      <w:r>
        <w:rPr>
          <w:rFonts w:hint="eastAsia"/>
          <w:kern w:val="0"/>
        </w:rPr>
        <w:t>2、预算执行存在较大不足之处，得分为10分</w:t>
      </w:r>
      <w:bookmarkEnd w:id="22"/>
    </w:p>
    <w:p>
      <w:pPr>
        <w:ind w:firstLine="594"/>
        <w:rPr>
          <w:kern w:val="0"/>
        </w:rPr>
      </w:pPr>
      <w:r>
        <w:rPr>
          <w:rFonts w:hint="eastAsia"/>
          <w:kern w:val="0"/>
        </w:rPr>
        <w:t>（1）预算完成率=（上年结转113.07万元+年初预算数74.65万元+本年追加预算808.35万元-年末结余527.18万元）/(上年结转113.07万元+年初预算数74.65万元+本年追加预算808.35万元)×100%=47.08%，100%得满分，每低于5%扣2分，本项扣5分，得0分。</w:t>
      </w:r>
    </w:p>
    <w:p>
      <w:pPr>
        <w:ind w:firstLine="594"/>
        <w:rPr>
          <w:b/>
          <w:kern w:val="0"/>
        </w:rPr>
      </w:pPr>
      <w:r>
        <w:rPr>
          <w:rFonts w:hint="eastAsia"/>
          <w:kern w:val="0"/>
        </w:rPr>
        <w:t>（2）预算控制率=（本年追加预算808.35万元/年初预算数74.65万元）×100%=1083.08%，大于30%不得分，本项扣5分，得0分。</w:t>
      </w:r>
    </w:p>
    <w:p>
      <w:pPr>
        <w:ind w:firstLine="594"/>
        <w:rPr>
          <w:kern w:val="0"/>
        </w:rPr>
      </w:pPr>
      <w:r>
        <w:rPr>
          <w:rFonts w:hint="eastAsia"/>
          <w:kern w:val="0"/>
        </w:rPr>
        <w:t>（3）楼堂馆所面积控制率=实际建设面积/批准建设面积*100%。该指标以2017年完工的新建楼堂馆所为评价内容。该单位2017年无新建楼堂馆所，计5分。</w:t>
      </w:r>
    </w:p>
    <w:p>
      <w:pPr>
        <w:ind w:firstLine="594"/>
        <w:rPr>
          <w:rFonts w:ascii="仿宋" w:hAnsi="仿宋"/>
          <w:kern w:val="0"/>
          <w:szCs w:val="32"/>
        </w:rPr>
      </w:pPr>
      <w:r>
        <w:rPr>
          <w:rFonts w:hint="eastAsia"/>
          <w:kern w:val="0"/>
        </w:rPr>
        <w:t>（4）楼堂馆所投资预算控制率=实际投资金额/批准投资金额*100%。该指标以2017年完工的新建楼堂馆所为评价内容。该单位2017年无新建楼堂馆所，计5分。</w:t>
      </w:r>
    </w:p>
    <w:p>
      <w:pPr>
        <w:pStyle w:val="4"/>
        <w:ind w:firstLine="596"/>
      </w:pPr>
      <w:bookmarkStart w:id="23" w:name="_Toc33521263"/>
      <w:r>
        <w:rPr>
          <w:rFonts w:hint="eastAsia"/>
          <w:kern w:val="0"/>
        </w:rPr>
        <w:t>3、预算管理较为理想，得分为35分</w:t>
      </w:r>
      <w:bookmarkEnd w:id="23"/>
    </w:p>
    <w:p>
      <w:pPr>
        <w:ind w:firstLine="594"/>
        <w:rPr>
          <w:kern w:val="0"/>
        </w:rPr>
      </w:pPr>
      <w:r>
        <w:rPr>
          <w:rFonts w:hint="eastAsia"/>
          <w:kern w:val="0"/>
        </w:rPr>
        <w:t>（1）公用经费控制率=（实际支出公用经费总额</w:t>
      </w:r>
      <w:r>
        <w:rPr>
          <w:kern w:val="0"/>
        </w:rPr>
        <w:t>212.64</w:t>
      </w:r>
      <w:r>
        <w:rPr>
          <w:rFonts w:hint="eastAsia"/>
          <w:kern w:val="0"/>
        </w:rPr>
        <w:t>万元/预算安排公用经费总额</w:t>
      </w:r>
      <w:r>
        <w:rPr>
          <w:kern w:val="0"/>
        </w:rPr>
        <w:t>401.52</w:t>
      </w:r>
      <w:r>
        <w:rPr>
          <w:rFonts w:hint="eastAsia"/>
          <w:kern w:val="0"/>
        </w:rPr>
        <w:t>万元）×100%=</w:t>
      </w:r>
      <w:r>
        <w:rPr>
          <w:kern w:val="0"/>
        </w:rPr>
        <w:t>52.96%</w:t>
      </w:r>
      <w:r>
        <w:rPr>
          <w:rFonts w:hint="eastAsia"/>
          <w:kern w:val="0"/>
        </w:rPr>
        <w:t>，100%以下得满分；本项无扣分，得8分。</w:t>
      </w:r>
    </w:p>
    <w:p>
      <w:pPr>
        <w:ind w:firstLine="594"/>
        <w:rPr>
          <w:kern w:val="0"/>
        </w:rPr>
      </w:pPr>
      <w:r>
        <w:rPr>
          <w:rFonts w:hint="eastAsia"/>
          <w:kern w:val="0"/>
        </w:rPr>
        <w:t>（2）“三公”经费总体控制较好，“三公”经费控制率=（“三公经费”实际支出数2.99万元/“三公经费”预算安排数3万元）×100%=99.67%，100%以下计满分7分。本项无扣分，得7分。</w:t>
      </w:r>
    </w:p>
    <w:p>
      <w:pPr>
        <w:ind w:firstLine="594"/>
        <w:rPr>
          <w:kern w:val="0"/>
        </w:rPr>
      </w:pPr>
      <w:r>
        <w:rPr>
          <w:rFonts w:hint="eastAsia"/>
          <w:kern w:val="0"/>
        </w:rPr>
        <w:t>（3）政府采购执行率=（实际政府采购金额257.22 万元/政府采购预算金额0万元）×100%=0%，100%计满分6分，每超过（降低）5%扣2分。因在编制年度预算的时未能成功申报政府采购预算计划，但在实际执行中，湖南衡山萱洲国家湿地公园管理处严格按照政府采购规范程序执行，本项扣2分，得4分。</w:t>
      </w:r>
    </w:p>
    <w:p>
      <w:pPr>
        <w:ind w:firstLine="594"/>
        <w:rPr>
          <w:kern w:val="0"/>
        </w:rPr>
      </w:pPr>
      <w:r>
        <w:rPr>
          <w:rFonts w:hint="eastAsia"/>
          <w:kern w:val="0"/>
        </w:rPr>
        <w:t>（4）管理制度健全性：该单位内部会计管理制度，管理制度合法、合规、完整，但存在部分相关管理制度未得到有效执行，如财务审批、公务车管理等制度未严格执行，此项合计6分。</w:t>
      </w:r>
    </w:p>
    <w:p>
      <w:pPr>
        <w:ind w:firstLine="594"/>
        <w:rPr>
          <w:kern w:val="0"/>
        </w:rPr>
      </w:pPr>
      <w:r>
        <w:rPr>
          <w:rFonts w:hint="eastAsia"/>
          <w:kern w:val="0"/>
        </w:rPr>
        <w:t>（5）资金使用合规：①因该单位2018年度暂未实行预算管理系统，上级资金均由财政直接拨付至单位银行账户中，资金使用未严格按照专项资金管理办法的规定使用；②资金拨付有审批程序，但也存在部分拨付手续欠规范的情况；③项目支出按规定经过评估论证；④支出符合部门预算批复的用途；⑤资金使用无截留、挤占、挪用、虚列支出等情况。此项合计5分。</w:t>
      </w:r>
    </w:p>
    <w:p>
      <w:pPr>
        <w:ind w:firstLine="594"/>
        <w:rPr>
          <w:kern w:val="0"/>
        </w:rPr>
      </w:pPr>
      <w:r>
        <w:rPr>
          <w:rFonts w:hint="eastAsia"/>
          <w:kern w:val="0"/>
        </w:rPr>
        <w:t>（6）预决算信息公开性：截止评价报告日，已完成2018年度衡山县部门预、决算的公开，基础数据信息和会计信息资料真实、完整、准确。本项无扣分，得5分。</w:t>
      </w:r>
    </w:p>
    <w:p>
      <w:pPr>
        <w:pStyle w:val="4"/>
        <w:ind w:firstLine="596"/>
      </w:pPr>
      <w:bookmarkStart w:id="24" w:name="_Toc33521264"/>
      <w:r>
        <w:rPr>
          <w:rFonts w:hint="eastAsia"/>
          <w:kern w:val="0"/>
        </w:rPr>
        <w:t>4、职责履行得分8分</w:t>
      </w:r>
      <w:bookmarkEnd w:id="24"/>
    </w:p>
    <w:p>
      <w:pPr>
        <w:ind w:firstLine="594"/>
        <w:rPr>
          <w:kern w:val="0"/>
        </w:rPr>
      </w:pPr>
      <w:r>
        <w:rPr>
          <w:rFonts w:hint="eastAsia"/>
          <w:kern w:val="0"/>
        </w:rPr>
        <w:t>根据县绩效办2019年对各部门为民办实事和部门重点工程与重点工作考核分数折算计8分。</w:t>
      </w:r>
    </w:p>
    <w:p>
      <w:pPr>
        <w:pStyle w:val="4"/>
        <w:ind w:firstLine="596"/>
      </w:pPr>
      <w:bookmarkStart w:id="25" w:name="_Toc33521265"/>
      <w:r>
        <w:rPr>
          <w:rFonts w:hint="eastAsia"/>
          <w:kern w:val="0"/>
        </w:rPr>
        <w:t>5、履职效益得分22分</w:t>
      </w:r>
      <w:bookmarkEnd w:id="25"/>
    </w:p>
    <w:p>
      <w:pPr>
        <w:ind w:firstLine="594"/>
        <w:rPr>
          <w:kern w:val="0"/>
        </w:rPr>
      </w:pPr>
      <w:r>
        <w:rPr>
          <w:rFonts w:hint="eastAsia"/>
          <w:kern w:val="0"/>
        </w:rPr>
        <w:t>（1）经济效益</w:t>
      </w:r>
    </w:p>
    <w:p>
      <w:pPr>
        <w:ind w:firstLine="594"/>
        <w:rPr>
          <w:kern w:val="0"/>
        </w:rPr>
      </w:pPr>
      <w:r>
        <w:rPr>
          <w:rFonts w:hint="eastAsia"/>
          <w:kern w:val="0"/>
        </w:rPr>
        <w:t>湿地公园的试点建设，开展生态旅游，发展第三产业，带动地方经济稳定发展。同时周边农户可以农家乐等多形式获得较高经济收入。此项计5分。</w:t>
      </w:r>
    </w:p>
    <w:p>
      <w:pPr>
        <w:ind w:firstLine="594"/>
        <w:rPr>
          <w:kern w:val="0"/>
        </w:rPr>
      </w:pPr>
      <w:r>
        <w:rPr>
          <w:rFonts w:hint="eastAsia"/>
          <w:kern w:val="0"/>
        </w:rPr>
        <w:t>（2）社会效益</w:t>
      </w:r>
    </w:p>
    <w:p>
      <w:pPr>
        <w:ind w:firstLine="594"/>
        <w:rPr>
          <w:kern w:val="0"/>
        </w:rPr>
      </w:pPr>
      <w:r>
        <w:rPr>
          <w:rFonts w:hint="eastAsia"/>
          <w:kern w:val="0"/>
        </w:rPr>
        <w:t>①充分利用了衡山县湿地的自然资源和文化资源，以特色生态旅游为依托，带动区域经济发展，为更多当地居民提供更多就业机会；②开展多形式科普宣传和教育，加大对湿地公园的保护和宣传力度，增强广大群众爱护、保护湿地意识；③随着湿地公园建设不断完善，将吸引更多专家、学者、游客前往，进一步提高衡山县的知名度，引进外部投资，促进全县社会经济可持续发展此项计5分。</w:t>
      </w:r>
    </w:p>
    <w:p>
      <w:pPr>
        <w:ind w:firstLine="594"/>
        <w:rPr>
          <w:kern w:val="0"/>
        </w:rPr>
      </w:pPr>
      <w:r>
        <w:rPr>
          <w:rFonts w:hint="eastAsia"/>
          <w:kern w:val="0"/>
        </w:rPr>
        <w:t>（3）行政效能</w:t>
      </w:r>
    </w:p>
    <w:p>
      <w:pPr>
        <w:ind w:firstLine="594"/>
        <w:rPr>
          <w:kern w:val="0"/>
        </w:rPr>
      </w:pPr>
      <w:r>
        <w:rPr>
          <w:rFonts w:hint="eastAsia"/>
          <w:kern w:val="0"/>
        </w:rPr>
        <w:t>促进部门改进文风会风，加强经费及资产管理，推动网上办事，提高行政效率，降低行政成本效果较好的计7分</w:t>
      </w:r>
    </w:p>
    <w:p>
      <w:pPr>
        <w:ind w:firstLine="594"/>
        <w:rPr>
          <w:kern w:val="0"/>
        </w:rPr>
      </w:pPr>
      <w:r>
        <w:rPr>
          <w:rFonts w:hint="eastAsia"/>
          <w:kern w:val="0"/>
        </w:rPr>
        <w:t>（4）可持续影响</w:t>
      </w:r>
    </w:p>
    <w:p>
      <w:pPr>
        <w:ind w:firstLine="594"/>
        <w:rPr>
          <w:kern w:val="0"/>
        </w:rPr>
      </w:pPr>
      <w:r>
        <w:rPr>
          <w:rFonts w:hint="eastAsia"/>
          <w:kern w:val="0"/>
        </w:rPr>
        <w:t>根据评价工作小组现场查阅资料，湿地保护与修复已取得初步成效，所依赖的政策制度随着湿地公园建设需求需不断完善。此项计6分。</w:t>
      </w:r>
    </w:p>
    <w:p>
      <w:pPr>
        <w:pStyle w:val="2"/>
        <w:ind w:firstLine="594"/>
        <w:rPr>
          <w:kern w:val="0"/>
        </w:rPr>
      </w:pPr>
      <w:bookmarkStart w:id="26" w:name="_Toc33521266"/>
      <w:r>
        <w:rPr>
          <w:rFonts w:hint="eastAsia"/>
          <w:kern w:val="0"/>
        </w:rPr>
        <w:t>六、存在的问题</w:t>
      </w:r>
      <w:bookmarkEnd w:id="26"/>
    </w:p>
    <w:p>
      <w:pPr>
        <w:pStyle w:val="3"/>
        <w:ind w:firstLine="596"/>
        <w:rPr>
          <w:kern w:val="0"/>
        </w:rPr>
      </w:pPr>
      <w:bookmarkStart w:id="27" w:name="_Toc33521267"/>
      <w:r>
        <w:rPr>
          <w:rFonts w:hint="eastAsia"/>
          <w:kern w:val="0"/>
        </w:rPr>
        <w:t>（一）资金管理方面</w:t>
      </w:r>
      <w:bookmarkEnd w:id="27"/>
    </w:p>
    <w:p>
      <w:pPr>
        <w:ind w:firstLine="594"/>
        <w:rPr>
          <w:kern w:val="0"/>
        </w:rPr>
      </w:pPr>
      <w:r>
        <w:rPr>
          <w:rFonts w:hint="eastAsia"/>
          <w:kern w:val="0"/>
        </w:rPr>
        <w:t>存在大额现金支付的情况。根据《现金管理暂行条例》第五条、第六条的相关规定，开户单位支付给个人的款项，超过使用现金限额的部分（1000元以上），应当以支票或者银行本票支付。如2018年2月21号凭证现金支付开云镇环境卫生整治费5000元。</w:t>
      </w:r>
    </w:p>
    <w:p>
      <w:pPr>
        <w:pStyle w:val="3"/>
        <w:ind w:firstLine="596"/>
        <w:rPr>
          <w:kern w:val="0"/>
        </w:rPr>
      </w:pPr>
      <w:bookmarkStart w:id="28" w:name="_Toc33521268"/>
      <w:r>
        <w:rPr>
          <w:rFonts w:hint="eastAsia"/>
          <w:kern w:val="0"/>
        </w:rPr>
        <w:t>（二）财务管理制度方面</w:t>
      </w:r>
      <w:bookmarkEnd w:id="28"/>
    </w:p>
    <w:p>
      <w:pPr>
        <w:pStyle w:val="4"/>
        <w:ind w:firstLine="596"/>
        <w:rPr>
          <w:kern w:val="0"/>
        </w:rPr>
      </w:pPr>
      <w:bookmarkStart w:id="29" w:name="_Toc33521269"/>
      <w:r>
        <w:rPr>
          <w:rFonts w:hint="eastAsia"/>
          <w:kern w:val="0"/>
        </w:rPr>
        <w:t>1、存在跨年度报销费用的情况</w:t>
      </w:r>
      <w:bookmarkEnd w:id="29"/>
    </w:p>
    <w:p>
      <w:pPr>
        <w:ind w:firstLine="594"/>
        <w:rPr>
          <w:kern w:val="0"/>
        </w:rPr>
      </w:pPr>
      <w:r>
        <w:rPr>
          <w:rFonts w:hint="eastAsia"/>
          <w:kern w:val="0"/>
        </w:rPr>
        <w:t>如2018年2月13号凭证付精准扶贫走访附件租车费用，原始凭证附件通知单中租车时间为2017年2月和5月份，费用报销时间均为2018年2月份，时间跨度较长。</w:t>
      </w:r>
    </w:p>
    <w:p>
      <w:pPr>
        <w:pStyle w:val="4"/>
        <w:ind w:firstLine="596"/>
        <w:rPr>
          <w:kern w:val="0"/>
        </w:rPr>
      </w:pPr>
      <w:bookmarkStart w:id="30" w:name="_Toc33521270"/>
      <w:r>
        <w:rPr>
          <w:rFonts w:hint="eastAsia"/>
          <w:kern w:val="0"/>
        </w:rPr>
        <w:t>2、存在部分原始凭证附件资料不齐全的情况</w:t>
      </w:r>
      <w:bookmarkEnd w:id="30"/>
    </w:p>
    <w:p>
      <w:pPr>
        <w:ind w:firstLine="594"/>
        <w:rPr>
          <w:kern w:val="0"/>
        </w:rPr>
      </w:pPr>
      <w:r>
        <w:rPr>
          <w:rFonts w:hint="eastAsia"/>
          <w:kern w:val="0"/>
        </w:rPr>
        <w:t>如2018年2月31号凭证，付保护湿地下乡巡查费用，金额1914元，附件无下乡人数名单及详细时间。</w:t>
      </w:r>
    </w:p>
    <w:p>
      <w:pPr>
        <w:pStyle w:val="4"/>
        <w:ind w:firstLine="596"/>
        <w:rPr>
          <w:kern w:val="0"/>
        </w:rPr>
      </w:pPr>
      <w:bookmarkStart w:id="31" w:name="_Toc33521271"/>
      <w:r>
        <w:rPr>
          <w:rFonts w:hint="eastAsia"/>
          <w:kern w:val="0"/>
        </w:rPr>
        <w:t>3、存在发票抬头不规范的情况。</w:t>
      </w:r>
      <w:bookmarkEnd w:id="31"/>
    </w:p>
    <w:p>
      <w:pPr>
        <w:ind w:firstLine="594"/>
        <w:rPr>
          <w:kern w:val="0"/>
        </w:rPr>
      </w:pPr>
      <w:r>
        <w:rPr>
          <w:rFonts w:hint="eastAsia"/>
          <w:kern w:val="0"/>
        </w:rPr>
        <w:t>如2018年6月34号凭证，付河道湿地保护承包费51102元，附件发票抬头为“湖南省衡山县萱洲镇国家湿地公园管理处”、“萱洲国家湿地公园”等。</w:t>
      </w:r>
    </w:p>
    <w:p>
      <w:pPr>
        <w:pStyle w:val="3"/>
        <w:ind w:firstLine="596"/>
        <w:rPr>
          <w:kern w:val="0"/>
        </w:rPr>
      </w:pPr>
      <w:bookmarkStart w:id="32" w:name="_Toc33521272"/>
      <w:r>
        <w:rPr>
          <w:rFonts w:hint="eastAsia"/>
          <w:kern w:val="0"/>
        </w:rPr>
        <w:t>（三）“三公经费”管理方面</w:t>
      </w:r>
      <w:bookmarkEnd w:id="32"/>
    </w:p>
    <w:p>
      <w:pPr>
        <w:pStyle w:val="4"/>
        <w:ind w:firstLine="596"/>
        <w:rPr>
          <w:kern w:val="0"/>
        </w:rPr>
      </w:pPr>
      <w:bookmarkStart w:id="33" w:name="_Toc33521273"/>
      <w:r>
        <w:rPr>
          <w:rFonts w:hint="eastAsia"/>
          <w:kern w:val="0"/>
        </w:rPr>
        <w:t>1、存在部分公务接待未严格按照制度执行的情况</w:t>
      </w:r>
      <w:bookmarkEnd w:id="33"/>
    </w:p>
    <w:p>
      <w:pPr>
        <w:ind w:firstLine="594"/>
        <w:rPr>
          <w:kern w:val="0"/>
        </w:rPr>
      </w:pPr>
      <w:r>
        <w:rPr>
          <w:rFonts w:hint="eastAsia"/>
          <w:kern w:val="0"/>
        </w:rPr>
        <w:t>根据《衡山厉行节约，反对浪费，进一步规范党政机关公务接待管理的实施办法》山办发（2014）33号第二章第十五条规定：接待单位应如实填写招待清单，由相关负责的同志审签，其中招待清单包括接待对象的单位、人员身份、人数等。如2018年2月32号凭证，支付湿地保护广场规划，专家接待费用报销812元；2018年10月21号凭证，支付专家团队接待支出1298元；附件无事前审批单、公函或其他证明材料，无接待清单，造成接待事由、接待对象、接待人数、陪同人数不清。</w:t>
      </w:r>
    </w:p>
    <w:p>
      <w:pPr>
        <w:pStyle w:val="4"/>
        <w:ind w:firstLine="596"/>
        <w:rPr>
          <w:kern w:val="0"/>
        </w:rPr>
      </w:pPr>
      <w:bookmarkStart w:id="34" w:name="_Toc33521274"/>
      <w:r>
        <w:rPr>
          <w:rFonts w:hint="eastAsia"/>
          <w:kern w:val="0"/>
        </w:rPr>
        <w:t>2、公务车管理方面待进一步完善</w:t>
      </w:r>
      <w:bookmarkEnd w:id="34"/>
    </w:p>
    <w:p>
      <w:pPr>
        <w:ind w:firstLine="594"/>
        <w:rPr>
          <w:kern w:val="0"/>
        </w:rPr>
      </w:pPr>
      <w:r>
        <w:rPr>
          <w:rFonts w:hint="eastAsia"/>
          <w:kern w:val="0"/>
        </w:rPr>
        <w:t>一是公务用车未严格按照车辆管理制度执行。如2018年2月33号凭证，付市局办事用车费2150元，附件无用车派车单和派车审批程序。二是公务车维修费、保险费未走审批程序。如2018年11月1号凭证，付车辆维修费650元，车辆2018年11月至2019年11月保险费4963.82元。附件无公务车费用支出审批单。</w:t>
      </w:r>
    </w:p>
    <w:p>
      <w:pPr>
        <w:pStyle w:val="2"/>
        <w:ind w:firstLine="594"/>
        <w:rPr>
          <w:kern w:val="0"/>
        </w:rPr>
      </w:pPr>
      <w:bookmarkStart w:id="35" w:name="_Toc33521275"/>
      <w:r>
        <w:rPr>
          <w:rFonts w:hint="eastAsia"/>
          <w:kern w:val="0"/>
        </w:rPr>
        <w:t>七、建议</w:t>
      </w:r>
      <w:bookmarkEnd w:id="35"/>
    </w:p>
    <w:p>
      <w:pPr>
        <w:pStyle w:val="3"/>
        <w:ind w:firstLine="596"/>
        <w:rPr>
          <w:kern w:val="0"/>
        </w:rPr>
      </w:pPr>
      <w:bookmarkStart w:id="36" w:name="_Toc33521276"/>
      <w:r>
        <w:rPr>
          <w:rFonts w:hint="eastAsia"/>
          <w:kern w:val="0"/>
        </w:rPr>
        <w:t>（一）加强财务管理，规范会计核算</w:t>
      </w:r>
      <w:bookmarkEnd w:id="36"/>
    </w:p>
    <w:p>
      <w:pPr>
        <w:ind w:firstLine="594"/>
        <w:rPr>
          <w:kern w:val="0"/>
        </w:rPr>
      </w:pPr>
      <w:r>
        <w:rPr>
          <w:rFonts w:hint="eastAsia"/>
          <w:kern w:val="0"/>
        </w:rPr>
        <w:t>按照会计核算的基本要求，遵循真实性、及时性、完整性原则，结合本单位的实际情况，加强财务管理，规范会计核算。单位应根据经济业务发生的真实情况，及时进行账务处理，避免跨年度取得发票、跨年度报账的现象；同时加强对原始票据的审核，按规定取得应取得的原始发票及相关明细资料，对不真实、不合法的原始凭证应当不予接受，对审核为不准确、不完整的原始凭证应予退回，并要求经办人员按国家统一的会计制度规定更正或补充。</w:t>
      </w:r>
    </w:p>
    <w:p>
      <w:pPr>
        <w:pStyle w:val="3"/>
        <w:ind w:firstLine="596"/>
        <w:rPr>
          <w:kern w:val="0"/>
        </w:rPr>
      </w:pPr>
      <w:bookmarkStart w:id="37" w:name="_Toc33521277"/>
      <w:r>
        <w:rPr>
          <w:rFonts w:hint="eastAsia"/>
          <w:kern w:val="0"/>
        </w:rPr>
        <w:t>（二）严格执行单位内部管理制度，加强风险管理把控</w:t>
      </w:r>
      <w:bookmarkEnd w:id="37"/>
    </w:p>
    <w:p>
      <w:pPr>
        <w:ind w:firstLine="594"/>
        <w:rPr>
          <w:kern w:val="0"/>
        </w:rPr>
      </w:pPr>
      <w:r>
        <w:rPr>
          <w:rFonts w:hint="eastAsia"/>
          <w:kern w:val="0"/>
        </w:rPr>
        <w:t>严格执行单位各项管理制度，做到凡事有原由，事前有审批，事后无差错。建议不断加强公务车日常管理，公务车用车应秉着“先后顺序、轻重缓急、急事优先”的原则进行，车辆维修保养需按制度走报批程序，从而进一步规范车辆管理，控制用车成本；</w:t>
      </w:r>
      <w:r>
        <w:rPr>
          <w:kern w:val="0"/>
        </w:rPr>
        <w:t xml:space="preserve"> </w:t>
      </w:r>
    </w:p>
    <w:p>
      <w:pPr>
        <w:ind w:firstLine="594"/>
        <w:rPr>
          <w:rFonts w:ascii="仿宋" w:hAnsi="仿宋"/>
          <w:kern w:val="0"/>
          <w:szCs w:val="32"/>
        </w:rPr>
      </w:pPr>
    </w:p>
    <w:p>
      <w:pPr>
        <w:ind w:firstLine="594"/>
        <w:rPr>
          <w:rFonts w:ascii="黑体" w:hAnsi="黑体" w:eastAsia="黑体"/>
          <w:b/>
          <w:kern w:val="0"/>
          <w:szCs w:val="32"/>
        </w:rPr>
      </w:pPr>
      <w:r>
        <w:rPr>
          <w:rFonts w:hint="eastAsia" w:ascii="仿宋" w:hAnsi="仿宋"/>
          <w:kern w:val="0"/>
          <w:szCs w:val="32"/>
        </w:rPr>
        <w:t>附件一：2018年度湖南衡山萱洲国家湿地公园管理处部门整体支出绩效评价指标及评分表</w:t>
      </w:r>
    </w:p>
    <w:p>
      <w:pPr>
        <w:ind w:firstLine="594"/>
        <w:rPr>
          <w:rFonts w:ascii="仿宋" w:hAnsi="仿宋"/>
          <w:kern w:val="0"/>
          <w:szCs w:val="32"/>
        </w:rPr>
      </w:pPr>
      <w:r>
        <w:rPr>
          <w:rFonts w:hint="eastAsia" w:ascii="仿宋" w:hAnsi="仿宋"/>
          <w:kern w:val="0"/>
          <w:szCs w:val="32"/>
        </w:rPr>
        <w:t>此页无正文！</w:t>
      </w:r>
    </w:p>
    <w:p>
      <w:pPr>
        <w:ind w:firstLine="596"/>
        <w:rPr>
          <w:rFonts w:ascii="黑体" w:hAnsi="黑体" w:eastAsia="黑体"/>
          <w:b/>
          <w:kern w:val="0"/>
          <w:szCs w:val="32"/>
        </w:rPr>
      </w:pPr>
    </w:p>
    <w:p>
      <w:pPr>
        <w:ind w:firstLine="0" w:firstLineChars="0"/>
        <w:rPr>
          <w:rFonts w:ascii="黑体" w:hAnsi="黑体" w:eastAsia="黑体"/>
          <w:b/>
          <w:kern w:val="0"/>
          <w:szCs w:val="32"/>
        </w:rPr>
      </w:pPr>
      <w:r>
        <w:rPr>
          <w:rFonts w:hint="eastAsia" w:ascii="黑体" w:hAnsi="黑体" w:eastAsia="黑体"/>
          <w:b/>
          <w:kern w:val="0"/>
          <w:szCs w:val="32"/>
        </w:rPr>
        <w:t xml:space="preserve">    </w:t>
      </w:r>
    </w:p>
    <w:p>
      <w:pPr>
        <w:ind w:firstLine="596"/>
        <w:rPr>
          <w:rFonts w:ascii="黑体" w:hAnsi="黑体" w:eastAsia="黑体"/>
          <w:b/>
          <w:kern w:val="0"/>
          <w:szCs w:val="32"/>
        </w:rPr>
      </w:pPr>
    </w:p>
    <w:p>
      <w:pPr>
        <w:ind w:firstLine="596"/>
        <w:rPr>
          <w:rFonts w:ascii="黑体" w:hAnsi="黑体" w:eastAsia="黑体"/>
          <w:b/>
          <w:kern w:val="0"/>
          <w:szCs w:val="32"/>
        </w:rPr>
      </w:pPr>
    </w:p>
    <w:tbl>
      <w:tblPr>
        <w:tblStyle w:val="11"/>
        <w:tblW w:w="0" w:type="auto"/>
        <w:jc w:val="center"/>
        <w:tblLayout w:type="fixed"/>
        <w:tblCellMar>
          <w:top w:w="0" w:type="dxa"/>
          <w:left w:w="108" w:type="dxa"/>
          <w:bottom w:w="0" w:type="dxa"/>
          <w:right w:w="108" w:type="dxa"/>
        </w:tblCellMar>
      </w:tblPr>
      <w:tblGrid>
        <w:gridCol w:w="4814"/>
        <w:gridCol w:w="3402"/>
      </w:tblGrid>
      <w:tr>
        <w:tblPrEx>
          <w:tblCellMar>
            <w:top w:w="0" w:type="dxa"/>
            <w:left w:w="108" w:type="dxa"/>
            <w:bottom w:w="0" w:type="dxa"/>
            <w:right w:w="108" w:type="dxa"/>
          </w:tblCellMar>
        </w:tblPrEx>
        <w:trPr>
          <w:trHeight w:val="284" w:hRule="atLeast"/>
          <w:jc w:val="center"/>
        </w:trPr>
        <w:tc>
          <w:tcPr>
            <w:tcW w:w="4814" w:type="dxa"/>
            <w:vAlign w:val="center"/>
          </w:tcPr>
          <w:p>
            <w:pPr>
              <w:ind w:firstLine="0" w:firstLineChars="0"/>
              <w:rPr>
                <w:szCs w:val="32"/>
              </w:rPr>
            </w:pPr>
            <w:r>
              <w:rPr>
                <w:rFonts w:hAnsi="仿宋"/>
                <w:szCs w:val="32"/>
              </w:rPr>
              <w:t>湖南宏丰益联合会计师事务所</w:t>
            </w:r>
          </w:p>
        </w:tc>
        <w:tc>
          <w:tcPr>
            <w:tcW w:w="3402" w:type="dxa"/>
            <w:vAlign w:val="center"/>
          </w:tcPr>
          <w:p>
            <w:pPr>
              <w:ind w:firstLine="0" w:firstLineChars="0"/>
              <w:rPr>
                <w:szCs w:val="32"/>
              </w:rPr>
            </w:pPr>
            <w:r>
              <w:rPr>
                <w:rFonts w:hAnsi="仿宋"/>
                <w:szCs w:val="32"/>
              </w:rPr>
              <w:t>中国注册会计师：</w:t>
            </w:r>
          </w:p>
        </w:tc>
      </w:tr>
      <w:tr>
        <w:tblPrEx>
          <w:tblCellMar>
            <w:top w:w="0" w:type="dxa"/>
            <w:left w:w="108" w:type="dxa"/>
            <w:bottom w:w="0" w:type="dxa"/>
            <w:right w:w="108" w:type="dxa"/>
          </w:tblCellMar>
        </w:tblPrEx>
        <w:trPr>
          <w:trHeight w:val="284" w:hRule="atLeast"/>
          <w:jc w:val="center"/>
        </w:trPr>
        <w:tc>
          <w:tcPr>
            <w:tcW w:w="4814" w:type="dxa"/>
            <w:vAlign w:val="center"/>
          </w:tcPr>
          <w:p>
            <w:pPr>
              <w:ind w:firstLine="0" w:firstLineChars="0"/>
              <w:rPr>
                <w:szCs w:val="32"/>
              </w:rPr>
            </w:pPr>
          </w:p>
          <w:p>
            <w:pPr>
              <w:ind w:firstLine="0" w:firstLineChars="0"/>
              <w:rPr>
                <w:szCs w:val="32"/>
              </w:rPr>
            </w:pPr>
          </w:p>
        </w:tc>
        <w:tc>
          <w:tcPr>
            <w:tcW w:w="3402" w:type="dxa"/>
            <w:vAlign w:val="center"/>
          </w:tcPr>
          <w:p>
            <w:pPr>
              <w:ind w:firstLine="0" w:firstLineChars="0"/>
              <w:rPr>
                <w:szCs w:val="32"/>
              </w:rPr>
            </w:pPr>
          </w:p>
        </w:tc>
      </w:tr>
      <w:tr>
        <w:tblPrEx>
          <w:tblCellMar>
            <w:top w:w="0" w:type="dxa"/>
            <w:left w:w="108" w:type="dxa"/>
            <w:bottom w:w="0" w:type="dxa"/>
            <w:right w:w="108" w:type="dxa"/>
          </w:tblCellMar>
        </w:tblPrEx>
        <w:trPr>
          <w:trHeight w:val="284" w:hRule="atLeast"/>
          <w:jc w:val="center"/>
        </w:trPr>
        <w:tc>
          <w:tcPr>
            <w:tcW w:w="4814" w:type="dxa"/>
            <w:vAlign w:val="center"/>
          </w:tcPr>
          <w:p>
            <w:pPr>
              <w:ind w:firstLine="0" w:firstLineChars="0"/>
              <w:rPr>
                <w:szCs w:val="32"/>
              </w:rPr>
            </w:pPr>
          </w:p>
        </w:tc>
        <w:tc>
          <w:tcPr>
            <w:tcW w:w="3402" w:type="dxa"/>
            <w:vAlign w:val="center"/>
          </w:tcPr>
          <w:p>
            <w:pPr>
              <w:ind w:firstLine="0" w:firstLineChars="0"/>
              <w:rPr>
                <w:szCs w:val="32"/>
              </w:rPr>
            </w:pPr>
            <w:r>
              <w:rPr>
                <w:rFonts w:hint="eastAsia" w:hAnsi="仿宋"/>
                <w:szCs w:val="32"/>
              </w:rPr>
              <w:t xml:space="preserve"> </w:t>
            </w:r>
            <w:r>
              <w:rPr>
                <w:rFonts w:hAnsi="仿宋"/>
                <w:szCs w:val="32"/>
              </w:rPr>
              <w:t>中国注册会计师：</w:t>
            </w:r>
          </w:p>
        </w:tc>
      </w:tr>
      <w:tr>
        <w:tblPrEx>
          <w:tblCellMar>
            <w:top w:w="0" w:type="dxa"/>
            <w:left w:w="108" w:type="dxa"/>
            <w:bottom w:w="0" w:type="dxa"/>
            <w:right w:w="108" w:type="dxa"/>
          </w:tblCellMar>
        </w:tblPrEx>
        <w:trPr>
          <w:gridAfter w:val="1"/>
          <w:wAfter w:w="3402" w:type="dxa"/>
          <w:trHeight w:val="284" w:hRule="atLeast"/>
          <w:jc w:val="center"/>
        </w:trPr>
        <w:tc>
          <w:tcPr>
            <w:tcW w:w="4814" w:type="dxa"/>
            <w:vAlign w:val="center"/>
          </w:tcPr>
          <w:p>
            <w:pPr>
              <w:ind w:firstLine="0" w:firstLineChars="0"/>
              <w:rPr>
                <w:szCs w:val="32"/>
              </w:rPr>
            </w:pPr>
          </w:p>
          <w:p>
            <w:pPr>
              <w:ind w:firstLine="0" w:firstLineChars="0"/>
              <w:rPr>
                <w:szCs w:val="32"/>
              </w:rPr>
            </w:pPr>
          </w:p>
        </w:tc>
      </w:tr>
      <w:tr>
        <w:tblPrEx>
          <w:tblCellMar>
            <w:top w:w="0" w:type="dxa"/>
            <w:left w:w="108" w:type="dxa"/>
            <w:bottom w:w="0" w:type="dxa"/>
            <w:right w:w="108" w:type="dxa"/>
          </w:tblCellMar>
        </w:tblPrEx>
        <w:trPr>
          <w:trHeight w:val="284" w:hRule="atLeast"/>
          <w:jc w:val="center"/>
        </w:trPr>
        <w:tc>
          <w:tcPr>
            <w:tcW w:w="8216" w:type="dxa"/>
            <w:gridSpan w:val="2"/>
            <w:vAlign w:val="center"/>
          </w:tcPr>
          <w:p>
            <w:pPr>
              <w:ind w:firstLine="0" w:firstLineChars="0"/>
              <w:rPr>
                <w:szCs w:val="32"/>
              </w:rPr>
            </w:pPr>
            <w:r>
              <w:rPr>
                <w:rFonts w:hAnsi="仿宋"/>
                <w:szCs w:val="32"/>
              </w:rPr>
              <w:t>地址：湖南</w:t>
            </w:r>
            <w:r>
              <w:rPr>
                <w:szCs w:val="32"/>
              </w:rPr>
              <w:t>·</w:t>
            </w:r>
            <w:r>
              <w:rPr>
                <w:rFonts w:hAnsi="仿宋"/>
                <w:szCs w:val="32"/>
              </w:rPr>
              <w:t>长沙</w:t>
            </w:r>
            <w:r>
              <w:rPr>
                <w:rFonts w:hint="eastAsia" w:hAnsi="仿宋"/>
                <w:szCs w:val="32"/>
              </w:rPr>
              <w:t xml:space="preserve">                 </w:t>
            </w:r>
            <w:r>
              <w:rPr>
                <w:rFonts w:hAnsi="仿宋"/>
                <w:szCs w:val="32"/>
              </w:rPr>
              <w:t>二</w:t>
            </w:r>
            <w:r>
              <w:rPr>
                <w:rFonts w:hint="eastAsia"/>
              </w:rPr>
              <w:t>○</w:t>
            </w:r>
            <w:r>
              <w:rPr>
                <w:rFonts w:hAnsi="仿宋"/>
                <w:szCs w:val="32"/>
              </w:rPr>
              <w:t>一九年</w:t>
            </w:r>
            <w:r>
              <w:rPr>
                <w:rFonts w:hint="eastAsia" w:hAnsi="仿宋"/>
                <w:szCs w:val="32"/>
              </w:rPr>
              <w:t>十二</w:t>
            </w:r>
            <w:r>
              <w:rPr>
                <w:rFonts w:hAnsi="仿宋"/>
                <w:szCs w:val="32"/>
              </w:rPr>
              <w:t>月</w:t>
            </w:r>
            <w:r>
              <w:rPr>
                <w:rFonts w:hint="eastAsia" w:hAnsi="仿宋"/>
                <w:szCs w:val="32"/>
              </w:rPr>
              <w:t>六</w:t>
            </w:r>
            <w:r>
              <w:rPr>
                <w:rFonts w:hAnsi="仿宋"/>
                <w:szCs w:val="32"/>
              </w:rPr>
              <w:t>日</w:t>
            </w:r>
          </w:p>
        </w:tc>
      </w:tr>
    </w:tbl>
    <w:p>
      <w:pPr>
        <w:ind w:firstLine="594"/>
        <w:sectPr>
          <w:footerReference r:id="rId9" w:type="default"/>
          <w:pgSz w:w="11906" w:h="16838"/>
          <w:pgMar w:top="1440" w:right="1797" w:bottom="1440" w:left="1797" w:header="851" w:footer="992" w:gutter="0"/>
          <w:pgNumType w:start="1"/>
          <w:cols w:space="425" w:num="1"/>
          <w:docGrid w:type="linesAndChars" w:linePitch="634" w:charSpace="-4740"/>
        </w:sectPr>
      </w:pPr>
    </w:p>
    <w:p>
      <w:pPr>
        <w:pStyle w:val="3"/>
        <w:ind w:firstLine="0" w:firstLineChars="0"/>
        <w:rPr>
          <w:sz w:val="28"/>
          <w:szCs w:val="28"/>
        </w:rPr>
      </w:pPr>
      <w:bookmarkStart w:id="38" w:name="_Toc33521278"/>
      <w:r>
        <w:rPr>
          <w:rFonts w:hint="eastAsia"/>
          <w:sz w:val="28"/>
          <w:szCs w:val="28"/>
        </w:rPr>
        <w:t>附件一：</w:t>
      </w:r>
      <w:bookmarkEnd w:id="38"/>
    </w:p>
    <w:tbl>
      <w:tblPr>
        <w:tblStyle w:val="11"/>
        <w:tblW w:w="5000" w:type="pct"/>
        <w:tblInd w:w="0" w:type="dxa"/>
        <w:tblLayout w:type="autofit"/>
        <w:tblCellMar>
          <w:top w:w="0" w:type="dxa"/>
          <w:left w:w="108" w:type="dxa"/>
          <w:bottom w:w="0" w:type="dxa"/>
          <w:right w:w="108" w:type="dxa"/>
        </w:tblCellMar>
      </w:tblPr>
      <w:tblGrid>
        <w:gridCol w:w="764"/>
        <w:gridCol w:w="786"/>
        <w:gridCol w:w="879"/>
        <w:gridCol w:w="748"/>
        <w:gridCol w:w="2584"/>
        <w:gridCol w:w="2287"/>
        <w:gridCol w:w="474"/>
      </w:tblGrid>
      <w:tr>
        <w:tblPrEx>
          <w:tblCellMar>
            <w:top w:w="0" w:type="dxa"/>
            <w:left w:w="108" w:type="dxa"/>
            <w:bottom w:w="0" w:type="dxa"/>
            <w:right w:w="108" w:type="dxa"/>
          </w:tblCellMar>
        </w:tblPrEx>
        <w:trPr>
          <w:trHeight w:val="540" w:hRule="atLeast"/>
          <w:tblHeader/>
        </w:trPr>
        <w:tc>
          <w:tcPr>
            <w:tcW w:w="5000" w:type="pct"/>
            <w:gridSpan w:val="7"/>
            <w:tcBorders>
              <w:top w:val="nil"/>
              <w:left w:val="nil"/>
              <w:bottom w:val="single" w:color="auto" w:sz="4" w:space="0"/>
              <w:right w:val="nil"/>
            </w:tcBorders>
            <w:shd w:val="clear" w:color="auto" w:fill="auto"/>
            <w:noWrap/>
            <w:vAlign w:val="center"/>
          </w:tcPr>
          <w:p>
            <w:pPr>
              <w:widowControl/>
              <w:ind w:firstLine="0" w:firstLineChars="0"/>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2018年度湖南衡山萱洲国家湿地公园管理处</w:t>
            </w:r>
          </w:p>
          <w:p>
            <w:pPr>
              <w:widowControl/>
              <w:ind w:firstLine="0" w:firstLineChars="0"/>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部门整体支出绩效评价指标及评分表</w:t>
            </w:r>
          </w:p>
        </w:tc>
      </w:tr>
      <w:tr>
        <w:tblPrEx>
          <w:tblCellMar>
            <w:top w:w="0" w:type="dxa"/>
            <w:left w:w="108" w:type="dxa"/>
            <w:bottom w:w="0" w:type="dxa"/>
            <w:right w:w="108" w:type="dxa"/>
          </w:tblCellMar>
        </w:tblPrEx>
        <w:trPr>
          <w:trHeight w:val="620" w:hRule="atLeast"/>
          <w:tblHeader/>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b/>
                <w:color w:val="000000"/>
                <w:kern w:val="0"/>
                <w:sz w:val="18"/>
                <w:szCs w:val="18"/>
              </w:rPr>
            </w:pPr>
            <w:r>
              <w:rPr>
                <w:rFonts w:hAnsi="仿宋"/>
                <w:b/>
                <w:color w:val="000000"/>
                <w:kern w:val="0"/>
                <w:sz w:val="18"/>
                <w:szCs w:val="18"/>
              </w:rPr>
              <w:t>一级指标</w:t>
            </w:r>
          </w:p>
        </w:tc>
        <w:tc>
          <w:tcPr>
            <w:tcW w:w="461"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b/>
                <w:color w:val="000000"/>
                <w:kern w:val="0"/>
                <w:sz w:val="18"/>
                <w:szCs w:val="18"/>
              </w:rPr>
            </w:pPr>
            <w:r>
              <w:rPr>
                <w:rFonts w:hAnsi="仿宋"/>
                <w:b/>
                <w:color w:val="000000"/>
                <w:kern w:val="0"/>
                <w:sz w:val="18"/>
                <w:szCs w:val="18"/>
              </w:rPr>
              <w:t>二级指标</w:t>
            </w: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b/>
                <w:color w:val="000000"/>
                <w:kern w:val="0"/>
                <w:sz w:val="18"/>
                <w:szCs w:val="18"/>
              </w:rPr>
            </w:pPr>
            <w:r>
              <w:rPr>
                <w:rFonts w:hAnsi="仿宋"/>
                <w:b/>
                <w:color w:val="000000"/>
                <w:kern w:val="0"/>
                <w:sz w:val="18"/>
                <w:szCs w:val="18"/>
              </w:rPr>
              <w:t>三级指标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b/>
                <w:color w:val="000000"/>
                <w:kern w:val="0"/>
                <w:sz w:val="18"/>
                <w:szCs w:val="18"/>
              </w:rPr>
            </w:pPr>
            <w:r>
              <w:rPr>
                <w:rFonts w:hAnsi="仿宋"/>
                <w:b/>
                <w:color w:val="000000"/>
                <w:kern w:val="0"/>
                <w:sz w:val="18"/>
                <w:szCs w:val="18"/>
              </w:rPr>
              <w:t>分值</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b/>
                <w:color w:val="000000"/>
                <w:kern w:val="0"/>
                <w:sz w:val="18"/>
                <w:szCs w:val="18"/>
              </w:rPr>
            </w:pPr>
            <w:r>
              <w:rPr>
                <w:rFonts w:hAnsi="仿宋"/>
                <w:b/>
                <w:color w:val="000000"/>
                <w:kern w:val="0"/>
                <w:sz w:val="18"/>
                <w:szCs w:val="18"/>
              </w:rPr>
              <w:t>评价标准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b/>
                <w:color w:val="000000"/>
                <w:kern w:val="0"/>
                <w:sz w:val="18"/>
                <w:szCs w:val="18"/>
              </w:rPr>
            </w:pPr>
            <w:r>
              <w:rPr>
                <w:rFonts w:hAnsi="仿宋"/>
                <w:b/>
                <w:color w:val="000000"/>
                <w:kern w:val="0"/>
                <w:sz w:val="18"/>
                <w:szCs w:val="18"/>
              </w:rPr>
              <w:t>评价情况</w:t>
            </w:r>
          </w:p>
        </w:tc>
        <w:tc>
          <w:tcPr>
            <w:tcW w:w="27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b/>
                <w:color w:val="000000"/>
                <w:kern w:val="0"/>
                <w:sz w:val="18"/>
                <w:szCs w:val="18"/>
              </w:rPr>
            </w:pPr>
            <w:r>
              <w:rPr>
                <w:rFonts w:hAnsi="仿宋"/>
                <w:b/>
                <w:color w:val="000000"/>
                <w:kern w:val="0"/>
                <w:sz w:val="18"/>
                <w:szCs w:val="18"/>
              </w:rPr>
              <w:t>得分</w:t>
            </w:r>
          </w:p>
        </w:tc>
      </w:tr>
      <w:tr>
        <w:tblPrEx>
          <w:tblCellMar>
            <w:top w:w="0" w:type="dxa"/>
            <w:left w:w="108" w:type="dxa"/>
            <w:bottom w:w="0" w:type="dxa"/>
            <w:right w:w="108" w:type="dxa"/>
          </w:tblCellMar>
        </w:tblPrEx>
        <w:trPr>
          <w:trHeight w:val="720" w:hRule="atLeast"/>
        </w:trPr>
        <w:tc>
          <w:tcPr>
            <w:tcW w:w="44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投入</w:t>
            </w:r>
            <w:r>
              <w:rPr>
                <w:color w:val="000000"/>
                <w:kern w:val="0"/>
                <w:sz w:val="18"/>
                <w:szCs w:val="18"/>
              </w:rPr>
              <w:t>10</w:t>
            </w:r>
            <w:r>
              <w:rPr>
                <w:rFonts w:hAnsi="仿宋"/>
                <w:color w:val="000000"/>
                <w:kern w:val="0"/>
                <w:sz w:val="18"/>
                <w:szCs w:val="18"/>
              </w:rPr>
              <w:t>分</w:t>
            </w:r>
          </w:p>
        </w:tc>
        <w:tc>
          <w:tcPr>
            <w:tcW w:w="46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预算配置</w:t>
            </w:r>
            <w:r>
              <w:rPr>
                <w:color w:val="000000"/>
                <w:kern w:val="0"/>
                <w:sz w:val="18"/>
                <w:szCs w:val="18"/>
              </w:rPr>
              <w:t>10</w:t>
            </w:r>
            <w:r>
              <w:rPr>
                <w:rFonts w:hAnsi="仿宋"/>
                <w:color w:val="000000"/>
                <w:kern w:val="0"/>
                <w:sz w:val="18"/>
                <w:szCs w:val="18"/>
              </w:rPr>
              <w:t>分</w:t>
            </w: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在职人员控制率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以</w:t>
            </w:r>
            <w:r>
              <w:rPr>
                <w:color w:val="000000"/>
                <w:kern w:val="0"/>
                <w:sz w:val="18"/>
                <w:szCs w:val="18"/>
              </w:rPr>
              <w:t>100%</w:t>
            </w:r>
            <w:r>
              <w:rPr>
                <w:rFonts w:hAnsi="仿宋"/>
                <w:color w:val="000000"/>
                <w:kern w:val="0"/>
                <w:sz w:val="18"/>
                <w:szCs w:val="18"/>
              </w:rPr>
              <w:t>为标准。在职人员控制率≦</w:t>
            </w:r>
            <w:r>
              <w:rPr>
                <w:color w:val="000000"/>
                <w:kern w:val="0"/>
                <w:sz w:val="18"/>
                <w:szCs w:val="18"/>
              </w:rPr>
              <w:t>100%</w:t>
            </w:r>
            <w:r>
              <w:rPr>
                <w:rFonts w:hAnsi="仿宋"/>
                <w:color w:val="000000"/>
                <w:kern w:val="0"/>
                <w:sz w:val="18"/>
                <w:szCs w:val="18"/>
              </w:rPr>
              <w:t>，计</w:t>
            </w:r>
            <w:r>
              <w:rPr>
                <w:color w:val="000000"/>
                <w:kern w:val="0"/>
                <w:sz w:val="18"/>
                <w:szCs w:val="18"/>
              </w:rPr>
              <w:t>5</w:t>
            </w:r>
            <w:r>
              <w:rPr>
                <w:rFonts w:hAnsi="仿宋"/>
                <w:color w:val="000000"/>
                <w:kern w:val="0"/>
                <w:sz w:val="18"/>
                <w:szCs w:val="18"/>
              </w:rPr>
              <w:t>分；每超过一个百分点扣</w:t>
            </w:r>
            <w:r>
              <w:rPr>
                <w:color w:val="000000"/>
                <w:kern w:val="0"/>
                <w:sz w:val="18"/>
                <w:szCs w:val="18"/>
              </w:rPr>
              <w:t>0.5</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在职人员控制率为（</w:t>
            </w:r>
            <w:r>
              <w:rPr>
                <w:color w:val="000000"/>
                <w:kern w:val="0"/>
                <w:sz w:val="18"/>
                <w:szCs w:val="18"/>
              </w:rPr>
              <w:t>10/15</w:t>
            </w:r>
            <w:r>
              <w:rPr>
                <w:rFonts w:hAnsi="仿宋"/>
                <w:color w:val="000000"/>
                <w:kern w:val="0"/>
                <w:sz w:val="18"/>
                <w:szCs w:val="18"/>
              </w:rPr>
              <w:t>）</w:t>
            </w:r>
            <w:r>
              <w:rPr>
                <w:color w:val="000000"/>
                <w:kern w:val="0"/>
                <w:sz w:val="18"/>
                <w:szCs w:val="18"/>
              </w:rPr>
              <w:t>×100%=66.67%</w:t>
            </w:r>
            <w:r>
              <w:rPr>
                <w:rFonts w:hAnsi="仿宋"/>
                <w:color w:val="000000"/>
                <w:kern w:val="0"/>
                <w:sz w:val="18"/>
                <w:szCs w:val="18"/>
              </w:rPr>
              <w:t>，在职人员控制率≦</w:t>
            </w:r>
            <w:r>
              <w:rPr>
                <w:color w:val="000000"/>
                <w:kern w:val="0"/>
                <w:sz w:val="18"/>
                <w:szCs w:val="18"/>
              </w:rPr>
              <w:t>100%</w:t>
            </w:r>
            <w:r>
              <w:rPr>
                <w:rFonts w:hAnsi="仿宋"/>
                <w:color w:val="000000"/>
                <w:kern w:val="0"/>
                <w:sz w:val="18"/>
                <w:szCs w:val="18"/>
              </w:rPr>
              <w:t>，计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72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w:t>
            </w:r>
            <w:r>
              <w:rPr>
                <w:rFonts w:hAnsi="仿宋"/>
                <w:color w:val="000000"/>
                <w:kern w:val="0"/>
                <w:sz w:val="18"/>
                <w:szCs w:val="18"/>
              </w:rPr>
              <w:t>三公经费</w:t>
            </w:r>
            <w:r>
              <w:rPr>
                <w:color w:val="000000"/>
                <w:kern w:val="0"/>
                <w:sz w:val="18"/>
                <w:szCs w:val="18"/>
              </w:rPr>
              <w:t>”</w:t>
            </w:r>
            <w:r>
              <w:rPr>
                <w:rFonts w:hAnsi="仿宋"/>
                <w:color w:val="000000"/>
                <w:kern w:val="0"/>
                <w:sz w:val="18"/>
                <w:szCs w:val="18"/>
              </w:rPr>
              <w:t>变动率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w:t>
            </w:r>
            <w:r>
              <w:rPr>
                <w:rFonts w:hAnsi="仿宋"/>
                <w:color w:val="000000"/>
                <w:kern w:val="0"/>
                <w:sz w:val="18"/>
                <w:szCs w:val="18"/>
              </w:rPr>
              <w:t>三公经费</w:t>
            </w:r>
            <w:r>
              <w:rPr>
                <w:color w:val="000000"/>
                <w:kern w:val="0"/>
                <w:sz w:val="18"/>
                <w:szCs w:val="18"/>
              </w:rPr>
              <w:t>”</w:t>
            </w:r>
            <w:r>
              <w:rPr>
                <w:rFonts w:hAnsi="仿宋"/>
                <w:color w:val="000000"/>
                <w:kern w:val="0"/>
                <w:sz w:val="18"/>
                <w:szCs w:val="18"/>
              </w:rPr>
              <w:t>变动率≦</w:t>
            </w:r>
            <w:r>
              <w:rPr>
                <w:color w:val="000000"/>
                <w:kern w:val="0"/>
                <w:sz w:val="18"/>
                <w:szCs w:val="18"/>
              </w:rPr>
              <w:t>0,</w:t>
            </w:r>
            <w:r>
              <w:rPr>
                <w:rFonts w:hAnsi="仿宋"/>
                <w:color w:val="000000"/>
                <w:kern w:val="0"/>
                <w:sz w:val="18"/>
                <w:szCs w:val="18"/>
              </w:rPr>
              <w:t>计</w:t>
            </w:r>
            <w:r>
              <w:rPr>
                <w:color w:val="000000"/>
                <w:kern w:val="0"/>
                <w:sz w:val="18"/>
                <w:szCs w:val="18"/>
              </w:rPr>
              <w:t>8</w:t>
            </w:r>
            <w:r>
              <w:rPr>
                <w:rFonts w:hAnsi="仿宋"/>
                <w:color w:val="000000"/>
                <w:kern w:val="0"/>
                <w:sz w:val="18"/>
                <w:szCs w:val="18"/>
              </w:rPr>
              <w:t>分；</w:t>
            </w:r>
            <w:r>
              <w:rPr>
                <w:color w:val="000000"/>
                <w:kern w:val="0"/>
                <w:sz w:val="18"/>
                <w:szCs w:val="18"/>
              </w:rPr>
              <w:t>“</w:t>
            </w:r>
            <w:r>
              <w:rPr>
                <w:rFonts w:hAnsi="仿宋"/>
                <w:color w:val="000000"/>
                <w:kern w:val="0"/>
                <w:sz w:val="18"/>
                <w:szCs w:val="18"/>
              </w:rPr>
              <w:t>三公经费</w:t>
            </w:r>
            <w:r>
              <w:rPr>
                <w:color w:val="000000"/>
                <w:kern w:val="0"/>
                <w:sz w:val="18"/>
                <w:szCs w:val="18"/>
              </w:rPr>
              <w:t>”</w:t>
            </w:r>
            <w:r>
              <w:rPr>
                <w:rFonts w:hAnsi="仿宋"/>
                <w:color w:val="000000"/>
                <w:kern w:val="0"/>
                <w:sz w:val="18"/>
                <w:szCs w:val="18"/>
              </w:rPr>
              <w:t>＞</w:t>
            </w:r>
            <w:r>
              <w:rPr>
                <w:color w:val="000000"/>
                <w:kern w:val="0"/>
                <w:sz w:val="18"/>
                <w:szCs w:val="18"/>
              </w:rPr>
              <w:t>0</w:t>
            </w:r>
            <w:r>
              <w:rPr>
                <w:rFonts w:hAnsi="仿宋"/>
                <w:color w:val="000000"/>
                <w:kern w:val="0"/>
                <w:sz w:val="18"/>
                <w:szCs w:val="18"/>
              </w:rPr>
              <w:t>，每超过一个百分点扣</w:t>
            </w:r>
            <w:r>
              <w:rPr>
                <w:color w:val="000000"/>
                <w:kern w:val="0"/>
                <w:sz w:val="18"/>
                <w:szCs w:val="18"/>
              </w:rPr>
              <w:t>0.8</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w:t>
            </w:r>
            <w:r>
              <w:rPr>
                <w:rFonts w:hAnsi="仿宋"/>
                <w:color w:val="000000"/>
                <w:kern w:val="0"/>
                <w:sz w:val="18"/>
                <w:szCs w:val="18"/>
              </w:rPr>
              <w:t>三公经费</w:t>
            </w:r>
            <w:r>
              <w:rPr>
                <w:color w:val="000000"/>
                <w:kern w:val="0"/>
                <w:sz w:val="18"/>
                <w:szCs w:val="18"/>
              </w:rPr>
              <w:t>”</w:t>
            </w:r>
            <w:r>
              <w:rPr>
                <w:rFonts w:hAnsi="仿宋"/>
                <w:color w:val="000000"/>
                <w:kern w:val="0"/>
                <w:sz w:val="18"/>
                <w:szCs w:val="18"/>
              </w:rPr>
              <w:t>变动率为（</w:t>
            </w:r>
            <w:r>
              <w:rPr>
                <w:color w:val="000000"/>
                <w:kern w:val="0"/>
                <w:sz w:val="18"/>
                <w:szCs w:val="18"/>
              </w:rPr>
              <w:t>3-6</w:t>
            </w:r>
            <w:r>
              <w:rPr>
                <w:rFonts w:hAnsi="仿宋"/>
                <w:color w:val="000000"/>
                <w:kern w:val="0"/>
                <w:sz w:val="18"/>
                <w:szCs w:val="18"/>
              </w:rPr>
              <w:t>）</w:t>
            </w:r>
            <w:r>
              <w:rPr>
                <w:color w:val="000000"/>
                <w:kern w:val="0"/>
                <w:sz w:val="18"/>
                <w:szCs w:val="18"/>
              </w:rPr>
              <w:t>/6×100%=-50%</w:t>
            </w:r>
            <w:r>
              <w:rPr>
                <w:rFonts w:hAnsi="仿宋"/>
                <w:color w:val="000000"/>
                <w:kern w:val="0"/>
                <w:sz w:val="18"/>
                <w:szCs w:val="18"/>
              </w:rPr>
              <w:t>，</w:t>
            </w:r>
            <w:r>
              <w:rPr>
                <w:color w:val="000000"/>
                <w:kern w:val="0"/>
                <w:sz w:val="18"/>
                <w:szCs w:val="18"/>
              </w:rPr>
              <w:t>“</w:t>
            </w:r>
            <w:r>
              <w:rPr>
                <w:rFonts w:hAnsi="仿宋"/>
                <w:color w:val="000000"/>
                <w:kern w:val="0"/>
                <w:sz w:val="18"/>
                <w:szCs w:val="18"/>
              </w:rPr>
              <w:t>三公经费</w:t>
            </w:r>
            <w:r>
              <w:rPr>
                <w:color w:val="000000"/>
                <w:kern w:val="0"/>
                <w:sz w:val="18"/>
                <w:szCs w:val="18"/>
              </w:rPr>
              <w:t>”</w:t>
            </w:r>
            <w:r>
              <w:rPr>
                <w:rFonts w:hAnsi="仿宋"/>
                <w:color w:val="000000"/>
                <w:kern w:val="0"/>
                <w:sz w:val="18"/>
                <w:szCs w:val="18"/>
              </w:rPr>
              <w:t>变动率≦</w:t>
            </w:r>
            <w:r>
              <w:rPr>
                <w:color w:val="000000"/>
                <w:kern w:val="0"/>
                <w:sz w:val="18"/>
                <w:szCs w:val="18"/>
              </w:rPr>
              <w:t>0,</w:t>
            </w:r>
            <w:r>
              <w:rPr>
                <w:rFonts w:hAnsi="仿宋"/>
                <w:color w:val="000000"/>
                <w:kern w:val="0"/>
                <w:sz w:val="18"/>
                <w:szCs w:val="18"/>
              </w:rPr>
              <w:t>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1040" w:hRule="atLeast"/>
        </w:trPr>
        <w:tc>
          <w:tcPr>
            <w:tcW w:w="44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过程</w:t>
            </w:r>
            <w:r>
              <w:rPr>
                <w:color w:val="000000"/>
                <w:kern w:val="0"/>
                <w:sz w:val="18"/>
                <w:szCs w:val="18"/>
              </w:rPr>
              <w:t>60</w:t>
            </w:r>
            <w:r>
              <w:rPr>
                <w:rFonts w:hAnsi="仿宋"/>
                <w:color w:val="000000"/>
                <w:kern w:val="0"/>
                <w:sz w:val="18"/>
                <w:szCs w:val="18"/>
              </w:rPr>
              <w:t>分</w:t>
            </w:r>
          </w:p>
        </w:tc>
        <w:tc>
          <w:tcPr>
            <w:tcW w:w="46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预算执行</w:t>
            </w:r>
            <w:r>
              <w:rPr>
                <w:color w:val="000000"/>
                <w:kern w:val="0"/>
                <w:sz w:val="18"/>
                <w:szCs w:val="18"/>
              </w:rPr>
              <w:t>25</w:t>
            </w:r>
            <w:r>
              <w:rPr>
                <w:rFonts w:hAnsi="仿宋"/>
                <w:color w:val="000000"/>
                <w:kern w:val="0"/>
                <w:sz w:val="18"/>
                <w:szCs w:val="18"/>
              </w:rPr>
              <w:t>分</w:t>
            </w: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预算完成率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100%</w:t>
            </w:r>
            <w:r>
              <w:rPr>
                <w:rFonts w:hAnsi="仿宋"/>
                <w:color w:val="000000"/>
                <w:kern w:val="0"/>
                <w:sz w:val="18"/>
                <w:szCs w:val="18"/>
              </w:rPr>
              <w:t>计满分，每低于</w:t>
            </w:r>
            <w:r>
              <w:rPr>
                <w:color w:val="000000"/>
                <w:kern w:val="0"/>
                <w:sz w:val="18"/>
                <w:szCs w:val="18"/>
              </w:rPr>
              <w:t>5%</w:t>
            </w:r>
            <w:r>
              <w:rPr>
                <w:rFonts w:hAnsi="仿宋"/>
                <w:color w:val="000000"/>
                <w:kern w:val="0"/>
                <w:sz w:val="18"/>
                <w:szCs w:val="18"/>
              </w:rPr>
              <w:t>扣</w:t>
            </w:r>
            <w:r>
              <w:rPr>
                <w:color w:val="000000"/>
                <w:kern w:val="0"/>
                <w:sz w:val="18"/>
                <w:szCs w:val="18"/>
              </w:rPr>
              <w:t>2</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预算完成率为（</w:t>
            </w:r>
            <w:r>
              <w:rPr>
                <w:color w:val="000000"/>
                <w:kern w:val="0"/>
                <w:sz w:val="18"/>
                <w:szCs w:val="18"/>
              </w:rPr>
              <w:t>113+74.65+808.35-527</w:t>
            </w:r>
            <w:r>
              <w:rPr>
                <w:rFonts w:hAnsi="仿宋"/>
                <w:color w:val="000000"/>
                <w:kern w:val="0"/>
                <w:sz w:val="18"/>
                <w:szCs w:val="18"/>
              </w:rPr>
              <w:t>）</w:t>
            </w:r>
            <w:r>
              <w:rPr>
                <w:color w:val="000000"/>
                <w:kern w:val="0"/>
                <w:sz w:val="18"/>
                <w:szCs w:val="18"/>
              </w:rPr>
              <w:t>/</w:t>
            </w:r>
            <w:r>
              <w:rPr>
                <w:rFonts w:hAnsi="仿宋"/>
                <w:color w:val="000000"/>
                <w:kern w:val="0"/>
                <w:sz w:val="18"/>
                <w:szCs w:val="18"/>
              </w:rPr>
              <w:t>（</w:t>
            </w:r>
            <w:r>
              <w:rPr>
                <w:color w:val="000000"/>
                <w:kern w:val="0"/>
                <w:sz w:val="18"/>
                <w:szCs w:val="18"/>
              </w:rPr>
              <w:t>113+74.65+808.35</w:t>
            </w:r>
            <w:r>
              <w:rPr>
                <w:rFonts w:hAnsi="仿宋"/>
                <w:color w:val="000000"/>
                <w:kern w:val="0"/>
                <w:sz w:val="18"/>
                <w:szCs w:val="18"/>
              </w:rPr>
              <w:t>）</w:t>
            </w:r>
            <w:r>
              <w:rPr>
                <w:color w:val="000000"/>
                <w:kern w:val="0"/>
                <w:sz w:val="18"/>
                <w:szCs w:val="18"/>
              </w:rPr>
              <w:t>×100%=47.08%</w:t>
            </w:r>
            <w:r>
              <w:rPr>
                <w:rFonts w:hAnsi="仿宋"/>
                <w:color w:val="000000"/>
                <w:kern w:val="0"/>
                <w:sz w:val="18"/>
                <w:szCs w:val="18"/>
              </w:rPr>
              <w:t>，每低于</w:t>
            </w:r>
            <w:r>
              <w:rPr>
                <w:color w:val="000000"/>
                <w:kern w:val="0"/>
                <w:sz w:val="18"/>
                <w:szCs w:val="18"/>
              </w:rPr>
              <w:t>5%</w:t>
            </w:r>
            <w:r>
              <w:rPr>
                <w:rFonts w:hAnsi="仿宋"/>
                <w:color w:val="000000"/>
                <w:kern w:val="0"/>
                <w:sz w:val="18"/>
                <w:szCs w:val="18"/>
              </w:rPr>
              <w:t>扣</w:t>
            </w:r>
            <w:r>
              <w:rPr>
                <w:color w:val="000000"/>
                <w:kern w:val="0"/>
                <w:sz w:val="18"/>
                <w:szCs w:val="18"/>
              </w:rPr>
              <w:t>2</w:t>
            </w:r>
            <w:r>
              <w:rPr>
                <w:rFonts w:hAnsi="仿宋"/>
                <w:color w:val="000000"/>
                <w:kern w:val="0"/>
                <w:sz w:val="18"/>
                <w:szCs w:val="18"/>
              </w:rPr>
              <w:t>分，此项计</w:t>
            </w:r>
            <w:r>
              <w:rPr>
                <w:color w:val="000000"/>
                <w:kern w:val="0"/>
                <w:sz w:val="18"/>
                <w:szCs w:val="18"/>
              </w:rPr>
              <w:t>0</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0</w:t>
            </w:r>
          </w:p>
        </w:tc>
      </w:tr>
      <w:tr>
        <w:tblPrEx>
          <w:tblCellMar>
            <w:top w:w="0" w:type="dxa"/>
            <w:left w:w="108" w:type="dxa"/>
            <w:bottom w:w="0" w:type="dxa"/>
            <w:right w:w="108" w:type="dxa"/>
          </w:tblCellMar>
        </w:tblPrEx>
        <w:trPr>
          <w:trHeight w:val="80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预算控制率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预算控制率</w:t>
            </w:r>
            <w:r>
              <w:rPr>
                <w:color w:val="000000"/>
                <w:kern w:val="0"/>
                <w:sz w:val="18"/>
                <w:szCs w:val="18"/>
              </w:rPr>
              <w:t>=0</w:t>
            </w:r>
            <w:r>
              <w:rPr>
                <w:rFonts w:hAnsi="仿宋"/>
                <w:color w:val="000000"/>
                <w:kern w:val="0"/>
                <w:sz w:val="18"/>
                <w:szCs w:val="18"/>
              </w:rPr>
              <w:t>，计</w:t>
            </w:r>
            <w:r>
              <w:rPr>
                <w:color w:val="000000"/>
                <w:kern w:val="0"/>
                <w:sz w:val="18"/>
                <w:szCs w:val="18"/>
              </w:rPr>
              <w:t>5</w:t>
            </w:r>
            <w:r>
              <w:rPr>
                <w:rFonts w:hAnsi="仿宋"/>
                <w:color w:val="000000"/>
                <w:kern w:val="0"/>
                <w:sz w:val="18"/>
                <w:szCs w:val="18"/>
              </w:rPr>
              <w:t>分；</w:t>
            </w:r>
            <w:r>
              <w:rPr>
                <w:color w:val="000000"/>
                <w:kern w:val="0"/>
                <w:sz w:val="18"/>
                <w:szCs w:val="18"/>
              </w:rPr>
              <w:t>0-10%</w:t>
            </w:r>
            <w:r>
              <w:rPr>
                <w:rFonts w:hAnsi="仿宋"/>
                <w:color w:val="000000"/>
                <w:kern w:val="0"/>
                <w:sz w:val="18"/>
                <w:szCs w:val="18"/>
              </w:rPr>
              <w:t>（含），计</w:t>
            </w:r>
            <w:r>
              <w:rPr>
                <w:color w:val="000000"/>
                <w:kern w:val="0"/>
                <w:sz w:val="18"/>
                <w:szCs w:val="18"/>
              </w:rPr>
              <w:t>4</w:t>
            </w:r>
            <w:r>
              <w:rPr>
                <w:rFonts w:hAnsi="仿宋"/>
                <w:color w:val="000000"/>
                <w:kern w:val="0"/>
                <w:sz w:val="18"/>
                <w:szCs w:val="18"/>
              </w:rPr>
              <w:t>分；</w:t>
            </w:r>
            <w:r>
              <w:rPr>
                <w:color w:val="000000"/>
                <w:kern w:val="0"/>
                <w:sz w:val="18"/>
                <w:szCs w:val="18"/>
              </w:rPr>
              <w:t>10-20%</w:t>
            </w:r>
            <w:r>
              <w:rPr>
                <w:rFonts w:hAnsi="仿宋"/>
                <w:color w:val="000000"/>
                <w:kern w:val="0"/>
                <w:sz w:val="18"/>
                <w:szCs w:val="18"/>
              </w:rPr>
              <w:t>（含），计</w:t>
            </w:r>
            <w:r>
              <w:rPr>
                <w:color w:val="000000"/>
                <w:kern w:val="0"/>
                <w:sz w:val="18"/>
                <w:szCs w:val="18"/>
              </w:rPr>
              <w:t>3</w:t>
            </w:r>
            <w:r>
              <w:rPr>
                <w:rFonts w:hAnsi="仿宋"/>
                <w:color w:val="000000"/>
                <w:kern w:val="0"/>
                <w:sz w:val="18"/>
                <w:szCs w:val="18"/>
              </w:rPr>
              <w:t>分；</w:t>
            </w:r>
            <w:r>
              <w:rPr>
                <w:color w:val="000000"/>
                <w:kern w:val="0"/>
                <w:sz w:val="18"/>
                <w:szCs w:val="18"/>
              </w:rPr>
              <w:t>20-30%</w:t>
            </w:r>
            <w:r>
              <w:rPr>
                <w:rFonts w:hAnsi="仿宋"/>
                <w:color w:val="000000"/>
                <w:kern w:val="0"/>
                <w:sz w:val="18"/>
                <w:szCs w:val="18"/>
              </w:rPr>
              <w:t>（含），计</w:t>
            </w:r>
            <w:r>
              <w:rPr>
                <w:color w:val="000000"/>
                <w:kern w:val="0"/>
                <w:sz w:val="18"/>
                <w:szCs w:val="18"/>
              </w:rPr>
              <w:t>2</w:t>
            </w:r>
            <w:r>
              <w:rPr>
                <w:rFonts w:hAnsi="仿宋"/>
                <w:color w:val="000000"/>
                <w:kern w:val="0"/>
                <w:sz w:val="18"/>
                <w:szCs w:val="18"/>
              </w:rPr>
              <w:t>分；大于</w:t>
            </w:r>
            <w:r>
              <w:rPr>
                <w:color w:val="000000"/>
                <w:kern w:val="0"/>
                <w:sz w:val="18"/>
                <w:szCs w:val="18"/>
              </w:rPr>
              <w:t>30%</w:t>
            </w:r>
            <w:r>
              <w:rPr>
                <w:rFonts w:hAnsi="仿宋"/>
                <w:color w:val="000000"/>
                <w:kern w:val="0"/>
                <w:sz w:val="18"/>
                <w:szCs w:val="18"/>
              </w:rPr>
              <w:t>不得分。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预算控制率为（</w:t>
            </w:r>
            <w:r>
              <w:rPr>
                <w:color w:val="000000"/>
                <w:kern w:val="0"/>
                <w:sz w:val="18"/>
                <w:szCs w:val="18"/>
              </w:rPr>
              <w:t>808.35/74.65</w:t>
            </w:r>
            <w:r>
              <w:rPr>
                <w:rFonts w:hAnsi="仿宋"/>
                <w:color w:val="000000"/>
                <w:kern w:val="0"/>
                <w:sz w:val="18"/>
                <w:szCs w:val="18"/>
              </w:rPr>
              <w:t>）</w:t>
            </w:r>
            <w:r>
              <w:rPr>
                <w:color w:val="000000"/>
                <w:kern w:val="0"/>
                <w:sz w:val="18"/>
                <w:szCs w:val="18"/>
              </w:rPr>
              <w:t>×100%=1083%</w:t>
            </w:r>
            <w:r>
              <w:rPr>
                <w:rFonts w:hAnsi="仿宋"/>
                <w:color w:val="000000"/>
                <w:kern w:val="0"/>
                <w:sz w:val="18"/>
                <w:szCs w:val="18"/>
              </w:rPr>
              <w:t>，大于</w:t>
            </w:r>
            <w:r>
              <w:rPr>
                <w:color w:val="000000"/>
                <w:kern w:val="0"/>
                <w:sz w:val="18"/>
                <w:szCs w:val="18"/>
              </w:rPr>
              <w:t>30%</w:t>
            </w:r>
            <w:r>
              <w:rPr>
                <w:rFonts w:hAnsi="仿宋"/>
                <w:color w:val="000000"/>
                <w:kern w:val="0"/>
                <w:sz w:val="18"/>
                <w:szCs w:val="18"/>
              </w:rPr>
              <w:t>，计</w:t>
            </w:r>
            <w:r>
              <w:rPr>
                <w:color w:val="000000"/>
                <w:kern w:val="0"/>
                <w:sz w:val="18"/>
                <w:szCs w:val="18"/>
              </w:rPr>
              <w:t>0</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0</w:t>
            </w:r>
          </w:p>
        </w:tc>
      </w:tr>
      <w:tr>
        <w:tblPrEx>
          <w:tblCellMar>
            <w:top w:w="0" w:type="dxa"/>
            <w:left w:w="108" w:type="dxa"/>
            <w:bottom w:w="0" w:type="dxa"/>
            <w:right w:w="108" w:type="dxa"/>
          </w:tblCellMar>
        </w:tblPrEx>
        <w:trPr>
          <w:trHeight w:val="101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新建楼堂馆所面积控制率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100%</w:t>
            </w:r>
            <w:r>
              <w:rPr>
                <w:rFonts w:hAnsi="仿宋"/>
                <w:color w:val="000000"/>
                <w:kern w:val="0"/>
                <w:sz w:val="18"/>
                <w:szCs w:val="18"/>
              </w:rPr>
              <w:t>以下（含）计满分，每超出</w:t>
            </w:r>
            <w:r>
              <w:rPr>
                <w:color w:val="000000"/>
                <w:kern w:val="0"/>
                <w:sz w:val="18"/>
                <w:szCs w:val="18"/>
              </w:rPr>
              <w:t>5%</w:t>
            </w:r>
            <w:r>
              <w:rPr>
                <w:rFonts w:hAnsi="仿宋"/>
                <w:color w:val="000000"/>
                <w:kern w:val="0"/>
                <w:sz w:val="18"/>
                <w:szCs w:val="18"/>
              </w:rPr>
              <w:t>扣</w:t>
            </w:r>
            <w:r>
              <w:rPr>
                <w:color w:val="000000"/>
                <w:kern w:val="0"/>
                <w:sz w:val="18"/>
                <w:szCs w:val="18"/>
              </w:rPr>
              <w:t>2</w:t>
            </w:r>
            <w:r>
              <w:rPr>
                <w:rFonts w:hAnsi="仿宋"/>
                <w:color w:val="000000"/>
                <w:kern w:val="0"/>
                <w:sz w:val="18"/>
                <w:szCs w:val="18"/>
              </w:rPr>
              <w:t>分，扣完为止，没有新建楼堂馆所项目的部门按满分计算。</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该单位</w:t>
            </w:r>
            <w:r>
              <w:rPr>
                <w:color w:val="000000"/>
                <w:kern w:val="0"/>
                <w:sz w:val="18"/>
                <w:szCs w:val="18"/>
              </w:rPr>
              <w:t>2018</w:t>
            </w:r>
            <w:r>
              <w:rPr>
                <w:rFonts w:hAnsi="仿宋"/>
                <w:color w:val="000000"/>
                <w:kern w:val="0"/>
                <w:sz w:val="18"/>
                <w:szCs w:val="18"/>
              </w:rPr>
              <w:t>年无新建楼堂馆所，计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101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新建楼堂馆所投资概算控制率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100%</w:t>
            </w:r>
            <w:r>
              <w:rPr>
                <w:rFonts w:hAnsi="仿宋"/>
                <w:color w:val="000000"/>
                <w:kern w:val="0"/>
                <w:sz w:val="18"/>
                <w:szCs w:val="18"/>
              </w:rPr>
              <w:t>以下（含）计满分，每超出</w:t>
            </w:r>
            <w:r>
              <w:rPr>
                <w:color w:val="000000"/>
                <w:kern w:val="0"/>
                <w:sz w:val="18"/>
                <w:szCs w:val="18"/>
              </w:rPr>
              <w:t>5%</w:t>
            </w:r>
            <w:r>
              <w:rPr>
                <w:rFonts w:hAnsi="仿宋"/>
                <w:color w:val="000000"/>
                <w:kern w:val="0"/>
                <w:sz w:val="18"/>
                <w:szCs w:val="18"/>
              </w:rPr>
              <w:t>扣</w:t>
            </w:r>
            <w:r>
              <w:rPr>
                <w:color w:val="000000"/>
                <w:kern w:val="0"/>
                <w:sz w:val="18"/>
                <w:szCs w:val="18"/>
              </w:rPr>
              <w:t>2</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该单位</w:t>
            </w:r>
            <w:r>
              <w:rPr>
                <w:color w:val="000000"/>
                <w:kern w:val="0"/>
                <w:sz w:val="18"/>
                <w:szCs w:val="18"/>
              </w:rPr>
              <w:t>2018</w:t>
            </w:r>
            <w:r>
              <w:rPr>
                <w:rFonts w:hAnsi="仿宋"/>
                <w:color w:val="000000"/>
                <w:kern w:val="0"/>
                <w:sz w:val="18"/>
                <w:szCs w:val="18"/>
              </w:rPr>
              <w:t>年无新建楼堂馆所，计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48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预算管理</w:t>
            </w:r>
            <w:r>
              <w:rPr>
                <w:color w:val="000000"/>
                <w:kern w:val="0"/>
                <w:sz w:val="18"/>
                <w:szCs w:val="18"/>
              </w:rPr>
              <w:t>40</w:t>
            </w:r>
            <w:r>
              <w:rPr>
                <w:rFonts w:hAnsi="仿宋"/>
                <w:color w:val="000000"/>
                <w:kern w:val="0"/>
                <w:sz w:val="18"/>
                <w:szCs w:val="18"/>
              </w:rPr>
              <w:t>分</w:t>
            </w: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公用经费控制率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8</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100%</w:t>
            </w:r>
            <w:r>
              <w:rPr>
                <w:rFonts w:hAnsi="仿宋"/>
                <w:color w:val="000000"/>
                <w:kern w:val="0"/>
                <w:sz w:val="18"/>
                <w:szCs w:val="18"/>
              </w:rPr>
              <w:t>以下（含）计满分，每超出</w:t>
            </w:r>
            <w:r>
              <w:rPr>
                <w:color w:val="000000"/>
                <w:kern w:val="0"/>
                <w:sz w:val="18"/>
                <w:szCs w:val="18"/>
              </w:rPr>
              <w:t>1%</w:t>
            </w:r>
            <w:r>
              <w:rPr>
                <w:rFonts w:hAnsi="仿宋"/>
                <w:color w:val="000000"/>
                <w:kern w:val="0"/>
                <w:sz w:val="18"/>
                <w:szCs w:val="18"/>
              </w:rPr>
              <w:t>扣</w:t>
            </w:r>
            <w:r>
              <w:rPr>
                <w:color w:val="000000"/>
                <w:kern w:val="0"/>
                <w:sz w:val="18"/>
                <w:szCs w:val="18"/>
              </w:rPr>
              <w:t>1</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公用经费控制率为（</w:t>
            </w:r>
            <w:r>
              <w:rPr>
                <w:color w:val="000000"/>
                <w:kern w:val="0"/>
                <w:sz w:val="18"/>
                <w:szCs w:val="18"/>
              </w:rPr>
              <w:t>212.64/401.52</w:t>
            </w:r>
            <w:r>
              <w:rPr>
                <w:rFonts w:hAnsi="仿宋"/>
                <w:color w:val="000000"/>
                <w:kern w:val="0"/>
                <w:sz w:val="18"/>
                <w:szCs w:val="18"/>
              </w:rPr>
              <w:t>）</w:t>
            </w:r>
            <w:r>
              <w:rPr>
                <w:color w:val="000000"/>
                <w:kern w:val="0"/>
                <w:sz w:val="18"/>
                <w:szCs w:val="18"/>
              </w:rPr>
              <w:t>×100%=52.96%</w:t>
            </w:r>
            <w:r>
              <w:rPr>
                <w:rFonts w:hAnsi="仿宋"/>
                <w:color w:val="000000"/>
                <w:kern w:val="0"/>
                <w:sz w:val="18"/>
                <w:szCs w:val="18"/>
              </w:rPr>
              <w:t>，计</w:t>
            </w:r>
            <w:r>
              <w:rPr>
                <w:color w:val="000000"/>
                <w:kern w:val="0"/>
                <w:sz w:val="18"/>
                <w:szCs w:val="18"/>
              </w:rPr>
              <w:t>8</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8</w:t>
            </w:r>
          </w:p>
        </w:tc>
      </w:tr>
      <w:tr>
        <w:tblPrEx>
          <w:tblCellMar>
            <w:top w:w="0" w:type="dxa"/>
            <w:left w:w="108" w:type="dxa"/>
            <w:bottom w:w="0" w:type="dxa"/>
            <w:right w:w="108" w:type="dxa"/>
          </w:tblCellMar>
        </w:tblPrEx>
        <w:trPr>
          <w:trHeight w:val="73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w:t>
            </w:r>
            <w:r>
              <w:rPr>
                <w:rFonts w:hAnsi="仿宋"/>
                <w:color w:val="000000"/>
                <w:kern w:val="0"/>
                <w:sz w:val="18"/>
                <w:szCs w:val="18"/>
              </w:rPr>
              <w:t>三公经费</w:t>
            </w:r>
            <w:r>
              <w:rPr>
                <w:color w:val="000000"/>
                <w:kern w:val="0"/>
                <w:sz w:val="18"/>
                <w:szCs w:val="18"/>
              </w:rPr>
              <w:t>”</w:t>
            </w:r>
            <w:r>
              <w:rPr>
                <w:rFonts w:hAnsi="仿宋"/>
                <w:color w:val="000000"/>
                <w:kern w:val="0"/>
                <w:sz w:val="18"/>
                <w:szCs w:val="18"/>
              </w:rPr>
              <w:t>控制率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7</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100%</w:t>
            </w:r>
            <w:r>
              <w:rPr>
                <w:rFonts w:hAnsi="仿宋"/>
                <w:color w:val="000000"/>
                <w:kern w:val="0"/>
                <w:sz w:val="18"/>
                <w:szCs w:val="18"/>
              </w:rPr>
              <w:t>以下（含）计满分，每超出</w:t>
            </w:r>
            <w:r>
              <w:rPr>
                <w:color w:val="000000"/>
                <w:kern w:val="0"/>
                <w:sz w:val="18"/>
                <w:szCs w:val="18"/>
              </w:rPr>
              <w:t>1%</w:t>
            </w:r>
            <w:r>
              <w:rPr>
                <w:rFonts w:hAnsi="仿宋"/>
                <w:color w:val="000000"/>
                <w:kern w:val="0"/>
                <w:sz w:val="18"/>
                <w:szCs w:val="18"/>
              </w:rPr>
              <w:t>扣</w:t>
            </w:r>
            <w:r>
              <w:rPr>
                <w:color w:val="000000"/>
                <w:kern w:val="0"/>
                <w:sz w:val="18"/>
                <w:szCs w:val="18"/>
              </w:rPr>
              <w:t>1</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w:t>
            </w:r>
            <w:r>
              <w:rPr>
                <w:rFonts w:hAnsi="仿宋"/>
                <w:color w:val="000000"/>
                <w:kern w:val="0"/>
                <w:sz w:val="18"/>
                <w:szCs w:val="18"/>
              </w:rPr>
              <w:t>三公经费</w:t>
            </w:r>
            <w:r>
              <w:rPr>
                <w:color w:val="000000"/>
                <w:kern w:val="0"/>
                <w:sz w:val="18"/>
                <w:szCs w:val="18"/>
              </w:rPr>
              <w:t>”</w:t>
            </w:r>
            <w:r>
              <w:rPr>
                <w:rFonts w:hAnsi="仿宋"/>
                <w:color w:val="000000"/>
                <w:kern w:val="0"/>
                <w:sz w:val="18"/>
                <w:szCs w:val="18"/>
              </w:rPr>
              <w:t>控制率为（</w:t>
            </w:r>
            <w:r>
              <w:rPr>
                <w:color w:val="000000"/>
                <w:kern w:val="0"/>
                <w:sz w:val="18"/>
                <w:szCs w:val="18"/>
              </w:rPr>
              <w:t>2.99/3</w:t>
            </w:r>
            <w:r>
              <w:rPr>
                <w:rFonts w:hAnsi="仿宋"/>
                <w:color w:val="000000"/>
                <w:kern w:val="0"/>
                <w:sz w:val="18"/>
                <w:szCs w:val="18"/>
              </w:rPr>
              <w:t>）</w:t>
            </w:r>
            <w:r>
              <w:rPr>
                <w:color w:val="000000"/>
                <w:kern w:val="0"/>
                <w:sz w:val="18"/>
                <w:szCs w:val="18"/>
              </w:rPr>
              <w:t>×100%=99.67%</w:t>
            </w:r>
            <w:r>
              <w:rPr>
                <w:rFonts w:hAnsi="仿宋"/>
                <w:color w:val="000000"/>
                <w:kern w:val="0"/>
                <w:sz w:val="18"/>
                <w:szCs w:val="18"/>
              </w:rPr>
              <w:t>，</w:t>
            </w:r>
            <w:r>
              <w:rPr>
                <w:color w:val="000000"/>
                <w:kern w:val="0"/>
                <w:sz w:val="18"/>
                <w:szCs w:val="18"/>
              </w:rPr>
              <w:t>100%</w:t>
            </w:r>
            <w:r>
              <w:rPr>
                <w:rFonts w:hAnsi="仿宋"/>
                <w:color w:val="000000"/>
                <w:kern w:val="0"/>
                <w:sz w:val="18"/>
                <w:szCs w:val="18"/>
              </w:rPr>
              <w:t>以下（含）计</w:t>
            </w:r>
            <w:r>
              <w:rPr>
                <w:color w:val="000000"/>
                <w:kern w:val="0"/>
                <w:sz w:val="18"/>
                <w:szCs w:val="18"/>
              </w:rPr>
              <w:t>7</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7</w:t>
            </w:r>
          </w:p>
        </w:tc>
      </w:tr>
      <w:tr>
        <w:tblPrEx>
          <w:tblCellMar>
            <w:top w:w="0" w:type="dxa"/>
            <w:left w:w="108" w:type="dxa"/>
            <w:bottom w:w="0" w:type="dxa"/>
            <w:right w:w="108" w:type="dxa"/>
          </w:tblCellMar>
        </w:tblPrEx>
        <w:trPr>
          <w:trHeight w:val="80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政府采购执行率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6</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color w:val="000000"/>
                <w:kern w:val="0"/>
                <w:sz w:val="18"/>
                <w:szCs w:val="18"/>
              </w:rPr>
              <w:t>100%</w:t>
            </w:r>
            <w:r>
              <w:rPr>
                <w:rFonts w:hAnsi="仿宋"/>
                <w:color w:val="000000"/>
                <w:kern w:val="0"/>
                <w:sz w:val="18"/>
                <w:szCs w:val="18"/>
              </w:rPr>
              <w:t>计满分，每超过（降低）</w:t>
            </w:r>
            <w:r>
              <w:rPr>
                <w:color w:val="000000"/>
                <w:kern w:val="0"/>
                <w:sz w:val="18"/>
                <w:szCs w:val="18"/>
              </w:rPr>
              <w:t>5%</w:t>
            </w:r>
            <w:r>
              <w:rPr>
                <w:rFonts w:hAnsi="仿宋"/>
                <w:color w:val="000000"/>
                <w:kern w:val="0"/>
                <w:sz w:val="18"/>
                <w:szCs w:val="18"/>
              </w:rPr>
              <w:t>扣</w:t>
            </w:r>
            <w:r>
              <w:rPr>
                <w:color w:val="000000"/>
                <w:kern w:val="0"/>
                <w:sz w:val="18"/>
                <w:szCs w:val="18"/>
              </w:rPr>
              <w:t>2</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该单位</w:t>
            </w:r>
            <w:r>
              <w:rPr>
                <w:color w:val="000000"/>
                <w:kern w:val="0"/>
                <w:sz w:val="18"/>
                <w:szCs w:val="18"/>
              </w:rPr>
              <w:t>2018</w:t>
            </w:r>
            <w:r>
              <w:rPr>
                <w:rFonts w:hAnsi="仿宋"/>
                <w:color w:val="000000"/>
                <w:kern w:val="0"/>
                <w:sz w:val="18"/>
                <w:szCs w:val="18"/>
              </w:rPr>
              <w:t>年未做政府采购预算，实际政府采购支出</w:t>
            </w:r>
            <w:r>
              <w:rPr>
                <w:color w:val="000000"/>
                <w:kern w:val="0"/>
                <w:sz w:val="18"/>
                <w:szCs w:val="18"/>
              </w:rPr>
              <w:t>257.22</w:t>
            </w:r>
            <w:r>
              <w:rPr>
                <w:rFonts w:hAnsi="仿宋"/>
                <w:color w:val="000000"/>
                <w:kern w:val="0"/>
                <w:sz w:val="18"/>
                <w:szCs w:val="18"/>
              </w:rPr>
              <w:t>万元。</w:t>
            </w:r>
            <w:r>
              <w:rPr>
                <w:rFonts w:hint="eastAsia" w:hAnsi="仿宋"/>
                <w:color w:val="000000"/>
                <w:kern w:val="0"/>
                <w:sz w:val="18"/>
                <w:szCs w:val="18"/>
              </w:rPr>
              <w:t>因在编制年度预算的时未能成功申报政府采购预算计划，但在实际执行中，湖南衡山萱洲国家湿地公园管理处严格按照政府采购规范程序执行，本项扣2分，得4分</w:t>
            </w:r>
            <w:r>
              <w:rPr>
                <w:rFonts w:hAnsi="仿宋"/>
                <w:color w:val="000000"/>
                <w:kern w:val="0"/>
                <w:sz w:val="18"/>
                <w:szCs w:val="18"/>
              </w:rPr>
              <w:t>。</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4</w:t>
            </w:r>
          </w:p>
        </w:tc>
      </w:tr>
      <w:tr>
        <w:tblPrEx>
          <w:tblCellMar>
            <w:top w:w="0" w:type="dxa"/>
            <w:left w:w="108" w:type="dxa"/>
            <w:bottom w:w="0" w:type="dxa"/>
            <w:right w:w="108" w:type="dxa"/>
          </w:tblCellMar>
        </w:tblPrEx>
        <w:trPr>
          <w:trHeight w:val="122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管理制度健全性</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8</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①有内部财务管理制度、会计核算制度等管理制度，</w:t>
            </w:r>
            <w:r>
              <w:rPr>
                <w:color w:val="000000"/>
                <w:kern w:val="0"/>
                <w:sz w:val="18"/>
                <w:szCs w:val="18"/>
              </w:rPr>
              <w:t>2</w:t>
            </w:r>
            <w:r>
              <w:rPr>
                <w:rFonts w:hAnsi="仿宋"/>
                <w:color w:val="000000"/>
                <w:kern w:val="0"/>
                <w:sz w:val="18"/>
                <w:szCs w:val="18"/>
              </w:rPr>
              <w:t>分；</w:t>
            </w:r>
            <w:r>
              <w:rPr>
                <w:color w:val="000000"/>
                <w:kern w:val="0"/>
                <w:sz w:val="18"/>
                <w:szCs w:val="18"/>
              </w:rPr>
              <w:br w:type="textWrapping"/>
            </w:r>
            <w:r>
              <w:rPr>
                <w:rFonts w:hAnsi="仿宋"/>
                <w:color w:val="000000"/>
                <w:kern w:val="0"/>
                <w:sz w:val="18"/>
                <w:szCs w:val="18"/>
              </w:rPr>
              <w:t>②有本部门厉行节约制度</w:t>
            </w:r>
            <w:r>
              <w:rPr>
                <w:color w:val="000000"/>
                <w:kern w:val="0"/>
                <w:sz w:val="18"/>
                <w:szCs w:val="18"/>
              </w:rPr>
              <w:t>,2</w:t>
            </w:r>
            <w:r>
              <w:rPr>
                <w:rFonts w:hAnsi="仿宋"/>
                <w:color w:val="000000"/>
                <w:kern w:val="0"/>
                <w:sz w:val="18"/>
                <w:szCs w:val="18"/>
              </w:rPr>
              <w:t>分；</w:t>
            </w:r>
            <w:r>
              <w:rPr>
                <w:color w:val="000000"/>
                <w:kern w:val="0"/>
                <w:sz w:val="18"/>
                <w:szCs w:val="18"/>
              </w:rPr>
              <w:br w:type="textWrapping"/>
            </w:r>
            <w:r>
              <w:rPr>
                <w:rFonts w:hAnsi="仿宋"/>
                <w:color w:val="000000"/>
                <w:kern w:val="0"/>
                <w:sz w:val="18"/>
                <w:szCs w:val="18"/>
              </w:rPr>
              <w:t>③相关管理制度合法、合规、完整，</w:t>
            </w:r>
            <w:r>
              <w:rPr>
                <w:color w:val="000000"/>
                <w:kern w:val="0"/>
                <w:sz w:val="18"/>
                <w:szCs w:val="18"/>
              </w:rPr>
              <w:t>2</w:t>
            </w:r>
            <w:r>
              <w:rPr>
                <w:rFonts w:hAnsi="仿宋"/>
                <w:color w:val="000000"/>
                <w:kern w:val="0"/>
                <w:sz w:val="18"/>
                <w:szCs w:val="18"/>
              </w:rPr>
              <w:t>分；④相关管理制度得到有效执行，</w:t>
            </w:r>
            <w:r>
              <w:rPr>
                <w:color w:val="000000"/>
                <w:kern w:val="0"/>
                <w:sz w:val="18"/>
                <w:szCs w:val="18"/>
              </w:rPr>
              <w:t>2</w:t>
            </w:r>
            <w:r>
              <w:rPr>
                <w:rFonts w:hAnsi="仿宋"/>
                <w:color w:val="000000"/>
                <w:kern w:val="0"/>
                <w:sz w:val="18"/>
                <w:szCs w:val="18"/>
              </w:rPr>
              <w:t>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该单位内部会计管理制度，管理制度合法、合规、完整，但存在相关管理制度未得到有效执行，如财务审批、公务车管理等制度未严格执行，此项合计</w:t>
            </w:r>
            <w:r>
              <w:rPr>
                <w:color w:val="000000"/>
                <w:kern w:val="0"/>
                <w:sz w:val="18"/>
                <w:szCs w:val="18"/>
              </w:rPr>
              <w:t>6</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6</w:t>
            </w:r>
          </w:p>
        </w:tc>
      </w:tr>
      <w:tr>
        <w:tblPrEx>
          <w:tblCellMar>
            <w:top w:w="0" w:type="dxa"/>
            <w:left w:w="108" w:type="dxa"/>
            <w:bottom w:w="0" w:type="dxa"/>
            <w:right w:w="108" w:type="dxa"/>
          </w:tblCellMar>
        </w:tblPrEx>
        <w:trPr>
          <w:trHeight w:val="216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资金使用合规性</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6</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每出现一例不符合要求的扣</w:t>
            </w:r>
            <w:r>
              <w:rPr>
                <w:color w:val="000000"/>
                <w:kern w:val="0"/>
                <w:sz w:val="18"/>
                <w:szCs w:val="18"/>
              </w:rPr>
              <w:t>1</w:t>
            </w:r>
            <w:r>
              <w:rPr>
                <w:rFonts w:hAnsi="仿宋"/>
                <w:color w:val="000000"/>
                <w:kern w:val="0"/>
                <w:sz w:val="18"/>
                <w:szCs w:val="18"/>
              </w:rPr>
              <w:t>分，扣完为止。</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①因该单位</w:t>
            </w:r>
            <w:r>
              <w:rPr>
                <w:color w:val="000000"/>
                <w:kern w:val="0"/>
                <w:sz w:val="18"/>
                <w:szCs w:val="18"/>
              </w:rPr>
              <w:t>2018</w:t>
            </w:r>
            <w:r>
              <w:rPr>
                <w:rFonts w:hAnsi="仿宋"/>
                <w:color w:val="000000"/>
                <w:kern w:val="0"/>
                <w:sz w:val="18"/>
                <w:szCs w:val="18"/>
              </w:rPr>
              <w:t>年度暂未实行预算管理系统，上级资金均由财政直接拨付至单位银行账户中，资金使用未严格按照专项资金管理办法的规定使用；②资金拨付有审批程序，但手续欠规范；③项目支出按规定经过评估论证；④支出符合部门预算批复的用途；⑤资金使用无截留、挤占、挪用、虚列支出等情况。此项合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100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预决算信息公开性</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①按规定内容公开预决算信息，</w:t>
            </w:r>
            <w:r>
              <w:rPr>
                <w:color w:val="000000"/>
                <w:kern w:val="0"/>
                <w:sz w:val="18"/>
                <w:szCs w:val="18"/>
              </w:rPr>
              <w:t>1</w:t>
            </w:r>
            <w:r>
              <w:rPr>
                <w:rFonts w:hAnsi="仿宋"/>
                <w:color w:val="000000"/>
                <w:kern w:val="0"/>
                <w:sz w:val="18"/>
                <w:szCs w:val="18"/>
              </w:rPr>
              <w:t>分；②按规定时限公开预决算信息，</w:t>
            </w:r>
            <w:r>
              <w:rPr>
                <w:color w:val="000000"/>
                <w:kern w:val="0"/>
                <w:sz w:val="18"/>
                <w:szCs w:val="18"/>
              </w:rPr>
              <w:t>1</w:t>
            </w:r>
            <w:r>
              <w:rPr>
                <w:rFonts w:hAnsi="仿宋"/>
                <w:color w:val="000000"/>
                <w:kern w:val="0"/>
                <w:sz w:val="18"/>
                <w:szCs w:val="18"/>
              </w:rPr>
              <w:t>分；③基础数据信息和会计信息资料真实，</w:t>
            </w:r>
            <w:r>
              <w:rPr>
                <w:color w:val="000000"/>
                <w:kern w:val="0"/>
                <w:sz w:val="18"/>
                <w:szCs w:val="18"/>
              </w:rPr>
              <w:t>1</w:t>
            </w:r>
            <w:r>
              <w:rPr>
                <w:rFonts w:hAnsi="仿宋"/>
                <w:color w:val="000000"/>
                <w:kern w:val="0"/>
                <w:sz w:val="18"/>
                <w:szCs w:val="18"/>
              </w:rPr>
              <w:t>分；④基础数据信息和会计信息资料完整，</w:t>
            </w:r>
            <w:r>
              <w:rPr>
                <w:color w:val="000000"/>
                <w:kern w:val="0"/>
                <w:sz w:val="18"/>
                <w:szCs w:val="18"/>
              </w:rPr>
              <w:t>1</w:t>
            </w:r>
            <w:r>
              <w:rPr>
                <w:rFonts w:hAnsi="仿宋"/>
                <w:color w:val="000000"/>
                <w:kern w:val="0"/>
                <w:sz w:val="18"/>
                <w:szCs w:val="18"/>
              </w:rPr>
              <w:t>分；⑤基础数据信息和汇集信息资料准确，</w:t>
            </w:r>
            <w:r>
              <w:rPr>
                <w:color w:val="000000"/>
                <w:kern w:val="0"/>
                <w:sz w:val="18"/>
                <w:szCs w:val="18"/>
              </w:rPr>
              <w:t>1</w:t>
            </w:r>
            <w:r>
              <w:rPr>
                <w:rFonts w:hAnsi="仿宋"/>
                <w:color w:val="000000"/>
                <w:kern w:val="0"/>
                <w:sz w:val="18"/>
                <w:szCs w:val="18"/>
              </w:rPr>
              <w:t>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该单位按照规定公按时开预决算信息，基础数据信息和会计信息资料真实，完整，信息数据信息和汇集信息资料准确，此项计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890" w:hRule="atLeast"/>
        </w:trPr>
        <w:tc>
          <w:tcPr>
            <w:tcW w:w="448"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产出及效率</w:t>
            </w:r>
            <w:r>
              <w:rPr>
                <w:color w:val="000000"/>
                <w:kern w:val="0"/>
                <w:sz w:val="18"/>
                <w:szCs w:val="18"/>
              </w:rPr>
              <w:t>30</w:t>
            </w:r>
            <w:r>
              <w:rPr>
                <w:rFonts w:hAnsi="仿宋"/>
                <w:color w:val="000000"/>
                <w:kern w:val="0"/>
                <w:sz w:val="18"/>
                <w:szCs w:val="18"/>
              </w:rPr>
              <w:t>分</w:t>
            </w:r>
          </w:p>
        </w:tc>
        <w:tc>
          <w:tcPr>
            <w:tcW w:w="461"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职责履行</w:t>
            </w:r>
            <w:r>
              <w:rPr>
                <w:color w:val="000000"/>
                <w:kern w:val="0"/>
                <w:sz w:val="18"/>
                <w:szCs w:val="18"/>
              </w:rPr>
              <w:t>8</w:t>
            </w:r>
            <w:r>
              <w:rPr>
                <w:rFonts w:hAnsi="仿宋"/>
                <w:color w:val="000000"/>
                <w:kern w:val="0"/>
                <w:sz w:val="18"/>
                <w:szCs w:val="18"/>
              </w:rPr>
              <w:t>分</w:t>
            </w: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重点工作实际完成率</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8</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根据市绩效办</w:t>
            </w:r>
            <w:r>
              <w:rPr>
                <w:color w:val="000000"/>
                <w:kern w:val="0"/>
                <w:sz w:val="18"/>
                <w:szCs w:val="18"/>
              </w:rPr>
              <w:t>2019</w:t>
            </w:r>
            <w:r>
              <w:rPr>
                <w:rFonts w:hAnsi="仿宋"/>
                <w:color w:val="000000"/>
                <w:kern w:val="0"/>
                <w:sz w:val="18"/>
                <w:szCs w:val="18"/>
              </w:rPr>
              <w:t>年对各部门为民办实事和部门重点工程与重点工作考核分数折算。该项得分</w:t>
            </w:r>
            <w:r>
              <w:rPr>
                <w:color w:val="000000"/>
                <w:kern w:val="0"/>
                <w:sz w:val="18"/>
                <w:szCs w:val="18"/>
              </w:rPr>
              <w:t>=</w:t>
            </w:r>
            <w:r>
              <w:rPr>
                <w:rFonts w:hAnsi="仿宋"/>
                <w:color w:val="000000"/>
                <w:kern w:val="0"/>
                <w:sz w:val="18"/>
                <w:szCs w:val="18"/>
              </w:rPr>
              <w:t>（绩效办对应部分考核得分</w:t>
            </w:r>
            <w:r>
              <w:rPr>
                <w:color w:val="000000"/>
                <w:kern w:val="0"/>
                <w:sz w:val="18"/>
                <w:szCs w:val="18"/>
              </w:rPr>
              <w:t>/</w:t>
            </w:r>
            <w:r>
              <w:rPr>
                <w:rFonts w:hAnsi="仿宋"/>
                <w:color w:val="000000"/>
                <w:kern w:val="0"/>
                <w:sz w:val="18"/>
                <w:szCs w:val="18"/>
              </w:rPr>
              <w:t>该部分总分）</w:t>
            </w:r>
            <w:r>
              <w:rPr>
                <w:color w:val="000000"/>
                <w:kern w:val="0"/>
                <w:sz w:val="18"/>
                <w:szCs w:val="18"/>
              </w:rPr>
              <w:t>×8</w:t>
            </w:r>
            <w:r>
              <w:rPr>
                <w:rFonts w:hAnsi="仿宋"/>
                <w:color w:val="000000"/>
                <w:kern w:val="0"/>
                <w:sz w:val="18"/>
                <w:szCs w:val="18"/>
              </w:rPr>
              <w:t>。</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根据县绩效办</w:t>
            </w:r>
            <w:r>
              <w:rPr>
                <w:color w:val="000000"/>
                <w:kern w:val="0"/>
                <w:sz w:val="18"/>
                <w:szCs w:val="18"/>
              </w:rPr>
              <w:t>2019</w:t>
            </w:r>
            <w:r>
              <w:rPr>
                <w:rFonts w:hAnsi="仿宋"/>
                <w:color w:val="000000"/>
                <w:kern w:val="0"/>
                <w:sz w:val="18"/>
                <w:szCs w:val="18"/>
              </w:rPr>
              <w:t>年对各部门为民办实事和部门重点工程与重点工作考核分数折算计</w:t>
            </w:r>
            <w:r>
              <w:rPr>
                <w:color w:val="000000"/>
                <w:kern w:val="0"/>
                <w:sz w:val="18"/>
                <w:szCs w:val="18"/>
              </w:rPr>
              <w:t>8</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8</w:t>
            </w:r>
          </w:p>
        </w:tc>
      </w:tr>
      <w:tr>
        <w:tblPrEx>
          <w:tblCellMar>
            <w:top w:w="0" w:type="dxa"/>
            <w:left w:w="108" w:type="dxa"/>
            <w:bottom w:w="0" w:type="dxa"/>
            <w:right w:w="108" w:type="dxa"/>
          </w:tblCellMar>
        </w:tblPrEx>
        <w:trPr>
          <w:trHeight w:val="109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履职效益</w:t>
            </w:r>
            <w:r>
              <w:rPr>
                <w:color w:val="000000"/>
                <w:kern w:val="0"/>
                <w:sz w:val="18"/>
                <w:szCs w:val="18"/>
              </w:rPr>
              <w:t>22</w:t>
            </w:r>
            <w:r>
              <w:rPr>
                <w:rFonts w:hAnsi="仿宋"/>
                <w:color w:val="000000"/>
                <w:kern w:val="0"/>
                <w:sz w:val="18"/>
                <w:szCs w:val="18"/>
              </w:rPr>
              <w:t>分</w:t>
            </w: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经济效益</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①带动周边区域经济稳定发展计</w:t>
            </w:r>
            <w:r>
              <w:rPr>
                <w:color w:val="000000"/>
                <w:kern w:val="0"/>
                <w:sz w:val="18"/>
                <w:szCs w:val="18"/>
              </w:rPr>
              <w:t>3</w:t>
            </w:r>
            <w:r>
              <w:rPr>
                <w:rFonts w:hAnsi="仿宋"/>
                <w:color w:val="000000"/>
                <w:kern w:val="0"/>
                <w:sz w:val="18"/>
                <w:szCs w:val="18"/>
              </w:rPr>
              <w:t>分；②提高湿地公园周边农户经济收入水平计</w:t>
            </w:r>
            <w:r>
              <w:rPr>
                <w:color w:val="000000"/>
                <w:kern w:val="0"/>
                <w:sz w:val="18"/>
                <w:szCs w:val="18"/>
              </w:rPr>
              <w:t>2</w:t>
            </w:r>
            <w:r>
              <w:rPr>
                <w:rFonts w:hAnsi="仿宋"/>
                <w:color w:val="000000"/>
                <w:kern w:val="0"/>
                <w:sz w:val="18"/>
                <w:szCs w:val="18"/>
              </w:rPr>
              <w:t>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湿地公园的试点建设，开展生态旅游，发展第三产业，带动地方经济稳定发展。同时周边农户可以农家乐等多形式获得较高经济收入。此项计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277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社会效益</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①带动湿地公园周边区域居民就业率计</w:t>
            </w:r>
            <w:r>
              <w:rPr>
                <w:color w:val="000000"/>
                <w:kern w:val="0"/>
                <w:sz w:val="18"/>
                <w:szCs w:val="18"/>
              </w:rPr>
              <w:t>2</w:t>
            </w:r>
            <w:r>
              <w:rPr>
                <w:rFonts w:hAnsi="仿宋"/>
                <w:color w:val="000000"/>
                <w:kern w:val="0"/>
                <w:sz w:val="18"/>
                <w:szCs w:val="18"/>
              </w:rPr>
              <w:t>分；②提高人民群众环境保护意识计</w:t>
            </w:r>
            <w:r>
              <w:rPr>
                <w:color w:val="000000"/>
                <w:kern w:val="0"/>
                <w:sz w:val="18"/>
                <w:szCs w:val="18"/>
              </w:rPr>
              <w:t>2</w:t>
            </w:r>
            <w:r>
              <w:rPr>
                <w:rFonts w:hAnsi="仿宋"/>
                <w:color w:val="000000"/>
                <w:kern w:val="0"/>
                <w:sz w:val="18"/>
                <w:szCs w:val="18"/>
              </w:rPr>
              <w:t>分；③提高衡山知名度计</w:t>
            </w:r>
            <w:r>
              <w:rPr>
                <w:color w:val="000000"/>
                <w:kern w:val="0"/>
                <w:sz w:val="18"/>
                <w:szCs w:val="18"/>
              </w:rPr>
              <w:t>1</w:t>
            </w:r>
            <w:r>
              <w:rPr>
                <w:rFonts w:hAnsi="仿宋"/>
                <w:color w:val="000000"/>
                <w:kern w:val="0"/>
                <w:sz w:val="18"/>
                <w:szCs w:val="18"/>
              </w:rPr>
              <w:t>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①充分利用了衡山县湿地的自然资源和文化资源，以特色生态旅游为依托，带动区域经济发展，为更多当地居民提供更多就业机会；②开展多形式科普宣传和教育，加大对湿地公园的保护和宣传力度，增强广大群众爱护、保护湿地意识；③随着湿地公园建设不断完善，将吸引更多专家、学者、游客前往，进一步提高衡山县的知名度，引进外部投资，促进全县社会经济可持续发展此项计</w:t>
            </w:r>
            <w:r>
              <w:rPr>
                <w:color w:val="000000"/>
                <w:kern w:val="0"/>
                <w:sz w:val="18"/>
                <w:szCs w:val="18"/>
              </w:rPr>
              <w:t>5</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5</w:t>
            </w:r>
          </w:p>
        </w:tc>
      </w:tr>
      <w:tr>
        <w:tblPrEx>
          <w:tblCellMar>
            <w:top w:w="0" w:type="dxa"/>
            <w:left w:w="108" w:type="dxa"/>
            <w:bottom w:w="0" w:type="dxa"/>
            <w:right w:w="108" w:type="dxa"/>
          </w:tblCellMar>
        </w:tblPrEx>
        <w:trPr>
          <w:trHeight w:val="75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行政效能</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6</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促进部门改进文风会风，加强经费及资产管理，推动网上办事，提高行政效率，降低行政成本效果较好的计</w:t>
            </w:r>
            <w:r>
              <w:rPr>
                <w:color w:val="000000"/>
                <w:kern w:val="0"/>
                <w:sz w:val="18"/>
                <w:szCs w:val="18"/>
              </w:rPr>
              <w:t>6</w:t>
            </w:r>
            <w:r>
              <w:rPr>
                <w:rFonts w:hAnsi="仿宋"/>
                <w:color w:val="000000"/>
                <w:kern w:val="0"/>
                <w:sz w:val="18"/>
                <w:szCs w:val="18"/>
              </w:rPr>
              <w:t>分；一般</w:t>
            </w:r>
            <w:r>
              <w:rPr>
                <w:color w:val="000000"/>
                <w:kern w:val="0"/>
                <w:sz w:val="18"/>
                <w:szCs w:val="18"/>
              </w:rPr>
              <w:t>3</w:t>
            </w:r>
            <w:r>
              <w:rPr>
                <w:rFonts w:hAnsi="仿宋"/>
                <w:color w:val="000000"/>
                <w:kern w:val="0"/>
                <w:sz w:val="18"/>
                <w:szCs w:val="18"/>
              </w:rPr>
              <w:t>分；无效果或者效果不明显</w:t>
            </w:r>
            <w:r>
              <w:rPr>
                <w:color w:val="000000"/>
                <w:kern w:val="0"/>
                <w:sz w:val="18"/>
                <w:szCs w:val="18"/>
              </w:rPr>
              <w:t>0</w:t>
            </w:r>
            <w:r>
              <w:rPr>
                <w:rFonts w:hAnsi="仿宋"/>
                <w:color w:val="000000"/>
                <w:kern w:val="0"/>
                <w:sz w:val="18"/>
                <w:szCs w:val="18"/>
              </w:rPr>
              <w:t>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促进部门改进文风会风，加强经费及资产管理，推动网上办事，提高行政效率，降低行政成本效果较好的计</w:t>
            </w:r>
            <w:r>
              <w:rPr>
                <w:color w:val="000000"/>
                <w:kern w:val="0"/>
                <w:sz w:val="18"/>
                <w:szCs w:val="18"/>
              </w:rPr>
              <w:t>7</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6</w:t>
            </w:r>
          </w:p>
        </w:tc>
      </w:tr>
      <w:tr>
        <w:tblPrEx>
          <w:tblCellMar>
            <w:top w:w="0" w:type="dxa"/>
            <w:left w:w="108" w:type="dxa"/>
            <w:bottom w:w="0" w:type="dxa"/>
            <w:right w:w="108" w:type="dxa"/>
          </w:tblCellMar>
        </w:tblPrEx>
        <w:trPr>
          <w:trHeight w:val="1070" w:hRule="atLeast"/>
        </w:trPr>
        <w:tc>
          <w:tcPr>
            <w:tcW w:w="448"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461"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0" w:firstLineChars="0"/>
              <w:jc w:val="left"/>
              <w:rPr>
                <w:color w:val="000000"/>
                <w:kern w:val="0"/>
                <w:sz w:val="18"/>
                <w:szCs w:val="18"/>
              </w:rPr>
            </w:pPr>
          </w:p>
        </w:tc>
        <w:tc>
          <w:tcPr>
            <w:tcW w:w="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可持续发展</w:t>
            </w:r>
          </w:p>
        </w:tc>
        <w:tc>
          <w:tcPr>
            <w:tcW w:w="439"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center"/>
              <w:rPr>
                <w:color w:val="000000"/>
                <w:kern w:val="0"/>
                <w:sz w:val="18"/>
                <w:szCs w:val="18"/>
              </w:rPr>
            </w:pPr>
            <w:r>
              <w:rPr>
                <w:color w:val="000000"/>
                <w:kern w:val="0"/>
                <w:sz w:val="18"/>
                <w:szCs w:val="18"/>
              </w:rPr>
              <w:t>6</w:t>
            </w:r>
          </w:p>
        </w:tc>
        <w:tc>
          <w:tcPr>
            <w:tcW w:w="1516"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湿地保护与修复得到持续维护计</w:t>
            </w:r>
            <w:r>
              <w:rPr>
                <w:color w:val="000000"/>
                <w:kern w:val="0"/>
                <w:sz w:val="18"/>
                <w:szCs w:val="18"/>
              </w:rPr>
              <w:t>3</w:t>
            </w:r>
            <w:r>
              <w:rPr>
                <w:rFonts w:hAnsi="仿宋"/>
                <w:color w:val="000000"/>
                <w:kern w:val="0"/>
                <w:sz w:val="18"/>
                <w:szCs w:val="18"/>
              </w:rPr>
              <w:t>分；所依赖的政策制度能持续执行计</w:t>
            </w:r>
            <w:r>
              <w:rPr>
                <w:color w:val="000000"/>
                <w:kern w:val="0"/>
                <w:sz w:val="18"/>
                <w:szCs w:val="18"/>
              </w:rPr>
              <w:t>3</w:t>
            </w:r>
            <w:r>
              <w:rPr>
                <w:rFonts w:hAnsi="仿宋"/>
                <w:color w:val="000000"/>
                <w:kern w:val="0"/>
                <w:sz w:val="18"/>
                <w:szCs w:val="18"/>
              </w:rPr>
              <w:t>分。</w:t>
            </w:r>
          </w:p>
        </w:tc>
        <w:tc>
          <w:tcPr>
            <w:tcW w:w="1342" w:type="pct"/>
            <w:tcBorders>
              <w:top w:val="nil"/>
              <w:left w:val="nil"/>
              <w:bottom w:val="single" w:color="auto" w:sz="4" w:space="0"/>
              <w:right w:val="single" w:color="auto" w:sz="4" w:space="0"/>
            </w:tcBorders>
            <w:shd w:val="clear" w:color="auto" w:fill="auto"/>
            <w:vAlign w:val="center"/>
          </w:tcPr>
          <w:p>
            <w:pPr>
              <w:widowControl/>
              <w:spacing w:line="240" w:lineRule="exact"/>
              <w:ind w:firstLine="0" w:firstLineChars="0"/>
              <w:jc w:val="left"/>
              <w:rPr>
                <w:color w:val="000000"/>
                <w:kern w:val="0"/>
                <w:sz w:val="18"/>
                <w:szCs w:val="18"/>
              </w:rPr>
            </w:pPr>
            <w:r>
              <w:rPr>
                <w:rFonts w:hAnsi="仿宋"/>
                <w:color w:val="000000"/>
                <w:kern w:val="0"/>
                <w:sz w:val="18"/>
                <w:szCs w:val="18"/>
              </w:rPr>
              <w:t>根据评价小组现场查阅资料，湿地保护与修复已取得初步成效，所依赖的政策制度随着湿地公园建设需求需不断完善。此项计</w:t>
            </w:r>
            <w:r>
              <w:rPr>
                <w:color w:val="000000"/>
                <w:kern w:val="0"/>
                <w:sz w:val="18"/>
                <w:szCs w:val="18"/>
              </w:rPr>
              <w:t>6</w:t>
            </w:r>
            <w:r>
              <w:rPr>
                <w:rFonts w:hAnsi="仿宋"/>
                <w:color w:val="000000"/>
                <w:kern w:val="0"/>
                <w:sz w:val="18"/>
                <w:szCs w:val="18"/>
              </w:rPr>
              <w:t>分。</w:t>
            </w: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6</w:t>
            </w:r>
          </w:p>
        </w:tc>
      </w:tr>
      <w:tr>
        <w:tblPrEx>
          <w:tblCellMar>
            <w:top w:w="0" w:type="dxa"/>
            <w:left w:w="108" w:type="dxa"/>
            <w:bottom w:w="0" w:type="dxa"/>
            <w:right w:w="108" w:type="dxa"/>
          </w:tblCellMar>
        </w:tblPrEx>
        <w:trPr>
          <w:trHeight w:val="440" w:hRule="atLeast"/>
        </w:trPr>
        <w:tc>
          <w:tcPr>
            <w:tcW w:w="1424" w:type="pct"/>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exact"/>
              <w:ind w:firstLine="0" w:firstLineChars="0"/>
              <w:jc w:val="center"/>
              <w:rPr>
                <w:color w:val="000000"/>
                <w:kern w:val="0"/>
                <w:sz w:val="18"/>
                <w:szCs w:val="18"/>
              </w:rPr>
            </w:pPr>
            <w:r>
              <w:rPr>
                <w:rFonts w:hAnsi="仿宋"/>
                <w:color w:val="000000"/>
                <w:kern w:val="0"/>
                <w:sz w:val="18"/>
                <w:szCs w:val="18"/>
              </w:rPr>
              <w:t>合计</w:t>
            </w:r>
          </w:p>
        </w:tc>
        <w:tc>
          <w:tcPr>
            <w:tcW w:w="43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right"/>
              <w:rPr>
                <w:color w:val="000000"/>
                <w:kern w:val="0"/>
                <w:sz w:val="18"/>
                <w:szCs w:val="18"/>
              </w:rPr>
            </w:pPr>
            <w:r>
              <w:rPr>
                <w:color w:val="000000"/>
                <w:kern w:val="0"/>
                <w:sz w:val="18"/>
                <w:szCs w:val="18"/>
              </w:rPr>
              <w:t>100</w:t>
            </w:r>
          </w:p>
        </w:tc>
        <w:tc>
          <w:tcPr>
            <w:tcW w:w="1516"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p>
        </w:tc>
        <w:tc>
          <w:tcPr>
            <w:tcW w:w="1342"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left"/>
              <w:rPr>
                <w:color w:val="000000"/>
                <w:kern w:val="0"/>
                <w:sz w:val="18"/>
                <w:szCs w:val="18"/>
              </w:rPr>
            </w:pPr>
          </w:p>
        </w:tc>
        <w:tc>
          <w:tcPr>
            <w:tcW w:w="279" w:type="pct"/>
            <w:tcBorders>
              <w:top w:val="nil"/>
              <w:left w:val="nil"/>
              <w:bottom w:val="single" w:color="auto" w:sz="4" w:space="0"/>
              <w:right w:val="single" w:color="auto" w:sz="4" w:space="0"/>
            </w:tcBorders>
            <w:shd w:val="clear" w:color="auto" w:fill="auto"/>
            <w:noWrap/>
            <w:vAlign w:val="center"/>
          </w:tcPr>
          <w:p>
            <w:pPr>
              <w:widowControl/>
              <w:spacing w:line="240" w:lineRule="exact"/>
              <w:ind w:firstLine="0" w:firstLineChars="0"/>
              <w:jc w:val="center"/>
              <w:rPr>
                <w:color w:val="000000"/>
                <w:kern w:val="0"/>
                <w:sz w:val="18"/>
                <w:szCs w:val="18"/>
              </w:rPr>
            </w:pPr>
            <w:r>
              <w:rPr>
                <w:color w:val="000000"/>
                <w:kern w:val="0"/>
                <w:sz w:val="18"/>
                <w:szCs w:val="18"/>
              </w:rPr>
              <w:t>85</w:t>
            </w:r>
          </w:p>
        </w:tc>
      </w:tr>
    </w:tbl>
    <w:p>
      <w:pPr>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rFonts w:ascii="Times New Roman" w:hAnsi="Times New Roman"/>
        <w:lang w:val="zh-CN"/>
      </w:rPr>
      <w:t>2</w:t>
    </w:r>
    <w:r>
      <w:rPr>
        <w:lang w:val="zh-CN"/>
      </w:rPr>
      <w:fldChar w:fldCharType="end"/>
    </w:r>
  </w:p>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rFonts w:ascii="Times New Roman" w:hAnsi="Times New Roman"/>
        <w:lang w:val="zh-CN"/>
      </w:rPr>
      <w:t>1</w:t>
    </w:r>
    <w:r>
      <w:rPr>
        <w:lang w:val="zh-CN"/>
      </w:rPr>
      <w:fldChar w:fldCharType="end"/>
    </w:r>
  </w:p>
  <w:p>
    <w:pPr>
      <w:pStyle w:val="6"/>
      <w:ind w:right="360" w:firstLine="56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rFonts w:hint="eastAsia"/>
      </w:rPr>
      <w:t>第</w:t>
    </w:r>
    <w:r>
      <w:fldChar w:fldCharType="begin"/>
    </w:r>
    <w:r>
      <w:instrText xml:space="preserve">PAGE   \* MERGEFORMAT</w:instrText>
    </w:r>
    <w:r>
      <w:fldChar w:fldCharType="separate"/>
    </w:r>
    <w:r>
      <w:rPr>
        <w:rFonts w:ascii="Times New Roman" w:hAnsi="Times New Roman"/>
        <w:lang w:val="zh-CN"/>
      </w:rPr>
      <w:t>7</w:t>
    </w:r>
    <w:r>
      <w:rPr>
        <w:lang w:val="zh-CN"/>
      </w:rPr>
      <w:fldChar w:fldCharType="end"/>
    </w:r>
    <w:r>
      <w:rPr>
        <w:lang w:val="zh-CN"/>
      </w:rPr>
      <w:t>页</w:t>
    </w:r>
    <w:r>
      <w:rPr>
        <w:rFonts w:hint="eastAsia"/>
        <w:lang w:val="zh-CN"/>
      </w:rPr>
      <w:t>，</w:t>
    </w:r>
    <w:r>
      <w:t>共</w:t>
    </w:r>
    <w:r>
      <w:rPr>
        <w:rFonts w:hint="eastAsia" w:ascii="Times New Roman" w:hAnsi="Times New Roman"/>
      </w:rPr>
      <w:t>16</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97"/>
  <w:drawingGridVerticalSpacing w:val="317"/>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C4C03"/>
    <w:rsid w:val="00001E2B"/>
    <w:rsid w:val="000074F7"/>
    <w:rsid w:val="000267F0"/>
    <w:rsid w:val="0004081E"/>
    <w:rsid w:val="00040A6A"/>
    <w:rsid w:val="00087E4D"/>
    <w:rsid w:val="000A1F85"/>
    <w:rsid w:val="000B479A"/>
    <w:rsid w:val="000C0C22"/>
    <w:rsid w:val="00113FA1"/>
    <w:rsid w:val="00115F03"/>
    <w:rsid w:val="00125B11"/>
    <w:rsid w:val="001316D2"/>
    <w:rsid w:val="0015590A"/>
    <w:rsid w:val="00160834"/>
    <w:rsid w:val="001908B9"/>
    <w:rsid w:val="001F1905"/>
    <w:rsid w:val="001F1969"/>
    <w:rsid w:val="002438A6"/>
    <w:rsid w:val="0024551E"/>
    <w:rsid w:val="00253E39"/>
    <w:rsid w:val="00273E14"/>
    <w:rsid w:val="00280CD8"/>
    <w:rsid w:val="002965DC"/>
    <w:rsid w:val="002B6A00"/>
    <w:rsid w:val="002D6EA6"/>
    <w:rsid w:val="002F433F"/>
    <w:rsid w:val="00311213"/>
    <w:rsid w:val="00353E43"/>
    <w:rsid w:val="00364228"/>
    <w:rsid w:val="00385627"/>
    <w:rsid w:val="0042799E"/>
    <w:rsid w:val="00440279"/>
    <w:rsid w:val="0044401E"/>
    <w:rsid w:val="004527D1"/>
    <w:rsid w:val="0045308D"/>
    <w:rsid w:val="004605E7"/>
    <w:rsid w:val="00493F77"/>
    <w:rsid w:val="004E77E3"/>
    <w:rsid w:val="004F19C3"/>
    <w:rsid w:val="00512BED"/>
    <w:rsid w:val="00536FB9"/>
    <w:rsid w:val="00545341"/>
    <w:rsid w:val="00547E90"/>
    <w:rsid w:val="00557C50"/>
    <w:rsid w:val="00572A2E"/>
    <w:rsid w:val="005815B1"/>
    <w:rsid w:val="00592D5B"/>
    <w:rsid w:val="005A7153"/>
    <w:rsid w:val="005C7C5B"/>
    <w:rsid w:val="005D09DB"/>
    <w:rsid w:val="006309C7"/>
    <w:rsid w:val="00637056"/>
    <w:rsid w:val="0065043A"/>
    <w:rsid w:val="0069771B"/>
    <w:rsid w:val="006A54D6"/>
    <w:rsid w:val="006F6012"/>
    <w:rsid w:val="00717C00"/>
    <w:rsid w:val="007205E2"/>
    <w:rsid w:val="00727EDF"/>
    <w:rsid w:val="00734B73"/>
    <w:rsid w:val="00751A8C"/>
    <w:rsid w:val="007B36C5"/>
    <w:rsid w:val="007C3485"/>
    <w:rsid w:val="007C695D"/>
    <w:rsid w:val="007D6A29"/>
    <w:rsid w:val="007F79A0"/>
    <w:rsid w:val="00801A78"/>
    <w:rsid w:val="00812EB9"/>
    <w:rsid w:val="008C4265"/>
    <w:rsid w:val="008D3E78"/>
    <w:rsid w:val="008E6385"/>
    <w:rsid w:val="008F0EB6"/>
    <w:rsid w:val="0090153B"/>
    <w:rsid w:val="009033C3"/>
    <w:rsid w:val="00926F21"/>
    <w:rsid w:val="00927569"/>
    <w:rsid w:val="00952682"/>
    <w:rsid w:val="00996F85"/>
    <w:rsid w:val="009975F3"/>
    <w:rsid w:val="009B1DB2"/>
    <w:rsid w:val="009E4D31"/>
    <w:rsid w:val="009F0964"/>
    <w:rsid w:val="00A90096"/>
    <w:rsid w:val="00B35037"/>
    <w:rsid w:val="00B56C93"/>
    <w:rsid w:val="00B716B3"/>
    <w:rsid w:val="00B84F31"/>
    <w:rsid w:val="00BB2C64"/>
    <w:rsid w:val="00BC540C"/>
    <w:rsid w:val="00BE2556"/>
    <w:rsid w:val="00C05BC3"/>
    <w:rsid w:val="00C54BD2"/>
    <w:rsid w:val="00C90166"/>
    <w:rsid w:val="00C9179F"/>
    <w:rsid w:val="00CB438D"/>
    <w:rsid w:val="00CC4114"/>
    <w:rsid w:val="00CC6C0C"/>
    <w:rsid w:val="00D0394C"/>
    <w:rsid w:val="00D42B95"/>
    <w:rsid w:val="00D709F8"/>
    <w:rsid w:val="00D727F7"/>
    <w:rsid w:val="00D83991"/>
    <w:rsid w:val="00DB3276"/>
    <w:rsid w:val="00E233F5"/>
    <w:rsid w:val="00E4495F"/>
    <w:rsid w:val="00E811FC"/>
    <w:rsid w:val="00E86085"/>
    <w:rsid w:val="00EA1300"/>
    <w:rsid w:val="00EB4298"/>
    <w:rsid w:val="00EC3913"/>
    <w:rsid w:val="00ED0C42"/>
    <w:rsid w:val="00F22DE5"/>
    <w:rsid w:val="00F26A96"/>
    <w:rsid w:val="00F33C7F"/>
    <w:rsid w:val="00F703A9"/>
    <w:rsid w:val="00F90FFF"/>
    <w:rsid w:val="00F910A2"/>
    <w:rsid w:val="00FA512D"/>
    <w:rsid w:val="00FB13F3"/>
    <w:rsid w:val="00FB2FAD"/>
    <w:rsid w:val="00FB5ADB"/>
    <w:rsid w:val="0A225A57"/>
    <w:rsid w:val="0EE41EB1"/>
    <w:rsid w:val="131D25DE"/>
    <w:rsid w:val="1AB97272"/>
    <w:rsid w:val="21417BF9"/>
    <w:rsid w:val="222728B5"/>
    <w:rsid w:val="25B755A5"/>
    <w:rsid w:val="260213DA"/>
    <w:rsid w:val="2A9F48A4"/>
    <w:rsid w:val="30351EAC"/>
    <w:rsid w:val="43243D09"/>
    <w:rsid w:val="45531FB5"/>
    <w:rsid w:val="50E26014"/>
    <w:rsid w:val="5DA627B8"/>
    <w:rsid w:val="6421467F"/>
    <w:rsid w:val="6EC26CCB"/>
    <w:rsid w:val="6FBC4C03"/>
    <w:rsid w:val="714A3E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ind w:firstLine="200" w:firstLineChars="20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4"/>
    <w:qFormat/>
    <w:uiPriority w:val="9"/>
    <w:pPr>
      <w:outlineLvl w:val="0"/>
    </w:pPr>
    <w:rPr>
      <w:rFonts w:eastAsia="黑体"/>
      <w:bCs/>
      <w:kern w:val="44"/>
      <w:szCs w:val="44"/>
    </w:rPr>
  </w:style>
  <w:style w:type="paragraph" w:styleId="3">
    <w:name w:val="heading 2"/>
    <w:basedOn w:val="1"/>
    <w:next w:val="1"/>
    <w:link w:val="25"/>
    <w:unhideWhenUsed/>
    <w:qFormat/>
    <w:uiPriority w:val="9"/>
    <w:pPr>
      <w:outlineLvl w:val="1"/>
    </w:pPr>
    <w:rPr>
      <w:rFonts w:ascii="Cambria" w:hAnsi="Cambria" w:eastAsia="楷体"/>
      <w:b/>
      <w:bCs/>
      <w:szCs w:val="32"/>
    </w:rPr>
  </w:style>
  <w:style w:type="paragraph" w:styleId="4">
    <w:name w:val="heading 3"/>
    <w:basedOn w:val="1"/>
    <w:next w:val="1"/>
    <w:link w:val="26"/>
    <w:unhideWhenUsed/>
    <w:qFormat/>
    <w:uiPriority w:val="9"/>
    <w:pPr>
      <w:adjustRightInd w:val="0"/>
      <w:snapToGrid w:val="0"/>
      <w:jc w:val="left"/>
      <w:outlineLvl w:val="2"/>
    </w:pPr>
    <w:rPr>
      <w:b/>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uiPriority w:val="39"/>
    <w:pPr>
      <w:ind w:left="840" w:leftChars="400"/>
    </w:pPr>
  </w:style>
  <w:style w:type="paragraph" w:styleId="6">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uiPriority w:val="39"/>
  </w:style>
  <w:style w:type="paragraph" w:styleId="9">
    <w:name w:val="toc 2"/>
    <w:basedOn w:val="1"/>
    <w:next w:val="1"/>
    <w:uiPriority w:val="39"/>
    <w:pPr>
      <w:ind w:left="420" w:leftChars="200"/>
    </w:pPr>
  </w:style>
  <w:style w:type="paragraph" w:styleId="10">
    <w:name w:val="Normal (Web)"/>
    <w:basedOn w:val="1"/>
    <w:uiPriority w:val="0"/>
    <w:pPr>
      <w:jc w:val="left"/>
    </w:pPr>
    <w:rPr>
      <w:rFonts w:ascii="微软雅黑" w:hAnsi="微软雅黑" w:eastAsia="微软雅黑"/>
      <w:kern w:val="0"/>
      <w:sz w:val="14"/>
      <w:szCs w:val="14"/>
    </w:rPr>
  </w:style>
  <w:style w:type="character" w:styleId="13">
    <w:name w:val="FollowedHyperlink"/>
    <w:basedOn w:val="12"/>
    <w:uiPriority w:val="0"/>
    <w:rPr>
      <w:color w:val="383838"/>
      <w:u w:val="none"/>
    </w:rPr>
  </w:style>
  <w:style w:type="character" w:styleId="14">
    <w:name w:val="Emphasis"/>
    <w:basedOn w:val="12"/>
    <w:uiPriority w:val="0"/>
  </w:style>
  <w:style w:type="character" w:styleId="15">
    <w:name w:val="HTML Definition"/>
    <w:basedOn w:val="12"/>
    <w:uiPriority w:val="0"/>
  </w:style>
  <w:style w:type="character" w:styleId="16">
    <w:name w:val="HTML Acronym"/>
    <w:basedOn w:val="12"/>
    <w:uiPriority w:val="0"/>
  </w:style>
  <w:style w:type="character" w:styleId="17">
    <w:name w:val="HTML Variable"/>
    <w:basedOn w:val="12"/>
    <w:uiPriority w:val="0"/>
  </w:style>
  <w:style w:type="character" w:styleId="18">
    <w:name w:val="Hyperlink"/>
    <w:basedOn w:val="12"/>
    <w:uiPriority w:val="99"/>
    <w:rPr>
      <w:color w:val="383838"/>
      <w:u w:val="none"/>
    </w:rPr>
  </w:style>
  <w:style w:type="character" w:styleId="19">
    <w:name w:val="HTML Code"/>
    <w:basedOn w:val="12"/>
    <w:uiPriority w:val="0"/>
    <w:rPr>
      <w:rFonts w:hint="eastAsia" w:ascii="微软雅黑" w:hAnsi="微软雅黑" w:eastAsia="微软雅黑" w:cs="微软雅黑"/>
      <w:sz w:val="14"/>
      <w:szCs w:val="14"/>
    </w:rPr>
  </w:style>
  <w:style w:type="character" w:styleId="20">
    <w:name w:val="HTML Cite"/>
    <w:basedOn w:val="12"/>
    <w:uiPriority w:val="0"/>
  </w:style>
  <w:style w:type="character" w:customStyle="1" w:styleId="21">
    <w:name w:val="span_top"/>
    <w:basedOn w:val="12"/>
    <w:uiPriority w:val="0"/>
  </w:style>
  <w:style w:type="character" w:customStyle="1" w:styleId="22">
    <w:name w:val="black_text"/>
    <w:basedOn w:val="12"/>
    <w:uiPriority w:val="0"/>
    <w:rPr>
      <w:b/>
    </w:rPr>
  </w:style>
  <w:style w:type="paragraph" w:styleId="23">
    <w:name w:val="List Paragraph"/>
    <w:basedOn w:val="1"/>
    <w:unhideWhenUsed/>
    <w:uiPriority w:val="99"/>
    <w:pPr>
      <w:ind w:firstLine="420"/>
    </w:pPr>
  </w:style>
  <w:style w:type="character" w:customStyle="1" w:styleId="24">
    <w:name w:val="标题 1 Char"/>
    <w:basedOn w:val="12"/>
    <w:link w:val="2"/>
    <w:qFormat/>
    <w:uiPriority w:val="9"/>
    <w:rPr>
      <w:rFonts w:ascii="Times New Roman" w:hAnsi="Times New Roman" w:eastAsia="黑体" w:cs="Times New Roman"/>
      <w:bCs/>
      <w:kern w:val="44"/>
      <w:sz w:val="32"/>
      <w:szCs w:val="44"/>
    </w:rPr>
  </w:style>
  <w:style w:type="character" w:customStyle="1" w:styleId="25">
    <w:name w:val="标题 2 Char"/>
    <w:basedOn w:val="12"/>
    <w:link w:val="3"/>
    <w:uiPriority w:val="9"/>
    <w:rPr>
      <w:rFonts w:ascii="Cambria" w:hAnsi="Cambria" w:eastAsia="楷体" w:cs="Times New Roman"/>
      <w:b/>
      <w:bCs/>
      <w:kern w:val="2"/>
      <w:sz w:val="32"/>
      <w:szCs w:val="32"/>
    </w:rPr>
  </w:style>
  <w:style w:type="character" w:customStyle="1" w:styleId="26">
    <w:name w:val="标题 3 Char"/>
    <w:basedOn w:val="12"/>
    <w:link w:val="4"/>
    <w:qFormat/>
    <w:uiPriority w:val="9"/>
    <w:rPr>
      <w:rFonts w:ascii="Times New Roman" w:hAnsi="Times New Roman" w:eastAsia="仿宋" w:cs="Times New Roman"/>
      <w:b/>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FF2D7-7BFC-43AC-856E-AE562CDF2737}">
  <ds:schemaRefs/>
</ds:datastoreItem>
</file>

<file path=docProps/app.xml><?xml version="1.0" encoding="utf-8"?>
<Properties xmlns="http://schemas.openxmlformats.org/officeDocument/2006/extended-properties" xmlns:vt="http://schemas.openxmlformats.org/officeDocument/2006/docPropsVTypes">
  <Template>Normal</Template>
  <Pages>18</Pages>
  <Words>1787</Words>
  <Characters>10186</Characters>
  <Lines>84</Lines>
  <Paragraphs>23</Paragraphs>
  <TotalTime>1892</TotalTime>
  <ScaleCrop>false</ScaleCrop>
  <LinksUpToDate>false</LinksUpToDate>
  <CharactersWithSpaces>11950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2019-12-18T01:11:00Z</dcterms:created>
  <dc:creator>Elan</dc:creator>
  <cp:lastModifiedBy>xt</cp:lastModifiedBy>
  <dcterms:modified xsi:type="dcterms:W3CDTF">2020-02-25T03:23:41Z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