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填报单位：</w:t>
      </w:r>
      <w:r>
        <w:rPr>
          <w:rFonts w:hint="eastAsia" w:eastAsia="仿宋_GB2312"/>
          <w:kern w:val="0"/>
          <w:sz w:val="24"/>
          <w:lang w:eastAsia="zh-CN"/>
        </w:rPr>
        <w:t>衡山县发展和改革局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3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2018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92.9%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2017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2018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2018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312515.63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431000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421349.15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1</w:t>
            </w:r>
            <w:r>
              <w:rPr>
                <w:rFonts w:hint="eastAsia" w:eastAsia="仿宋_GB2312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77641.83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270000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260778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kern w:val="0"/>
                <w:szCs w:val="21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200000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196000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77641.83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70000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64778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2</w:t>
            </w:r>
            <w:r>
              <w:rPr>
                <w:rFonts w:hint="eastAsia" w:eastAsia="仿宋_GB2312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3</w:t>
            </w:r>
            <w:r>
              <w:rPr>
                <w:rFonts w:hint="eastAsia" w:eastAsia="仿宋_GB2312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234873.8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161000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160571.15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1</w:t>
            </w:r>
            <w:r>
              <w:rPr>
                <w:rFonts w:hint="eastAsia" w:eastAsia="仿宋_GB2312"/>
                <w:kern w:val="0"/>
                <w:szCs w:val="21"/>
              </w:rPr>
              <w:t>、业务工作专项</w:t>
            </w:r>
            <w:r>
              <w:rPr>
                <w:rFonts w:eastAsia="仿宋_GB2312"/>
                <w:kern w:val="0"/>
                <w:szCs w:val="21"/>
              </w:rPr>
              <w:t>(</w:t>
            </w:r>
            <w:r>
              <w:rPr>
                <w:rFonts w:hint="eastAsia" w:eastAsia="仿宋_GB2312"/>
                <w:kern w:val="0"/>
                <w:szCs w:val="21"/>
              </w:rPr>
              <w:t>一个项目一行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工作经费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 xml:space="preserve"> 529840.34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1300000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1306099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2</w:t>
            </w:r>
            <w:r>
              <w:rPr>
                <w:rFonts w:hint="eastAsia" w:eastAsia="仿宋_GB2312"/>
                <w:kern w:val="0"/>
                <w:szCs w:val="21"/>
              </w:rPr>
              <w:t>、运行维护专项</w:t>
            </w:r>
            <w:r>
              <w:rPr>
                <w:rFonts w:eastAsia="仿宋_GB2312"/>
                <w:kern w:val="0"/>
                <w:szCs w:val="21"/>
              </w:rPr>
              <w:t>(</w:t>
            </w:r>
            <w:r>
              <w:rPr>
                <w:rFonts w:hint="eastAsia" w:eastAsia="仿宋_GB2312"/>
                <w:kern w:val="0"/>
                <w:szCs w:val="21"/>
              </w:rPr>
              <w:t>一个项目一行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办公楼维修专项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高考考点建设专项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2" w:firstLineChars="200"/>
              <w:jc w:val="both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855190.68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730800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204703.36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109160.68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22733.5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30184.31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水费、电费、差旅费、维护费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94481.47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29954.22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3" w:firstLineChars="300"/>
              <w:jc w:val="both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政府采购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500000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441854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部门基本支出预算调整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4519900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7248515.65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楼堂馆所控制情况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2018</w:t>
            </w:r>
            <w:r>
              <w:rPr>
                <w:rFonts w:hint="eastAsia" w:eastAsia="仿宋_GB2312"/>
                <w:kern w:val="0"/>
                <w:szCs w:val="21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批复规模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实际规模（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fill="FFFFFF"/>
              </w:rPr>
              <w:t>加强财务管理，严格财务审核。加强单位财务管理，健全单位财务管理制度体系，规范单位财务行为。在费用报账支付时，按照预算规定的费用项目和用途进行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fill="FFFFFF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fill="FFFFFF"/>
              </w:rPr>
              <w:t>金使用审核、列报支付、财务核算，杜绝超支现象的发生。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eastAsia="仿宋_GB2312"/>
          <w:kern w:val="0"/>
          <w:sz w:val="22"/>
          <w:szCs w:val="22"/>
        </w:rPr>
      </w:pPr>
      <w:r>
        <w:rPr>
          <w:rFonts w:hint="eastAsia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需要填报基本支出以外的所有项目支出情况，包括业务工作项目、运行维护项目和市级专项资金等；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填报基本支出中的一般商品和服务支出。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59" w:right="1287" w:bottom="1440" w:left="1622" w:header="851" w:footer="1021" w:gutter="0"/>
      <w:cols w:space="425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D60B6"/>
    <w:rsid w:val="51C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2021-06-08T01:23:00Z</dcterms:created>
  <dc:creator>lenovo</dc:creator>
  <cp:lastModifiedBy>lenovo</cp:lastModifiedBy>
  <dcterms:modified xsi:type="dcterms:W3CDTF">2021-06-08T01:23:50Z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