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723" w:firstLineChars="200"/>
        <w:jc w:val="center"/>
        <w:rPr>
          <w:rFonts w:hint="default" w:eastAsia="仿宋_GB2312"/>
          <w:b/>
          <w:bCs/>
          <w:kern w:val="0"/>
          <w:sz w:val="36"/>
          <w:szCs w:val="36"/>
          <w:lang w:val="en-US" w:eastAsia="zh-CN"/>
        </w:rPr>
      </w:pPr>
      <w:r>
        <w:rPr>
          <w:rFonts w:hint="eastAsia" w:eastAsia="仿宋_GB2312"/>
          <w:b/>
          <w:bCs/>
          <w:kern w:val="0"/>
          <w:sz w:val="36"/>
          <w:szCs w:val="36"/>
          <w:lang w:val="en-US" w:eastAsia="zh-CN"/>
        </w:rPr>
        <w:t>2019年衡山县第四中学决算公开资料</w:t>
      </w: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ind w:firstLine="643" w:firstLineChars="200"/>
        <w:rPr>
          <w:rFonts w:eastAsia="仿宋_GB2312"/>
          <w:b/>
          <w:bCs/>
          <w:kern w:val="0"/>
          <w:sz w:val="32"/>
          <w:szCs w:val="32"/>
        </w:rPr>
      </w:pPr>
      <w:r>
        <w:rPr>
          <w:rFonts w:eastAsia="仿宋_GB2312"/>
          <w:b/>
          <w:bCs/>
          <w:kern w:val="0"/>
          <w:sz w:val="32"/>
          <w:szCs w:val="32"/>
        </w:rPr>
        <w:t>第一部分 部门概况</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1、部门职责</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2、机构设置</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第二部分</w:t>
      </w:r>
      <w:r>
        <w:rPr>
          <w:rFonts w:hint="eastAsia" w:eastAsia="仿宋_GB2312"/>
          <w:b/>
          <w:bCs/>
          <w:kern w:val="0"/>
          <w:sz w:val="32"/>
          <w:szCs w:val="32"/>
        </w:rPr>
        <w:t xml:space="preserve"> </w:t>
      </w:r>
      <w:r>
        <w:rPr>
          <w:rFonts w:eastAsia="仿宋_GB2312"/>
          <w:b/>
          <w:bCs/>
          <w:kern w:val="0"/>
          <w:sz w:val="32"/>
          <w:szCs w:val="32"/>
        </w:rPr>
        <w:t>部门决算表</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4、财政拨款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5、一般公共预算财政拨款支出决算表</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6、一般公共预算财政拨款基本支出决算表</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7、一般公共预算财政拨款“三公”经费支出决算表</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8、政府性基金预算财政拨款收入支出决算表</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第三部分</w:t>
      </w:r>
      <w:r>
        <w:rPr>
          <w:rFonts w:hint="eastAsia" w:eastAsia="仿宋_GB2312"/>
          <w:b/>
          <w:bCs/>
          <w:kern w:val="0"/>
          <w:sz w:val="32"/>
          <w:szCs w:val="32"/>
          <w:lang w:val="en-US" w:eastAsia="zh-CN"/>
        </w:rPr>
        <w:t xml:space="preserve"> 2019</w:t>
      </w:r>
      <w:r>
        <w:rPr>
          <w:rFonts w:eastAsia="仿宋_GB2312"/>
          <w:b/>
          <w:bCs/>
          <w:kern w:val="0"/>
          <w:sz w:val="32"/>
          <w:szCs w:val="32"/>
        </w:rPr>
        <w:t>年度部门决算情况说明</w:t>
      </w:r>
    </w:p>
    <w:p>
      <w:pPr>
        <w:pStyle w:val="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1、收入支出决算总体情况说明</w:t>
      </w:r>
    </w:p>
    <w:p>
      <w:pPr>
        <w:spacing w:line="600" w:lineRule="exact"/>
        <w:ind w:firstLine="800" w:firstLineChars="250"/>
        <w:jc w:val="left"/>
        <w:rPr>
          <w:rFonts w:eastAsia="仿宋_GB2312"/>
          <w:sz w:val="32"/>
          <w:szCs w:val="32"/>
        </w:rPr>
      </w:pPr>
      <w:r>
        <w:rPr>
          <w:rFonts w:eastAsia="仿宋_GB2312"/>
          <w:sz w:val="32"/>
          <w:szCs w:val="32"/>
        </w:rPr>
        <w:t>2、收入决算情况说明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eastAsia="仿宋_GB2312"/>
          <w:color w:val="000000"/>
          <w:kern w:val="0"/>
          <w:sz w:val="32"/>
          <w:szCs w:val="32"/>
        </w:rPr>
        <w:t>3、支出决算情况说明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eastAsia="仿宋_GB2312"/>
          <w:color w:val="000000"/>
          <w:kern w:val="0"/>
          <w:sz w:val="32"/>
          <w:szCs w:val="32"/>
        </w:rPr>
        <w:t>4、财政拨款收入支出决算总体情况说明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eastAsia="仿宋_GB2312"/>
          <w:color w:val="000000"/>
          <w:kern w:val="0"/>
          <w:sz w:val="32"/>
          <w:szCs w:val="32"/>
        </w:rPr>
        <w:t>5、一般公共预算财政拨款支出决算情况说明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eastAsia="仿宋_GB2312"/>
          <w:color w:val="000000"/>
          <w:kern w:val="0"/>
          <w:sz w:val="32"/>
          <w:szCs w:val="32"/>
        </w:rPr>
        <w:t>6、一般公共预算财政拨款基本支出决算情况说明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eastAsia="仿宋_GB2312"/>
          <w:color w:val="000000"/>
          <w:kern w:val="0"/>
          <w:sz w:val="32"/>
          <w:szCs w:val="32"/>
        </w:rPr>
        <w:t>7、一般公共预算财政拨款三公经费支出决算情况说明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eastAsia="仿宋_GB2312"/>
          <w:color w:val="000000"/>
          <w:kern w:val="0"/>
          <w:sz w:val="32"/>
          <w:szCs w:val="32"/>
        </w:rPr>
        <w:t>8、政府性基金预算收入支出决算情况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eastAsia="仿宋_GB2312"/>
          <w:color w:val="000000"/>
          <w:kern w:val="0"/>
          <w:sz w:val="32"/>
          <w:szCs w:val="32"/>
        </w:rPr>
        <w:t>9、预算绩效情况说明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eastAsia="仿宋_GB2312"/>
          <w:color w:val="000000"/>
          <w:kern w:val="0"/>
          <w:sz w:val="32"/>
          <w:szCs w:val="32"/>
        </w:rPr>
        <w:t>10、其他重要事项情况说明</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第四部分</w:t>
      </w:r>
      <w:r>
        <w:rPr>
          <w:rFonts w:hint="eastAsia" w:eastAsia="仿宋_GB2312"/>
          <w:b/>
          <w:bCs/>
          <w:kern w:val="0"/>
          <w:sz w:val="32"/>
          <w:szCs w:val="32"/>
        </w:rPr>
        <w:t xml:space="preserve"> </w:t>
      </w:r>
      <w:r>
        <w:rPr>
          <w:rFonts w:eastAsia="仿宋_GB2312"/>
          <w:b/>
          <w:bCs/>
          <w:kern w:val="0"/>
          <w:sz w:val="32"/>
          <w:szCs w:val="32"/>
        </w:rPr>
        <w:t>名词解释</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第五部分</w:t>
      </w:r>
      <w:r>
        <w:rPr>
          <w:rFonts w:hint="eastAsia" w:eastAsia="仿宋_GB2312"/>
          <w:b/>
          <w:bCs/>
          <w:kern w:val="0"/>
          <w:sz w:val="32"/>
          <w:szCs w:val="32"/>
        </w:rPr>
        <w:t xml:space="preserve"> </w:t>
      </w:r>
      <w:r>
        <w:rPr>
          <w:rFonts w:eastAsia="仿宋_GB2312"/>
          <w:b/>
          <w:bCs/>
          <w:kern w:val="0"/>
          <w:sz w:val="32"/>
          <w:szCs w:val="32"/>
        </w:rPr>
        <w:t>附件</w:t>
      </w:r>
    </w:p>
    <w:p>
      <w:pPr>
        <w:widowControl/>
        <w:spacing w:line="600" w:lineRule="exact"/>
        <w:ind w:firstLine="643" w:firstLineChars="200"/>
        <w:jc w:val="left"/>
        <w:rPr>
          <w:rFonts w:hint="eastAsia" w:eastAsia="仿宋_GB2312"/>
          <w:b/>
          <w:bCs/>
          <w:kern w:val="0"/>
          <w:sz w:val="32"/>
          <w:szCs w:val="3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widowControl/>
        <w:shd w:val="clear" w:color="auto" w:fill="FFFFFF"/>
        <w:wordWrap w:val="0"/>
        <w:spacing w:line="480" w:lineRule="atLeast"/>
        <w:jc w:val="center"/>
        <w:rPr>
          <w:rFonts w:hint="eastAsia" w:ascii="黑体" w:hAnsi="黑体" w:eastAsia="黑体" w:cs="宋体"/>
          <w:color w:val="000000"/>
          <w:kern w:val="0"/>
          <w:sz w:val="36"/>
          <w:szCs w:val="36"/>
        </w:rPr>
      </w:pPr>
    </w:p>
    <w:p>
      <w:pPr>
        <w:widowControl/>
        <w:shd w:val="clear" w:color="auto" w:fill="FFFFFF"/>
        <w:wordWrap w:val="0"/>
        <w:spacing w:line="480" w:lineRule="atLeast"/>
        <w:jc w:val="center"/>
        <w:rPr>
          <w:rFonts w:ascii="Calibri" w:hAnsi="Calibri" w:eastAsia="黑体" w:cs="Calibri"/>
          <w:color w:val="000000"/>
          <w:kern w:val="0"/>
          <w:sz w:val="24"/>
          <w:szCs w:val="24"/>
        </w:rPr>
      </w:pPr>
      <w:r>
        <w:rPr>
          <w:rFonts w:hint="eastAsia" w:ascii="黑体" w:hAnsi="黑体" w:eastAsia="黑体" w:cs="宋体"/>
          <w:color w:val="000000"/>
          <w:kern w:val="0"/>
          <w:sz w:val="36"/>
          <w:szCs w:val="36"/>
        </w:rPr>
        <w:t>衡山县第四中学201</w:t>
      </w:r>
      <w:r>
        <w:rPr>
          <w:rFonts w:hint="eastAsia" w:ascii="黑体" w:hAnsi="黑体" w:eastAsia="黑体" w:cs="宋体"/>
          <w:color w:val="000000"/>
          <w:kern w:val="0"/>
          <w:sz w:val="36"/>
          <w:szCs w:val="36"/>
          <w:lang w:val="en-US" w:eastAsia="zh-CN"/>
        </w:rPr>
        <w:t>9</w:t>
      </w:r>
      <w:r>
        <w:rPr>
          <w:rFonts w:hint="eastAsia" w:ascii="黑体" w:hAnsi="黑体" w:eastAsia="黑体" w:cs="宋体"/>
          <w:color w:val="000000"/>
          <w:kern w:val="0"/>
          <w:sz w:val="36"/>
          <w:szCs w:val="36"/>
        </w:rPr>
        <w:t>年度决算说明</w:t>
      </w:r>
      <w:r>
        <w:rPr>
          <w:rFonts w:ascii="Calibri" w:hAnsi="Calibri" w:eastAsia="黑体" w:cs="Calibri"/>
          <w:color w:val="000000"/>
          <w:kern w:val="0"/>
          <w:sz w:val="24"/>
          <w:szCs w:val="24"/>
        </w:rPr>
        <w:t> </w:t>
      </w:r>
    </w:p>
    <w:p>
      <w:pPr>
        <w:widowControl/>
        <w:spacing w:line="600" w:lineRule="exact"/>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第一部分：单位概况</w:t>
      </w:r>
    </w:p>
    <w:p>
      <w:pPr>
        <w:widowControl/>
        <w:shd w:val="clear" w:color="auto" w:fill="FFFFFF"/>
        <w:wordWrap w:val="0"/>
        <w:spacing w:line="480" w:lineRule="atLeas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一、单位基本情况</w:t>
      </w:r>
    </w:p>
    <w:p>
      <w:pPr>
        <w:shd w:val="clear" w:color="auto" w:fill="FFFFFF"/>
        <w:wordWrap w:val="0"/>
        <w:spacing w:line="480" w:lineRule="atLeast"/>
        <w:ind w:firstLine="56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衡山县第四中学位于衡山县白果镇涓水路114号，属全额拨款的事业单位。编制160名，实有人数173人，其中:在职144人、离退休29人。</w:t>
      </w:r>
    </w:p>
    <w:p>
      <w:pPr>
        <w:widowControl/>
        <w:shd w:val="clear" w:color="auto" w:fill="FFFFFF"/>
        <w:wordWrap w:val="0"/>
        <w:spacing w:line="480" w:lineRule="atLeast"/>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二、机构设置</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学校设内部机构7个，分别为办公室、教务处、政教处、教研室、总务处、初中部、团委。无下设单位，20</w:t>
      </w:r>
      <w:r>
        <w:rPr>
          <w:rFonts w:hint="eastAsia" w:ascii="宋体" w:hAnsi="宋体" w:eastAsia="宋体" w:cs="宋体"/>
          <w:color w:val="000000"/>
          <w:kern w:val="0"/>
          <w:sz w:val="24"/>
          <w:szCs w:val="24"/>
          <w:lang w:val="en-US" w:eastAsia="zh-CN"/>
        </w:rPr>
        <w:t>19</w:t>
      </w:r>
      <w:r>
        <w:rPr>
          <w:rFonts w:hint="eastAsia" w:ascii="宋体" w:hAnsi="宋体" w:eastAsia="宋体" w:cs="宋体"/>
          <w:color w:val="000000"/>
          <w:kern w:val="0"/>
          <w:sz w:val="24"/>
          <w:szCs w:val="24"/>
        </w:rPr>
        <w:t>年度部门决算为校本级。</w:t>
      </w:r>
    </w:p>
    <w:p>
      <w:p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三、部门职能职责</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1.初中教育教学。</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2.高中教育教学。</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3.完成上级部门交办的其他事项。</w:t>
      </w:r>
    </w:p>
    <w:p>
      <w:pPr>
        <w:widowControl/>
        <w:spacing w:line="600" w:lineRule="exact"/>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第二部分：201</w:t>
      </w:r>
      <w:r>
        <w:rPr>
          <w:rFonts w:hint="eastAsia" w:ascii="宋体" w:hAnsi="宋体" w:eastAsia="宋体" w:cs="宋体"/>
          <w:b/>
          <w:bCs/>
          <w:kern w:val="0"/>
          <w:sz w:val="32"/>
          <w:szCs w:val="32"/>
          <w:lang w:val="en-US" w:eastAsia="zh-CN"/>
        </w:rPr>
        <w:t>9</w:t>
      </w:r>
      <w:r>
        <w:rPr>
          <w:rFonts w:hint="eastAsia" w:ascii="宋体" w:hAnsi="宋体" w:eastAsia="宋体" w:cs="宋体"/>
          <w:b/>
          <w:bCs/>
          <w:kern w:val="0"/>
          <w:sz w:val="32"/>
          <w:szCs w:val="32"/>
        </w:rPr>
        <w:t>年度部门决算表</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另附决算公开表，单独公开。</w:t>
      </w:r>
    </w:p>
    <w:p>
      <w:pPr>
        <w:widowControl/>
        <w:spacing w:line="600" w:lineRule="exact"/>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第三部分：201</w:t>
      </w:r>
      <w:r>
        <w:rPr>
          <w:rFonts w:hint="eastAsia" w:ascii="宋体" w:hAnsi="宋体" w:eastAsia="宋体" w:cs="宋体"/>
          <w:b/>
          <w:bCs/>
          <w:kern w:val="0"/>
          <w:sz w:val="32"/>
          <w:szCs w:val="32"/>
          <w:lang w:val="en-US" w:eastAsia="zh-CN"/>
        </w:rPr>
        <w:t>9</w:t>
      </w:r>
      <w:r>
        <w:rPr>
          <w:rFonts w:hint="eastAsia" w:ascii="宋体" w:hAnsi="宋体" w:eastAsia="宋体" w:cs="宋体"/>
          <w:b/>
          <w:bCs/>
          <w:kern w:val="0"/>
          <w:sz w:val="32"/>
          <w:szCs w:val="32"/>
        </w:rPr>
        <w:t>年度部门决算情况说明</w:t>
      </w:r>
    </w:p>
    <w:p>
      <w:p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一、收入支出决算总体情况说明</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全年收入为</w:t>
      </w:r>
      <w:r>
        <w:rPr>
          <w:rFonts w:hint="eastAsia" w:ascii="宋体" w:hAnsi="宋体" w:eastAsia="宋体" w:cs="宋体"/>
          <w:color w:val="000000"/>
          <w:kern w:val="0"/>
          <w:sz w:val="24"/>
          <w:szCs w:val="24"/>
          <w:lang w:val="en-US" w:eastAsia="zh-CN"/>
        </w:rPr>
        <w:t>2274.61</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val="en-US" w:eastAsia="zh-CN"/>
        </w:rPr>
        <w:t>与2018年相比，减少1183.14万元</w:t>
      </w:r>
      <w:r>
        <w:rPr>
          <w:rFonts w:hint="eastAsia" w:ascii="宋体" w:hAnsi="宋体" w:eastAsia="宋体" w:cs="宋体"/>
          <w:color w:val="000000"/>
          <w:kern w:val="0"/>
          <w:sz w:val="24"/>
          <w:szCs w:val="24"/>
        </w:rPr>
        <w:t>，全年支出为</w:t>
      </w:r>
      <w:r>
        <w:rPr>
          <w:rFonts w:hint="eastAsia" w:ascii="宋体" w:hAnsi="宋体" w:eastAsia="宋体" w:cs="宋体"/>
          <w:color w:val="000000"/>
          <w:kern w:val="0"/>
          <w:sz w:val="24"/>
          <w:szCs w:val="24"/>
          <w:lang w:val="en-US" w:eastAsia="zh-CN"/>
        </w:rPr>
        <w:t>2274.61</w:t>
      </w:r>
      <w:r>
        <w:rPr>
          <w:rFonts w:hint="eastAsia" w:ascii="宋体" w:hAnsi="宋体" w:eastAsia="宋体" w:cs="宋体"/>
          <w:color w:val="000000"/>
          <w:kern w:val="0"/>
          <w:sz w:val="24"/>
          <w:szCs w:val="24"/>
        </w:rPr>
        <w:t>万元，收入</w:t>
      </w:r>
      <w:r>
        <w:rPr>
          <w:rFonts w:hint="eastAsia" w:ascii="宋体" w:hAnsi="宋体" w:eastAsia="宋体" w:cs="宋体"/>
          <w:color w:val="000000"/>
          <w:kern w:val="0"/>
          <w:sz w:val="24"/>
          <w:szCs w:val="24"/>
          <w:lang w:val="en-US" w:eastAsia="zh-CN"/>
        </w:rPr>
        <w:t>减少</w:t>
      </w:r>
      <w:r>
        <w:rPr>
          <w:rFonts w:hint="eastAsia" w:ascii="宋体" w:hAnsi="宋体" w:eastAsia="宋体" w:cs="宋体"/>
          <w:color w:val="000000"/>
          <w:kern w:val="0"/>
          <w:sz w:val="24"/>
          <w:szCs w:val="24"/>
        </w:rPr>
        <w:t>主要原因</w:t>
      </w:r>
      <w:r>
        <w:rPr>
          <w:rFonts w:hint="eastAsia" w:ascii="宋体" w:hAnsi="宋体" w:eastAsia="宋体" w:cs="宋体"/>
          <w:color w:val="000000"/>
          <w:kern w:val="0"/>
          <w:sz w:val="24"/>
          <w:szCs w:val="24"/>
          <w:lang w:val="en-US" w:eastAsia="zh-CN"/>
        </w:rPr>
        <w:t>上年</w:t>
      </w:r>
      <w:r>
        <w:rPr>
          <w:rFonts w:hint="eastAsia" w:ascii="宋体" w:hAnsi="宋体" w:eastAsia="宋体" w:cs="宋体"/>
          <w:color w:val="000000"/>
          <w:kern w:val="0"/>
          <w:sz w:val="24"/>
          <w:szCs w:val="24"/>
        </w:rPr>
        <w:t>财政拨付了化债资金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本年度无化债资金。</w:t>
      </w:r>
    </w:p>
    <w:p>
      <w:p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二、收入决算情况说明</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全年收入为</w:t>
      </w:r>
      <w:r>
        <w:rPr>
          <w:rFonts w:hint="eastAsia" w:ascii="宋体" w:hAnsi="宋体" w:eastAsia="宋体" w:cs="宋体"/>
          <w:color w:val="000000"/>
          <w:kern w:val="0"/>
          <w:sz w:val="24"/>
          <w:szCs w:val="24"/>
          <w:lang w:val="en-US" w:eastAsia="zh-CN"/>
        </w:rPr>
        <w:t>2274.61</w:t>
      </w:r>
      <w:r>
        <w:rPr>
          <w:rFonts w:hint="eastAsia" w:ascii="宋体" w:hAnsi="宋体" w:eastAsia="宋体" w:cs="宋体"/>
          <w:color w:val="000000"/>
          <w:kern w:val="0"/>
          <w:sz w:val="24"/>
          <w:szCs w:val="24"/>
        </w:rPr>
        <w:t>万元，其中财政拨款收入</w:t>
      </w:r>
      <w:r>
        <w:rPr>
          <w:rFonts w:hint="eastAsia" w:ascii="宋体" w:hAnsi="宋体" w:eastAsia="宋体" w:cs="宋体"/>
          <w:color w:val="000000"/>
          <w:kern w:val="0"/>
          <w:sz w:val="24"/>
          <w:szCs w:val="24"/>
          <w:lang w:val="en-US" w:eastAsia="zh-CN"/>
        </w:rPr>
        <w:t>1951.91</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val="en-US" w:eastAsia="zh-CN"/>
        </w:rPr>
        <w:t>占85.81%，</w:t>
      </w:r>
      <w:r>
        <w:rPr>
          <w:rFonts w:hint="eastAsia" w:ascii="宋体" w:hAnsi="宋体" w:eastAsia="宋体" w:cs="宋体"/>
          <w:color w:val="000000"/>
          <w:kern w:val="0"/>
          <w:sz w:val="24"/>
          <w:szCs w:val="24"/>
        </w:rPr>
        <w:t>事业收入</w:t>
      </w:r>
      <w:r>
        <w:rPr>
          <w:rFonts w:hint="eastAsia" w:ascii="宋体" w:hAnsi="宋体" w:eastAsia="宋体" w:cs="宋体"/>
          <w:color w:val="000000"/>
          <w:kern w:val="0"/>
          <w:sz w:val="24"/>
          <w:szCs w:val="24"/>
          <w:lang w:val="en-US" w:eastAsia="zh-CN"/>
        </w:rPr>
        <w:t>322.70</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占14.19%</w:t>
      </w:r>
      <w:r>
        <w:rPr>
          <w:rFonts w:hint="eastAsia" w:ascii="宋体" w:hAnsi="宋体" w:eastAsia="宋体" w:cs="宋体"/>
          <w:color w:val="000000"/>
          <w:kern w:val="0"/>
          <w:sz w:val="24"/>
          <w:szCs w:val="24"/>
        </w:rPr>
        <w:t>。</w:t>
      </w:r>
    </w:p>
    <w:p>
      <w:p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三、支出决算情况说明</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全年支出为2274.6</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万元，其中：</w:t>
      </w:r>
      <w:r>
        <w:rPr>
          <w:rFonts w:hint="eastAsia" w:ascii="宋体" w:hAnsi="宋体" w:eastAsia="宋体" w:cs="宋体"/>
          <w:color w:val="000000"/>
          <w:kern w:val="0"/>
          <w:sz w:val="24"/>
          <w:szCs w:val="24"/>
          <w:lang w:val="en-US" w:eastAsia="zh-CN"/>
        </w:rPr>
        <w:t>基本支出2121.61万元，占93.27%；项目支出153万元，占6.73%。</w:t>
      </w:r>
    </w:p>
    <w:p>
      <w:p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四、财政拨款收入支出决算总体情况说明</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全年财政拨款收入</w:t>
      </w:r>
      <w:r>
        <w:rPr>
          <w:rFonts w:hint="eastAsia" w:ascii="宋体" w:hAnsi="宋体" w:eastAsia="宋体" w:cs="宋体"/>
          <w:color w:val="000000"/>
          <w:kern w:val="0"/>
          <w:sz w:val="24"/>
          <w:szCs w:val="24"/>
          <w:lang w:val="en-US" w:eastAsia="zh-CN"/>
        </w:rPr>
        <w:t>1951.91</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val="en-US" w:eastAsia="zh-CN"/>
        </w:rPr>
        <w:t>与2018年相比，减少1182.37</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val="en-US" w:eastAsia="zh-CN"/>
        </w:rPr>
        <w:t>减少</w:t>
      </w:r>
      <w:r>
        <w:rPr>
          <w:rFonts w:hint="eastAsia" w:ascii="宋体" w:hAnsi="宋体" w:eastAsia="宋体" w:cs="宋体"/>
          <w:color w:val="000000"/>
          <w:kern w:val="0"/>
          <w:sz w:val="24"/>
          <w:szCs w:val="24"/>
        </w:rPr>
        <w:t>主要原因为财政</w:t>
      </w:r>
      <w:r>
        <w:rPr>
          <w:rFonts w:hint="eastAsia" w:ascii="宋体" w:hAnsi="宋体" w:eastAsia="宋体" w:cs="宋体"/>
          <w:color w:val="000000"/>
          <w:kern w:val="0"/>
          <w:sz w:val="24"/>
          <w:szCs w:val="24"/>
          <w:lang w:val="en-US" w:eastAsia="zh-CN"/>
        </w:rPr>
        <w:t>上年度</w:t>
      </w:r>
      <w:r>
        <w:rPr>
          <w:rFonts w:hint="eastAsia" w:ascii="宋体" w:hAnsi="宋体" w:eastAsia="宋体" w:cs="宋体"/>
          <w:color w:val="000000"/>
          <w:kern w:val="0"/>
          <w:sz w:val="24"/>
          <w:szCs w:val="24"/>
        </w:rPr>
        <w:t>拨付了化债资金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本年度无化债资金。</w:t>
      </w:r>
      <w:r>
        <w:rPr>
          <w:rFonts w:hint="eastAsia" w:ascii="宋体" w:hAnsi="宋体" w:eastAsia="宋体" w:cs="宋体"/>
          <w:color w:val="000000"/>
          <w:kern w:val="0"/>
          <w:sz w:val="24"/>
          <w:szCs w:val="24"/>
        </w:rPr>
        <w:t>全年财政拨款支出</w:t>
      </w:r>
      <w:r>
        <w:rPr>
          <w:rFonts w:hint="eastAsia" w:ascii="宋体" w:hAnsi="宋体" w:eastAsia="宋体" w:cs="宋体"/>
          <w:color w:val="000000"/>
          <w:kern w:val="0"/>
          <w:sz w:val="24"/>
          <w:szCs w:val="24"/>
          <w:lang w:val="en-US" w:eastAsia="zh-CN"/>
        </w:rPr>
        <w:t>1951.91</w:t>
      </w:r>
      <w:r>
        <w:rPr>
          <w:rFonts w:hint="eastAsia" w:ascii="宋体" w:hAnsi="宋体" w:eastAsia="宋体" w:cs="宋体"/>
          <w:color w:val="000000"/>
          <w:kern w:val="0"/>
          <w:sz w:val="24"/>
          <w:szCs w:val="24"/>
        </w:rPr>
        <w:t>万元。</w:t>
      </w:r>
    </w:p>
    <w:p>
      <w:pPr>
        <w:numPr>
          <w:ilvl w:val="0"/>
          <w:numId w:val="1"/>
        </w:num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一般公共预算财政拨款支出决算情况说明</w:t>
      </w:r>
    </w:p>
    <w:p>
      <w:pPr>
        <w:numPr>
          <w:ilvl w:val="0"/>
          <w:numId w:val="0"/>
        </w:numPr>
        <w:shd w:val="clear" w:color="auto" w:fill="FFFFFF"/>
        <w:wordWrap w:val="0"/>
        <w:spacing w:line="480" w:lineRule="atLeast"/>
        <w:ind w:firstLine="482" w:firstLineChars="200"/>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一</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财政拨款支出决算总体情况</w:t>
      </w:r>
    </w:p>
    <w:p>
      <w:pPr>
        <w:shd w:val="clear" w:color="auto" w:fill="FFFFFF"/>
        <w:wordWrap w:val="0"/>
        <w:spacing w:line="480" w:lineRule="atLeast"/>
        <w:ind w:firstLine="56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2019年度</w:t>
      </w:r>
      <w:r>
        <w:rPr>
          <w:rFonts w:hint="eastAsia" w:ascii="宋体" w:hAnsi="宋体" w:eastAsia="宋体" w:cs="宋体"/>
          <w:color w:val="000000"/>
          <w:kern w:val="0"/>
          <w:sz w:val="24"/>
          <w:szCs w:val="24"/>
        </w:rPr>
        <w:t>财政拨款支出为</w:t>
      </w:r>
      <w:r>
        <w:rPr>
          <w:rFonts w:hint="eastAsia" w:ascii="宋体" w:hAnsi="宋体" w:eastAsia="宋体" w:cs="宋体"/>
          <w:color w:val="000000"/>
          <w:kern w:val="0"/>
          <w:sz w:val="24"/>
          <w:szCs w:val="24"/>
          <w:lang w:val="en-US" w:eastAsia="zh-CN"/>
        </w:rPr>
        <w:t>1951.91</w:t>
      </w:r>
      <w:r>
        <w:rPr>
          <w:rFonts w:hint="eastAsia" w:ascii="宋体" w:hAnsi="宋体" w:eastAsia="宋体" w:cs="宋体"/>
          <w:color w:val="000000"/>
          <w:kern w:val="0"/>
          <w:sz w:val="24"/>
          <w:szCs w:val="24"/>
        </w:rPr>
        <w:t>万元，占本年支出</w:t>
      </w:r>
      <w:r>
        <w:rPr>
          <w:rFonts w:hint="eastAsia" w:ascii="宋体" w:hAnsi="宋体" w:eastAsia="宋体" w:cs="宋体"/>
          <w:color w:val="000000"/>
          <w:kern w:val="0"/>
          <w:sz w:val="24"/>
          <w:szCs w:val="24"/>
          <w:lang w:val="en-US" w:eastAsia="zh-CN"/>
        </w:rPr>
        <w:t>合计</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val="en-US" w:eastAsia="zh-CN"/>
        </w:rPr>
        <w:t>85.81</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与上年相比，财政拨款支出减少1182.37</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val="en-US" w:eastAsia="zh-CN"/>
        </w:rPr>
        <w:t>主要是因为财政上年度拨付了化债资金，本年度无化债资金。</w:t>
      </w:r>
    </w:p>
    <w:p>
      <w:pPr>
        <w:numPr>
          <w:ilvl w:val="0"/>
          <w:numId w:val="0"/>
        </w:numPr>
        <w:shd w:val="clear" w:color="auto" w:fill="FFFFFF"/>
        <w:wordWrap w:val="0"/>
        <w:spacing w:line="480" w:lineRule="atLeast"/>
        <w:ind w:firstLine="482" w:firstLineChars="20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rPr>
        <w:t>（二）财政拨款支出决算结构情况</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2019年度</w:t>
      </w:r>
      <w:r>
        <w:rPr>
          <w:rFonts w:hint="eastAsia" w:ascii="宋体" w:hAnsi="宋体" w:eastAsia="宋体" w:cs="宋体"/>
          <w:color w:val="000000"/>
          <w:kern w:val="0"/>
          <w:sz w:val="24"/>
          <w:szCs w:val="24"/>
        </w:rPr>
        <w:t>一般公共预算财政拨款支出为</w:t>
      </w:r>
      <w:r>
        <w:rPr>
          <w:rFonts w:hint="eastAsia" w:ascii="宋体" w:hAnsi="宋体" w:eastAsia="宋体" w:cs="宋体"/>
          <w:color w:val="000000"/>
          <w:kern w:val="0"/>
          <w:sz w:val="24"/>
          <w:szCs w:val="24"/>
          <w:lang w:val="en-US" w:eastAsia="zh-CN"/>
        </w:rPr>
        <w:t>1951.91</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较上年</w:t>
      </w:r>
      <w:r>
        <w:rPr>
          <w:rFonts w:hint="eastAsia" w:ascii="宋体" w:hAnsi="宋体" w:eastAsia="宋体" w:cs="宋体"/>
          <w:color w:val="000000"/>
          <w:kern w:val="0"/>
          <w:sz w:val="24"/>
          <w:szCs w:val="24"/>
          <w:lang w:val="en-US" w:eastAsia="zh-CN"/>
        </w:rPr>
        <w:t>减少1182.37</w:t>
      </w:r>
      <w:r>
        <w:rPr>
          <w:rFonts w:hint="eastAsia" w:ascii="宋体" w:hAnsi="宋体" w:eastAsia="宋体" w:cs="宋体"/>
          <w:color w:val="000000"/>
          <w:kern w:val="0"/>
          <w:sz w:val="24"/>
          <w:szCs w:val="24"/>
        </w:rPr>
        <w:t>万元。一般公共预算财政拨款支出中工资福利支出</w:t>
      </w:r>
      <w:r>
        <w:rPr>
          <w:rFonts w:hint="eastAsia" w:ascii="宋体" w:hAnsi="宋体" w:eastAsia="宋体" w:cs="宋体"/>
          <w:color w:val="000000"/>
          <w:kern w:val="0"/>
          <w:sz w:val="24"/>
          <w:szCs w:val="24"/>
          <w:lang w:val="en-US" w:eastAsia="zh-CN"/>
        </w:rPr>
        <w:t>1366.35</w:t>
      </w:r>
      <w:r>
        <w:rPr>
          <w:rFonts w:hint="eastAsia" w:ascii="宋体" w:hAnsi="宋体" w:eastAsia="宋体" w:cs="宋体"/>
          <w:color w:val="000000"/>
          <w:kern w:val="0"/>
          <w:sz w:val="24"/>
          <w:szCs w:val="24"/>
        </w:rPr>
        <w:t>万元、商品服务支出</w:t>
      </w:r>
      <w:r>
        <w:rPr>
          <w:rFonts w:hint="eastAsia" w:ascii="宋体" w:hAnsi="宋体" w:eastAsia="宋体" w:cs="宋体"/>
          <w:color w:val="000000"/>
          <w:kern w:val="0"/>
          <w:sz w:val="24"/>
          <w:szCs w:val="24"/>
          <w:lang w:val="en-US" w:eastAsia="zh-CN"/>
        </w:rPr>
        <w:t>400.55</w:t>
      </w:r>
      <w:r>
        <w:rPr>
          <w:rFonts w:hint="eastAsia" w:ascii="宋体" w:hAnsi="宋体" w:eastAsia="宋体" w:cs="宋体"/>
          <w:color w:val="000000"/>
          <w:kern w:val="0"/>
          <w:sz w:val="24"/>
          <w:szCs w:val="24"/>
        </w:rPr>
        <w:t>万元、对个人和家庭的补助</w:t>
      </w:r>
      <w:r>
        <w:rPr>
          <w:rFonts w:hint="eastAsia" w:ascii="宋体" w:hAnsi="宋体" w:eastAsia="宋体" w:cs="宋体"/>
          <w:color w:val="000000"/>
          <w:kern w:val="0"/>
          <w:sz w:val="24"/>
          <w:szCs w:val="24"/>
          <w:lang w:val="en-US" w:eastAsia="zh-CN"/>
        </w:rPr>
        <w:t>32.01</w:t>
      </w:r>
      <w:r>
        <w:rPr>
          <w:rFonts w:hint="eastAsia" w:ascii="宋体" w:hAnsi="宋体" w:eastAsia="宋体" w:cs="宋体"/>
          <w:color w:val="000000"/>
          <w:kern w:val="0"/>
          <w:sz w:val="24"/>
          <w:szCs w:val="24"/>
        </w:rPr>
        <w:t>万元、资本性支出</w:t>
      </w:r>
      <w:r>
        <w:rPr>
          <w:rFonts w:hint="eastAsia" w:ascii="宋体" w:hAnsi="宋体" w:eastAsia="宋体" w:cs="宋体"/>
          <w:color w:val="000000"/>
          <w:kern w:val="0"/>
          <w:sz w:val="24"/>
          <w:szCs w:val="24"/>
          <w:lang w:val="en-US" w:eastAsia="zh-CN"/>
        </w:rPr>
        <w:t>153</w:t>
      </w:r>
      <w:r>
        <w:rPr>
          <w:rFonts w:hint="eastAsia" w:ascii="宋体" w:hAnsi="宋体" w:eastAsia="宋体" w:cs="宋体"/>
          <w:color w:val="000000"/>
          <w:kern w:val="0"/>
          <w:sz w:val="24"/>
          <w:szCs w:val="24"/>
        </w:rPr>
        <w:t>万元，分别占比</w:t>
      </w:r>
      <w:r>
        <w:rPr>
          <w:rFonts w:hint="eastAsia" w:ascii="宋体" w:hAnsi="宋体" w:eastAsia="宋体" w:cs="宋体"/>
          <w:color w:val="000000"/>
          <w:kern w:val="0"/>
          <w:sz w:val="24"/>
          <w:szCs w:val="24"/>
          <w:lang w:val="en-US" w:eastAsia="zh-CN"/>
        </w:rPr>
        <w:t>70.1</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20.5</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1.6</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7.8</w:t>
      </w:r>
      <w:r>
        <w:rPr>
          <w:rFonts w:hint="eastAsia" w:ascii="宋体" w:hAnsi="宋体" w:eastAsia="宋体" w:cs="宋体"/>
          <w:color w:val="000000"/>
          <w:kern w:val="0"/>
          <w:sz w:val="24"/>
          <w:szCs w:val="24"/>
        </w:rPr>
        <w:t>%。</w:t>
      </w:r>
    </w:p>
    <w:p>
      <w:pPr>
        <w:numPr>
          <w:ilvl w:val="0"/>
          <w:numId w:val="2"/>
        </w:numPr>
        <w:shd w:val="clear" w:color="auto" w:fill="FFFFFF"/>
        <w:wordWrap w:val="0"/>
        <w:spacing w:line="480" w:lineRule="atLeast"/>
        <w:ind w:firstLine="482" w:firstLineChars="200"/>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财政拨款支出具体情况</w:t>
      </w:r>
    </w:p>
    <w:p>
      <w:pPr>
        <w:shd w:val="clear" w:color="auto" w:fill="FFFFFF"/>
        <w:wordWrap w:val="0"/>
        <w:spacing w:line="480" w:lineRule="atLeast"/>
        <w:ind w:firstLine="560"/>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2019年财政拨款支出年初预算数为1117.27万元，支出决算数为1951.91万元，其中：</w:t>
      </w:r>
    </w:p>
    <w:p>
      <w:pPr>
        <w:numPr>
          <w:ilvl w:val="0"/>
          <w:numId w:val="3"/>
        </w:numPr>
        <w:shd w:val="clear" w:color="auto" w:fill="FFFFFF"/>
        <w:wordWrap w:val="0"/>
        <w:spacing w:line="480" w:lineRule="atLeast"/>
        <w:ind w:firstLine="56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教育支出类</w:t>
      </w:r>
    </w:p>
    <w:p>
      <w:pPr>
        <w:numPr>
          <w:ilvl w:val="0"/>
          <w:numId w:val="0"/>
        </w:numPr>
        <w:shd w:val="clear" w:color="auto" w:fill="FFFFFF"/>
        <w:wordWrap w:val="0"/>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年初预算数为1117.27万元，支出决算数为1951.91万元，决算数大于年初预算数的主要原因是人员经费及公用经费支出的增加。</w:t>
      </w:r>
    </w:p>
    <w:p>
      <w:p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六、一般公共预算财政拨款基本支出决算情况说明</w:t>
      </w:r>
    </w:p>
    <w:p>
      <w:pPr>
        <w:shd w:val="clear" w:color="auto" w:fill="FFFFFF"/>
        <w:wordWrap w:val="0"/>
        <w:spacing w:line="480" w:lineRule="atLeast"/>
        <w:ind w:firstLine="56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全年一般公共预算财政拨款基本支出</w:t>
      </w:r>
      <w:r>
        <w:rPr>
          <w:rFonts w:hint="eastAsia" w:ascii="宋体" w:hAnsi="宋体" w:eastAsia="宋体" w:cs="宋体"/>
          <w:color w:val="000000"/>
          <w:kern w:val="0"/>
          <w:sz w:val="24"/>
          <w:szCs w:val="24"/>
          <w:lang w:val="en-US" w:eastAsia="zh-CN"/>
        </w:rPr>
        <w:t>1798.91</w:t>
      </w:r>
      <w:r>
        <w:rPr>
          <w:rFonts w:hint="eastAsia" w:ascii="宋体" w:hAnsi="宋体" w:eastAsia="宋体" w:cs="宋体"/>
          <w:color w:val="000000"/>
          <w:kern w:val="0"/>
          <w:sz w:val="24"/>
          <w:szCs w:val="24"/>
        </w:rPr>
        <w:t>万元，主要用于人员经费及公用经费支出，其中工资福利支出</w:t>
      </w:r>
      <w:r>
        <w:rPr>
          <w:rFonts w:hint="eastAsia" w:ascii="宋体" w:hAnsi="宋体" w:eastAsia="宋体" w:cs="宋体"/>
          <w:color w:val="000000"/>
          <w:kern w:val="0"/>
          <w:sz w:val="24"/>
          <w:szCs w:val="24"/>
          <w:lang w:val="en-US" w:eastAsia="zh-CN"/>
        </w:rPr>
        <w:t>1366.35</w:t>
      </w:r>
      <w:r>
        <w:rPr>
          <w:rFonts w:hint="eastAsia" w:ascii="宋体" w:hAnsi="宋体" w:eastAsia="宋体" w:cs="宋体"/>
          <w:color w:val="000000"/>
          <w:kern w:val="0"/>
          <w:sz w:val="24"/>
          <w:szCs w:val="24"/>
        </w:rPr>
        <w:t>万元、商品服务支出</w:t>
      </w:r>
      <w:r>
        <w:rPr>
          <w:rFonts w:hint="eastAsia" w:ascii="宋体" w:hAnsi="宋体" w:eastAsia="宋体" w:cs="宋体"/>
          <w:color w:val="000000"/>
          <w:kern w:val="0"/>
          <w:sz w:val="24"/>
          <w:szCs w:val="24"/>
          <w:lang w:val="en-US" w:eastAsia="zh-CN"/>
        </w:rPr>
        <w:t>400.55</w:t>
      </w:r>
      <w:r>
        <w:rPr>
          <w:rFonts w:hint="eastAsia" w:ascii="宋体" w:hAnsi="宋体" w:eastAsia="宋体" w:cs="宋体"/>
          <w:color w:val="000000"/>
          <w:kern w:val="0"/>
          <w:sz w:val="24"/>
          <w:szCs w:val="24"/>
        </w:rPr>
        <w:t>万元、对个人和家庭的补助</w:t>
      </w:r>
      <w:r>
        <w:rPr>
          <w:rFonts w:hint="eastAsia" w:ascii="宋体" w:hAnsi="宋体" w:eastAsia="宋体" w:cs="宋体"/>
          <w:color w:val="000000"/>
          <w:kern w:val="0"/>
          <w:sz w:val="24"/>
          <w:szCs w:val="24"/>
          <w:lang w:val="en-US" w:eastAsia="zh-CN"/>
        </w:rPr>
        <w:t>32.01</w:t>
      </w:r>
      <w:r>
        <w:rPr>
          <w:rFonts w:hint="eastAsia" w:ascii="宋体" w:hAnsi="宋体" w:eastAsia="宋体" w:cs="宋体"/>
          <w:color w:val="000000"/>
          <w:kern w:val="0"/>
          <w:sz w:val="24"/>
          <w:szCs w:val="24"/>
        </w:rPr>
        <w:t>万元，分别占比</w:t>
      </w:r>
      <w:r>
        <w:rPr>
          <w:rFonts w:hint="eastAsia" w:ascii="宋体" w:hAnsi="宋体" w:eastAsia="宋体" w:cs="宋体"/>
          <w:color w:val="000000"/>
          <w:kern w:val="0"/>
          <w:sz w:val="24"/>
          <w:szCs w:val="24"/>
          <w:lang w:val="en-US" w:eastAsia="zh-CN"/>
        </w:rPr>
        <w:t>75.9</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22.3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1.8</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p>
      <w:pPr>
        <w:numPr>
          <w:ilvl w:val="0"/>
          <w:numId w:val="4"/>
        </w:num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政府性基金预算收入支出决算情况</w:t>
      </w:r>
    </w:p>
    <w:p>
      <w:pPr>
        <w:shd w:val="clear" w:color="auto" w:fill="FFFFFF"/>
        <w:wordWrap w:val="0"/>
        <w:spacing w:line="480" w:lineRule="atLeast"/>
        <w:ind w:firstLine="56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本年度无政府性基金预算收入支出。</w:t>
      </w:r>
    </w:p>
    <w:p>
      <w:pPr>
        <w:numPr>
          <w:ilvl w:val="0"/>
          <w:numId w:val="4"/>
        </w:numPr>
        <w:shd w:val="clear" w:color="auto" w:fill="FFFFFF"/>
        <w:wordWrap w:val="0"/>
        <w:spacing w:line="480" w:lineRule="atLeast"/>
        <w:ind w:left="0" w:leftChars="0" w:firstLine="56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一般公共预算财政拨款“三公”经费支出决算情况说明</w:t>
      </w:r>
    </w:p>
    <w:p>
      <w:pPr>
        <w:pStyle w:val="5"/>
        <w:spacing w:line="600" w:lineRule="exact"/>
        <w:ind w:firstLine="643" w:firstLineChars="200"/>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pPr>
        <w:pStyle w:val="5"/>
        <w:spacing w:line="6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“三公”经费财政拨款支出预算为10万元，支出决算为9.28万元，完成预算的92.8%，其中：</w:t>
      </w:r>
    </w:p>
    <w:p>
      <w:pPr>
        <w:pStyle w:val="5"/>
        <w:spacing w:line="6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因公出国（境）费支出预算为0万元，支出决算为0万元，完成预算的0%。上年无因公出国（境）费支出。</w:t>
      </w:r>
    </w:p>
    <w:p>
      <w:pPr>
        <w:pStyle w:val="5"/>
        <w:spacing w:line="6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公务接待费支出预算10万元，支出决算为9.28万元，完成预算的92.8%，决算数小于年初预算数的主要原因是公务接待费支出的减少，与上年相比减少0.17万元，减少的主要原因是公务接待的减少。</w:t>
      </w:r>
    </w:p>
    <w:p>
      <w:pPr>
        <w:pStyle w:val="5"/>
        <w:spacing w:line="600" w:lineRule="exact"/>
        <w:ind w:firstLine="480" w:firstLineChars="200"/>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公务用车购置费及运行维护费支出预算为0万元，支出决算为0万元，完成预算的0%。上年无公务用车购置费及运行维护费</w:t>
      </w:r>
    </w:p>
    <w:p>
      <w:pPr>
        <w:pStyle w:val="5"/>
        <w:spacing w:line="600" w:lineRule="exact"/>
        <w:ind w:firstLine="643" w:firstLineChars="200"/>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pPr>
        <w:pStyle w:val="5"/>
        <w:spacing w:line="6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本年度“三公”经费财政拨款支出决算中，公务接待费支出决算9.28万元，占100%,因公出国（境）费支出决算0万元，占0 %,公务用车购置费及运行维护费支出决0万元，占0%。其中：</w:t>
      </w:r>
    </w:p>
    <w:p>
      <w:pPr>
        <w:pStyle w:val="5"/>
        <w:spacing w:line="6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1、因公出国（境）费支出决算为0万元，全年无因公出国（境）团。</w:t>
      </w:r>
    </w:p>
    <w:p>
      <w:pPr>
        <w:pStyle w:val="5"/>
        <w:spacing w:line="600" w:lineRule="exact"/>
        <w:ind w:firstLine="480" w:firstLineChars="200"/>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2、公务接待费支出决算为9.28万元，全年国内公务接待批次为162次,国内公务接待人数1786人，主要是用于上级领导接待、上访接待等各方面的接待费用。</w:t>
      </w:r>
    </w:p>
    <w:p>
      <w:pPr>
        <w:spacing w:line="600" w:lineRule="exact"/>
        <w:ind w:firstLine="480" w:firstLineChars="200"/>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3、公务用车购置费及运行维护费支出决算为0万元，其中：公务用车购置费0万元，单位本级或某二级机构更新公务用车 0辆。公务用车运行维护费0万元，截止2019年 12月31日，我单位开支财政拨款的公务用车保有量为0辆。</w:t>
      </w:r>
    </w:p>
    <w:p>
      <w:p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九、关于201</w:t>
      </w:r>
      <w:r>
        <w:rPr>
          <w:rFonts w:hint="eastAsia" w:ascii="宋体" w:hAnsi="宋体" w:eastAsia="宋体" w:cs="宋体"/>
          <w:b/>
          <w:bCs/>
          <w:color w:val="000000"/>
          <w:kern w:val="0"/>
          <w:sz w:val="24"/>
          <w:szCs w:val="24"/>
          <w:lang w:val="en-US" w:eastAsia="zh-CN"/>
        </w:rPr>
        <w:t>9</w:t>
      </w:r>
      <w:r>
        <w:rPr>
          <w:rFonts w:hint="eastAsia" w:ascii="宋体" w:hAnsi="宋体" w:eastAsia="宋体" w:cs="宋体"/>
          <w:b/>
          <w:bCs/>
          <w:color w:val="000000"/>
          <w:kern w:val="0"/>
          <w:sz w:val="24"/>
          <w:szCs w:val="24"/>
        </w:rPr>
        <w:t>年度预算绩效情况说明</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我单位组织对2019年度一般公共预算项目支出全面开展绩效自评,共涉及</w:t>
      </w:r>
      <w:bookmarkStart w:id="0" w:name="_GoBack"/>
      <w:bookmarkEnd w:id="0"/>
      <w:r>
        <w:rPr>
          <w:rFonts w:hint="eastAsia" w:ascii="宋体" w:hAnsi="宋体" w:eastAsia="宋体" w:cs="宋体"/>
          <w:color w:val="000000"/>
          <w:kern w:val="0"/>
          <w:sz w:val="24"/>
          <w:szCs w:val="24"/>
        </w:rPr>
        <w:t>资金</w:t>
      </w:r>
      <w:r>
        <w:rPr>
          <w:rFonts w:hint="eastAsia" w:ascii="宋体" w:hAnsi="宋体" w:eastAsia="宋体" w:cs="宋体"/>
          <w:color w:val="000000"/>
          <w:kern w:val="0"/>
          <w:sz w:val="24"/>
          <w:szCs w:val="24"/>
          <w:lang w:val="en-US" w:eastAsia="zh-CN"/>
        </w:rPr>
        <w:t>153</w:t>
      </w:r>
      <w:r>
        <w:rPr>
          <w:rFonts w:hint="eastAsia" w:ascii="宋体" w:hAnsi="宋体" w:eastAsia="宋体" w:cs="宋体"/>
          <w:color w:val="000000"/>
          <w:kern w:val="0"/>
          <w:sz w:val="24"/>
          <w:szCs w:val="24"/>
        </w:rPr>
        <w:t>万元,占一般公共预算项目支出总额的100%。根据学校年初工作规划和重点性工作，围绕上级及主管部门的指示精神，积极履职，强化管理，较好的完成了年度工作目标。通过加强预算收支管理，不断建立健全内部管理制度，梳理内部管理流程，部门整体支出管理情况得到提升。</w:t>
      </w:r>
    </w:p>
    <w:p>
      <w:pPr>
        <w:shd w:val="clear" w:color="auto" w:fill="FFFFFF"/>
        <w:wordWrap w:val="0"/>
        <w:spacing w:line="480" w:lineRule="atLeast"/>
        <w:ind w:firstLine="56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十、其他重要事项的情况说明</w:t>
      </w:r>
    </w:p>
    <w:p>
      <w:pPr>
        <w:shd w:val="clear" w:color="auto" w:fill="FFFFFF"/>
        <w:wordWrap w:val="0"/>
        <w:spacing w:line="480" w:lineRule="atLeast"/>
        <w:ind w:firstLine="56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（一）机关运行经费：</w:t>
      </w:r>
      <w:r>
        <w:rPr>
          <w:rFonts w:hint="eastAsia" w:ascii="宋体" w:hAnsi="宋体" w:eastAsia="宋体" w:cs="宋体"/>
          <w:color w:val="000000"/>
          <w:kern w:val="0"/>
          <w:sz w:val="24"/>
          <w:szCs w:val="24"/>
          <w:lang w:val="en-US" w:eastAsia="zh-CN"/>
        </w:rPr>
        <w:t>单位全年机关运行经费400.55</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比年初预算数增加255.55万元，主要原因是公用经费的增加。机关运行经费主要用于办公费、印刷费、差旅费、维护费、劳务费等。</w:t>
      </w:r>
    </w:p>
    <w:p>
      <w:pPr>
        <w:shd w:val="clear" w:color="auto" w:fill="FFFFFF"/>
        <w:wordWrap w:val="0"/>
        <w:spacing w:line="480" w:lineRule="atLeast"/>
        <w:ind w:firstLine="56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lang w:val="en-US" w:eastAsia="zh-CN"/>
        </w:rPr>
        <w:t>一般性支出情况</w:t>
      </w: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本部门开支会议费0万元，开支培训费4.20万元，用于学校教师的各类培训费用。</w:t>
      </w:r>
    </w:p>
    <w:p>
      <w:pPr>
        <w:spacing w:line="6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（三）政府采购情况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本单位 2019 年度政府采购支出总额 179 万元，其中:政府采购货物支出 26 万元、政府采购工程支出 153万元。授予中小企业合同金额</w:t>
      </w:r>
      <w:r>
        <w:rPr>
          <w:rFonts w:hint="eastAsia" w:ascii="宋体" w:hAnsi="宋体" w:eastAsia="宋体" w:cs="宋体"/>
          <w:color w:val="000000"/>
          <w:kern w:val="0"/>
          <w:sz w:val="24"/>
          <w:szCs w:val="24"/>
          <w:lang w:val="en-US" w:eastAsia="zh-CN"/>
        </w:rPr>
        <w:t>179</w:t>
      </w:r>
      <w:r>
        <w:rPr>
          <w:rFonts w:hint="eastAsia" w:ascii="宋体" w:hAnsi="宋体" w:eastAsia="宋体" w:cs="宋体"/>
          <w:color w:val="000000"/>
          <w:kern w:val="0"/>
          <w:sz w:val="24"/>
          <w:szCs w:val="24"/>
        </w:rPr>
        <w:t>万元，占政府采购支出总额的</w:t>
      </w:r>
      <w:r>
        <w:rPr>
          <w:rFonts w:hint="eastAsia" w:ascii="宋体" w:hAnsi="宋体" w:eastAsia="宋体" w:cs="宋体"/>
          <w:color w:val="000000"/>
          <w:kern w:val="0"/>
          <w:sz w:val="24"/>
          <w:szCs w:val="24"/>
          <w:lang w:val="en-US" w:eastAsia="zh-CN"/>
        </w:rPr>
        <w:t>100</w:t>
      </w:r>
      <w:r>
        <w:rPr>
          <w:rFonts w:hint="eastAsia" w:ascii="宋体" w:hAnsi="宋体" w:eastAsia="宋体" w:cs="宋体"/>
          <w:color w:val="000000"/>
          <w:kern w:val="0"/>
          <w:sz w:val="24"/>
          <w:szCs w:val="24"/>
        </w:rPr>
        <w:t>%，其中：授予小微企业合同金额</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万元，占政府采购支出总额的</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（四）国有资产占用情况：截至2019年12月31日，我单位固定资产原值为4496.27万元，其中:土地、房屋及构筑物4276.71万元；通用设备159.11万元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单位价值50万元以上通用设备0台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；专用设备8.9万元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单位价值50万元以上专用设备0台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；图书档案22.1万元；家具、用具、装具及动植物29.45万元。</w:t>
      </w:r>
    </w:p>
    <w:p>
      <w:pPr>
        <w:widowControl/>
        <w:spacing w:line="600" w:lineRule="exact"/>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第四部分</w:t>
      </w:r>
      <w:r>
        <w:rPr>
          <w:rFonts w:hint="eastAsia" w:ascii="宋体" w:hAnsi="宋体" w:eastAsia="宋体" w:cs="宋体"/>
          <w:b/>
          <w:bCs/>
          <w:kern w:val="0"/>
          <w:sz w:val="32"/>
          <w:szCs w:val="32"/>
          <w:lang w:eastAsia="zh-CN"/>
        </w:rPr>
        <w:t>：</w:t>
      </w:r>
      <w:r>
        <w:rPr>
          <w:rFonts w:hint="eastAsia" w:ascii="宋体" w:hAnsi="宋体" w:eastAsia="宋体" w:cs="宋体"/>
          <w:b/>
          <w:bCs/>
          <w:kern w:val="0"/>
          <w:sz w:val="32"/>
          <w:szCs w:val="32"/>
        </w:rPr>
        <w:t>名</w:t>
      </w:r>
      <w:r>
        <w:rPr>
          <w:rFonts w:hint="eastAsia" w:ascii="宋体" w:hAnsi="宋体" w:eastAsia="宋体" w:cs="宋体"/>
          <w:b/>
          <w:bCs/>
          <w:kern w:val="0"/>
          <w:sz w:val="32"/>
          <w:szCs w:val="32"/>
          <w:lang w:val="en-US" w:eastAsia="zh-CN"/>
        </w:rPr>
        <w:t>词</w:t>
      </w:r>
      <w:r>
        <w:rPr>
          <w:rFonts w:hint="eastAsia" w:ascii="宋体" w:hAnsi="宋体" w:eastAsia="宋体" w:cs="宋体"/>
          <w:b/>
          <w:bCs/>
          <w:kern w:val="0"/>
          <w:sz w:val="32"/>
          <w:szCs w:val="32"/>
        </w:rPr>
        <w:t>解释</w:t>
      </w:r>
    </w:p>
    <w:p>
      <w:pPr>
        <w:shd w:val="clear" w:color="auto" w:fill="FFFFFF"/>
        <w:wordWrap w:val="0"/>
        <w:spacing w:line="480" w:lineRule="atLeast"/>
        <w:ind w:firstLine="56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shd w:val="clear" w:color="auto" w:fill="FFFFFF"/>
        <w:wordWrap w:val="0"/>
        <w:spacing w:line="480" w:lineRule="atLeast"/>
        <w:ind w:firstLine="560"/>
        <w:rPr>
          <w:rFonts w:hint="eastAsia" w:ascii="宋体" w:hAnsi="宋体" w:eastAsia="宋体" w:cs="宋体"/>
          <w:b/>
          <w:bCs/>
          <w:kern w:val="0"/>
          <w:sz w:val="32"/>
          <w:szCs w:val="32"/>
        </w:rPr>
      </w:pPr>
      <w:r>
        <w:rPr>
          <w:rFonts w:hint="eastAsia" w:ascii="宋体" w:hAnsi="宋体" w:eastAsia="宋体" w:cs="宋体"/>
          <w:color w:val="000000"/>
          <w:kern w:val="0"/>
          <w:sz w:val="24"/>
          <w:szCs w:val="24"/>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hd w:val="clear" w:color="auto" w:fill="FFFFFF"/>
        <w:wordWrap w:val="0"/>
        <w:spacing w:line="480" w:lineRule="atLeast"/>
        <w:rPr>
          <w:rFonts w:hint="eastAsia" w:ascii="宋体" w:hAnsi="宋体" w:eastAsia="宋体" w:cs="宋体"/>
          <w:color w:val="000000"/>
          <w:kern w:val="0"/>
          <w:sz w:val="24"/>
          <w:szCs w:val="24"/>
        </w:rPr>
      </w:pPr>
      <w:r>
        <w:rPr>
          <w:rFonts w:hint="eastAsia" w:ascii="宋体" w:hAnsi="宋体" w:eastAsia="宋体" w:cs="宋体"/>
          <w:b/>
          <w:bCs/>
          <w:kern w:val="0"/>
          <w:sz w:val="32"/>
          <w:szCs w:val="32"/>
          <w:lang w:val="en-US" w:eastAsia="zh-CN"/>
        </w:rPr>
        <w:t>第五部分：附件</w:t>
      </w:r>
      <w:r>
        <w:rPr>
          <w:rFonts w:hint="eastAsia" w:ascii="宋体" w:hAnsi="宋体" w:eastAsia="宋体" w:cs="宋体"/>
          <w:b/>
          <w:bCs/>
          <w:kern w:val="0"/>
          <w:sz w:val="32"/>
          <w:szCs w:val="32"/>
        </w:rPr>
        <w:t> </w:t>
      </w:r>
    </w:p>
    <w:p>
      <w:pPr>
        <w:shd w:val="clear" w:color="auto" w:fill="FFFFFF"/>
        <w:wordWrap w:val="0"/>
        <w:spacing w:line="48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2019年度部门整体支出绩效自评报告</w:t>
      </w:r>
    </w:p>
    <w:p>
      <w:pPr>
        <w:widowControl/>
        <w:spacing w:line="600" w:lineRule="exact"/>
        <w:jc w:val="center"/>
        <w:rPr>
          <w:rFonts w:hint="eastAsia" w:ascii="宋体" w:hAnsi="宋体" w:eastAsia="宋体" w:cs="宋体"/>
          <w:b w:val="0"/>
          <w:bCs w:val="0"/>
          <w:kern w:val="0"/>
          <w:sz w:val="32"/>
          <w:szCs w:val="32"/>
          <w:lang w:val="en-US" w:eastAsia="zh-CN"/>
        </w:rPr>
      </w:pPr>
      <w:r>
        <w:rPr>
          <w:rFonts w:hint="eastAsia" w:ascii="宋体" w:hAnsi="宋体" w:eastAsia="宋体" w:cs="宋体"/>
          <w:b/>
          <w:bCs/>
          <w:kern w:val="0"/>
          <w:sz w:val="32"/>
          <w:szCs w:val="32"/>
          <w:lang w:val="en-US" w:eastAsia="zh-CN"/>
        </w:rPr>
        <w:t xml:space="preserve">                      </w:t>
      </w:r>
      <w:r>
        <w:rPr>
          <w:rFonts w:hint="eastAsia" w:ascii="宋体" w:hAnsi="宋体" w:eastAsia="宋体" w:cs="宋体"/>
          <w:b w:val="0"/>
          <w:bCs w:val="0"/>
          <w:kern w:val="0"/>
          <w:sz w:val="32"/>
          <w:szCs w:val="32"/>
          <w:lang w:val="en-US" w:eastAsia="zh-CN"/>
        </w:rPr>
        <w:t xml:space="preserve">            衡山县第四中学</w:t>
      </w:r>
    </w:p>
    <w:p>
      <w:pPr>
        <w:widowControl/>
        <w:spacing w:line="600" w:lineRule="exact"/>
        <w:jc w:val="right"/>
        <w:rPr>
          <w:rFonts w:hint="default" w:ascii="宋体" w:hAnsi="宋体" w:eastAsia="宋体" w:cs="宋体"/>
          <w:b w:val="0"/>
          <w:bCs w:val="0"/>
          <w:kern w:val="0"/>
          <w:sz w:val="32"/>
          <w:szCs w:val="32"/>
          <w:lang w:val="en-US" w:eastAsia="zh-CN"/>
        </w:rPr>
      </w:pPr>
      <w:r>
        <w:rPr>
          <w:rFonts w:hint="eastAsia" w:ascii="宋体" w:hAnsi="宋体" w:eastAsia="宋体" w:cs="宋体"/>
          <w:b w:val="0"/>
          <w:bCs w:val="0"/>
          <w:kern w:val="0"/>
          <w:sz w:val="32"/>
          <w:szCs w:val="32"/>
          <w:lang w:val="en-US" w:eastAsia="zh-CN"/>
        </w:rPr>
        <w:t>2020年9月16日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59B0A"/>
    <w:multiLevelType w:val="singleLevel"/>
    <w:tmpl w:val="A7C59B0A"/>
    <w:lvl w:ilvl="0" w:tentative="0">
      <w:start w:val="7"/>
      <w:numFmt w:val="chineseCounting"/>
      <w:suff w:val="nothing"/>
      <w:lvlText w:val="%1、"/>
      <w:lvlJc w:val="left"/>
      <w:rPr>
        <w:rFonts w:hint="eastAsia"/>
      </w:rPr>
    </w:lvl>
  </w:abstractNum>
  <w:abstractNum w:abstractNumId="1">
    <w:nsid w:val="D4C59330"/>
    <w:multiLevelType w:val="singleLevel"/>
    <w:tmpl w:val="D4C59330"/>
    <w:lvl w:ilvl="0" w:tentative="0">
      <w:start w:val="3"/>
      <w:numFmt w:val="chineseCounting"/>
      <w:suff w:val="nothing"/>
      <w:lvlText w:val="（%1）"/>
      <w:lvlJc w:val="left"/>
      <w:rPr>
        <w:rFonts w:hint="eastAsia"/>
      </w:rPr>
    </w:lvl>
  </w:abstractNum>
  <w:abstractNum w:abstractNumId="2">
    <w:nsid w:val="05675F22"/>
    <w:multiLevelType w:val="singleLevel"/>
    <w:tmpl w:val="05675F22"/>
    <w:lvl w:ilvl="0" w:tentative="0">
      <w:start w:val="1"/>
      <w:numFmt w:val="decimal"/>
      <w:suff w:val="nothing"/>
      <w:lvlText w:val="%1、"/>
      <w:lvlJc w:val="left"/>
    </w:lvl>
  </w:abstractNum>
  <w:abstractNum w:abstractNumId="3">
    <w:nsid w:val="6F39847F"/>
    <w:multiLevelType w:val="singleLevel"/>
    <w:tmpl w:val="6F39847F"/>
    <w:lvl w:ilvl="0" w:tentative="0">
      <w:start w:val="5"/>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C3140"/>
    <w:rsid w:val="079129B5"/>
    <w:rsid w:val="09734719"/>
    <w:rsid w:val="1C6716B9"/>
    <w:rsid w:val="2028695F"/>
    <w:rsid w:val="230C08DA"/>
    <w:rsid w:val="3D074171"/>
    <w:rsid w:val="74AC3140"/>
    <w:rsid w:val="78C64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cs="宋体"/>
      <w:kern w:val="0"/>
      <w:sz w:val="24"/>
      <w:szCs w:val="24"/>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2021-06-03T07:33:00Z</dcterms:created>
  <dc:creator>Administrator</dc:creator>
  <cp:lastModifiedBy>Administrator</cp:lastModifiedBy>
  <cp:lastPrinted>2021-06-03T08:05:00Z</cp:lastPrinted>
  <dcterms:modified xsi:type="dcterms:W3CDTF">2021-06-17T02:53:34Z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B6CD2A0FA4ED471BAE0895F666FEEEC3</vt:lpwstr>
  </property>
</Properties>
</file>