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71" w:firstLineChars="100"/>
        <w:rPr>
          <w:rFonts w:ascii="方正小标宋_GBK" w:eastAsia="方正小标宋_GBK"/>
          <w:sz w:val="48"/>
          <w:szCs w:val="48"/>
        </w:rPr>
      </w:pPr>
    </w:p>
    <w:p>
      <w:pPr>
        <w:ind w:firstLine="471" w:firstLineChars="100"/>
        <w:rPr>
          <w:rFonts w:ascii="方正小标宋_GBK" w:eastAsia="方正小标宋_GBK"/>
          <w:sz w:val="48"/>
          <w:szCs w:val="48"/>
        </w:rPr>
      </w:pPr>
    </w:p>
    <w:p>
      <w:pPr>
        <w:ind w:firstLine="471" w:firstLineChars="100"/>
        <w:rPr>
          <w:rFonts w:ascii="方正小标宋_GBK" w:eastAsia="方正小标宋_GBK"/>
          <w:sz w:val="48"/>
          <w:szCs w:val="48"/>
        </w:rPr>
      </w:pPr>
    </w:p>
    <w:p>
      <w:pPr>
        <w:ind w:firstLine="471" w:firstLineChars="100"/>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20</w:t>
      </w:r>
      <w:r>
        <w:rPr>
          <w:rFonts w:hint="eastAsia" w:ascii="方正小标宋_GBK" w:eastAsia="方正小标宋_GBK"/>
          <w:sz w:val="48"/>
          <w:szCs w:val="48"/>
        </w:rPr>
        <w:t>年度部门整体支出绩效自评报告</w:t>
      </w:r>
    </w:p>
    <w:p>
      <w:pPr>
        <w:jc w:val="center"/>
        <w:rPr>
          <w:rFonts w:ascii="楷体_GB2312" w:eastAsia="楷体_GB2312"/>
          <w:b/>
          <w:sz w:val="32"/>
          <w:szCs w:val="32"/>
        </w:rPr>
      </w:pPr>
    </w:p>
    <w:p>
      <w:pPr>
        <w:jc w:val="center"/>
        <w:rPr>
          <w:rFonts w:ascii="黑体" w:eastAsia="黑体"/>
          <w:sz w:val="32"/>
          <w:szCs w:val="32"/>
        </w:rPr>
      </w:pPr>
    </w:p>
    <w:p>
      <w:pPr>
        <w:jc w:val="center"/>
        <w:rPr>
          <w:rFonts w:ascii="黑体" w:eastAsia="黑体"/>
          <w:sz w:val="32"/>
          <w:szCs w:val="32"/>
        </w:rPr>
      </w:pPr>
    </w:p>
    <w:p>
      <w:pPr>
        <w:jc w:val="center"/>
        <w:rPr>
          <w:rFonts w:hint="eastAsia" w:ascii="黑体" w:eastAsia="黑体"/>
          <w:sz w:val="32"/>
          <w:szCs w:val="32"/>
          <w:lang w:eastAsia="zh-CN"/>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hint="eastAsia" w:ascii="黑体" w:eastAsia="黑体"/>
          <w:sz w:val="32"/>
          <w:szCs w:val="32"/>
          <w:lang w:eastAsia="zh-CN"/>
        </w:rPr>
      </w:pPr>
    </w:p>
    <w:p>
      <w:pPr>
        <w:jc w:val="center"/>
        <w:rPr>
          <w:rFonts w:ascii="黑体" w:eastAsia="黑体"/>
          <w:sz w:val="32"/>
          <w:szCs w:val="32"/>
        </w:rPr>
      </w:pPr>
    </w:p>
    <w:p>
      <w:pPr>
        <w:jc w:val="both"/>
        <w:rPr>
          <w:rFonts w:ascii="黑体" w:eastAsia="黑体"/>
          <w:sz w:val="32"/>
          <w:szCs w:val="32"/>
        </w:rPr>
      </w:pPr>
    </w:p>
    <w:p>
      <w:pPr>
        <w:jc w:val="center"/>
        <w:rPr>
          <w:rFonts w:hint="eastAsia" w:ascii="黑体" w:eastAsia="黑体"/>
          <w:sz w:val="44"/>
          <w:szCs w:val="44"/>
          <w:lang w:val="en-US" w:eastAsia="zh-CN"/>
        </w:rPr>
      </w:pPr>
      <w:r>
        <w:rPr>
          <w:rFonts w:hint="eastAsia" w:ascii="黑体" w:eastAsia="黑体"/>
          <w:sz w:val="44"/>
          <w:szCs w:val="44"/>
        </w:rPr>
        <w:t>单位名称（盖章）</w:t>
      </w:r>
      <w:r>
        <w:rPr>
          <w:rFonts w:hint="eastAsia" w:ascii="黑体" w:eastAsia="黑体"/>
          <w:sz w:val="44"/>
          <w:szCs w:val="44"/>
          <w:lang w:eastAsia="zh-CN"/>
        </w:rPr>
        <w:t>衡山县第二中学</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pStyle w:val="17"/>
        <w:widowControl/>
        <w:spacing w:line="600" w:lineRule="exact"/>
        <w:ind w:firstLine="620"/>
        <w:rPr>
          <w:rFonts w:ascii="黑体" w:hAnsi="黑体" w:eastAsia="黑体"/>
          <w:sz w:val="32"/>
          <w:szCs w:val="32"/>
        </w:rPr>
      </w:pPr>
    </w:p>
    <w:p>
      <w:pPr>
        <w:pStyle w:val="17"/>
        <w:widowControl/>
        <w:spacing w:line="600" w:lineRule="exact"/>
        <w:ind w:firstLine="620"/>
        <w:rPr>
          <w:rFonts w:ascii="黑体" w:hAnsi="黑体" w:eastAsia="黑体"/>
          <w:sz w:val="32"/>
          <w:szCs w:val="32"/>
        </w:rPr>
      </w:pPr>
    </w:p>
    <w:p>
      <w:pPr>
        <w:pStyle w:val="17"/>
        <w:widowControl/>
        <w:numPr>
          <w:ilvl w:val="0"/>
          <w:numId w:val="0"/>
        </w:numPr>
        <w:spacing w:line="600" w:lineRule="exact"/>
        <w:rPr>
          <w:rFonts w:hint="eastAsia" w:ascii="黑体" w:hAnsi="黑体" w:eastAsia="黑体"/>
          <w:sz w:val="32"/>
          <w:szCs w:val="32"/>
          <w:lang w:eastAsia="zh-CN"/>
        </w:rPr>
      </w:pPr>
    </w:p>
    <w:p>
      <w:pPr>
        <w:pStyle w:val="17"/>
        <w:widowControl/>
        <w:numPr>
          <w:ilvl w:val="0"/>
          <w:numId w:val="0"/>
        </w:numPr>
        <w:spacing w:line="600" w:lineRule="exact"/>
        <w:ind w:firstLine="933" w:firstLineChars="300"/>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单位基本情况</w:t>
      </w:r>
    </w:p>
    <w:p>
      <w:pPr>
        <w:pStyle w:val="17"/>
        <w:widowControl/>
        <w:numPr>
          <w:ilvl w:val="0"/>
          <w:numId w:val="1"/>
        </w:numPr>
        <w:spacing w:line="600" w:lineRule="exact"/>
        <w:ind w:firstLine="582" w:firstLineChars="200"/>
        <w:rPr>
          <w:rFonts w:hint="eastAsia" w:ascii="仿宋" w:hAnsi="仿宋" w:eastAsia="仿宋" w:cs="仿宋"/>
          <w:i w:val="0"/>
          <w:caps w:val="0"/>
          <w:color w:val="auto"/>
          <w:spacing w:val="0"/>
          <w:sz w:val="30"/>
          <w:szCs w:val="30"/>
          <w:u w:val="none"/>
          <w:shd w:val="clear" w:fill="FFFFFF"/>
          <w:lang w:eastAsia="zh-CN"/>
        </w:rPr>
      </w:pPr>
      <w:r>
        <w:rPr>
          <w:rFonts w:hint="eastAsia" w:ascii="仿宋" w:hAnsi="仿宋" w:eastAsia="仿宋" w:cs="仿宋"/>
          <w:i w:val="0"/>
          <w:caps w:val="0"/>
          <w:color w:val="auto"/>
          <w:spacing w:val="0"/>
          <w:sz w:val="30"/>
          <w:szCs w:val="30"/>
          <w:u w:val="none"/>
          <w:shd w:val="clear" w:fill="FFFFFF"/>
          <w:lang w:eastAsia="zh-CN"/>
        </w:rPr>
        <w:t>机构、人员情况</w:t>
      </w:r>
    </w:p>
    <w:p>
      <w:pPr>
        <w:pStyle w:val="6"/>
        <w:shd w:val="clear" w:color="auto" w:fill="FFFFFF"/>
        <w:spacing w:before="0" w:beforeAutospacing="0" w:after="0" w:afterAutospacing="0" w:line="384" w:lineRule="atLeast"/>
        <w:ind w:firstLine="582" w:firstLineChars="200"/>
        <w:rPr>
          <w:rFonts w:hint="eastAsia" w:ascii="仿宋" w:hAnsi="仿宋" w:eastAsia="仿宋" w:cs="仿宋"/>
          <w:color w:val="000000"/>
          <w:sz w:val="30"/>
          <w:szCs w:val="30"/>
          <w:lang w:val="en-US" w:eastAsia="zh-CN"/>
        </w:rPr>
      </w:pPr>
      <w:r>
        <w:rPr>
          <w:rFonts w:hint="eastAsia" w:ascii="仿宋" w:hAnsi="仿宋" w:eastAsia="仿宋" w:cs="仿宋"/>
          <w:i w:val="0"/>
          <w:caps w:val="0"/>
          <w:color w:val="auto"/>
          <w:spacing w:val="0"/>
          <w:sz w:val="30"/>
          <w:szCs w:val="30"/>
          <w:shd w:val="clear" w:fill="FFFFFF"/>
        </w:rPr>
        <w:t>衡山县第二中学位于衡山县开云镇开云北路399号，座落于南岳七十二峰之一巾紫峰下的原潇湘八景之一的“烟寺晚钟”故址——衡山城北清凉寺，有着百年文化积淀，其前身是建于清光绪十九（1893年）的城北琵琶洲的 “研经书院”。</w:t>
      </w:r>
      <w:r>
        <w:rPr>
          <w:rFonts w:hint="eastAsia" w:ascii="仿宋" w:hAnsi="仿宋" w:eastAsia="仿宋" w:cs="仿宋"/>
          <w:color w:val="000000"/>
          <w:sz w:val="30"/>
          <w:szCs w:val="30"/>
          <w:lang w:val="en-US" w:eastAsia="zh-CN"/>
        </w:rPr>
        <w:t>学校拥有一个勤政廉洁、团结务实、充满凝聚力与战斗力的领导班子和一支师德师风正、综合素质高、业务能力精、整体结构好的教师队伍。学校设内部机构6个，分别为办公室、教务处、德育处、教研室、总务处、团委。无下设单位，2019年度部门决算为校本级。</w:t>
      </w:r>
    </w:p>
    <w:p>
      <w:pPr>
        <w:pStyle w:val="6"/>
        <w:shd w:val="clear" w:color="auto" w:fill="FFFFFF"/>
        <w:spacing w:before="0" w:beforeAutospacing="0" w:after="0" w:afterAutospacing="0" w:line="384" w:lineRule="atLeast"/>
        <w:ind w:firstLine="582" w:firstLineChars="200"/>
        <w:rPr>
          <w:rFonts w:hint="eastAsia" w:ascii="仿宋" w:hAnsi="仿宋" w:eastAsia="仿宋" w:cs="仿宋"/>
          <w:color w:val="000000"/>
          <w:sz w:val="28"/>
          <w:szCs w:val="28"/>
        </w:rPr>
      </w:pPr>
      <w:r>
        <w:rPr>
          <w:rFonts w:hint="eastAsia" w:ascii="仿宋" w:hAnsi="仿宋" w:eastAsia="仿宋" w:cs="仿宋"/>
          <w:color w:val="000000"/>
          <w:sz w:val="30"/>
          <w:szCs w:val="30"/>
          <w:lang w:val="en-US" w:eastAsia="zh-CN"/>
        </w:rPr>
        <w:t>至2020年12月，共有编制人员180人，年末在岗职工173人，离退休教师36人（其中：离休1人，退休35人）。教学一线专任教师硕士学历5人，本科学历合格率100%，其中湖南省特级教师2人，正高级教师1人，高级教师55人，中学一级教师75人；市级学科带头人、骨干教师11人；衡阳市名师工作室1个。目前，学校有36个全日制高中教学班，学生2163人。</w:t>
      </w:r>
    </w:p>
    <w:p>
      <w:pPr>
        <w:pStyle w:val="17"/>
        <w:widowControl/>
        <w:numPr>
          <w:ilvl w:val="0"/>
          <w:numId w:val="0"/>
        </w:numPr>
        <w:spacing w:line="600" w:lineRule="exact"/>
        <w:ind w:firstLine="291" w:firstLineChars="100"/>
        <w:rPr>
          <w:rFonts w:hint="eastAsia" w:ascii="仿宋" w:hAnsi="仿宋" w:eastAsia="仿宋" w:cs="仿宋"/>
          <w:i w:val="0"/>
          <w:caps w:val="0"/>
          <w:color w:val="auto"/>
          <w:spacing w:val="0"/>
          <w:sz w:val="30"/>
          <w:szCs w:val="30"/>
          <w:shd w:val="clear" w:fill="FFFFFF"/>
          <w:lang w:val="en-US" w:eastAsia="zh-CN"/>
        </w:rPr>
      </w:pPr>
      <w:r>
        <w:rPr>
          <w:rFonts w:hint="eastAsia" w:ascii="仿宋" w:hAnsi="仿宋" w:eastAsia="仿宋" w:cs="仿宋"/>
          <w:i w:val="0"/>
          <w:caps w:val="0"/>
          <w:color w:val="auto"/>
          <w:spacing w:val="0"/>
          <w:sz w:val="30"/>
          <w:szCs w:val="30"/>
          <w:shd w:val="clear" w:fill="FFFFFF"/>
          <w:lang w:val="en-US" w:eastAsia="zh-CN"/>
        </w:rPr>
        <w:t>（二）主要工作职能</w:t>
      </w:r>
    </w:p>
    <w:p>
      <w:pPr>
        <w:keepNext w:val="0"/>
        <w:keepLines w:val="0"/>
        <w:widowControl/>
        <w:suppressLineNumbers w:val="0"/>
        <w:shd w:val="clear" w:fill="FFFFFF"/>
        <w:spacing w:after="180" w:afterAutospacing="0" w:line="288" w:lineRule="atLeast"/>
        <w:ind w:firstLine="582" w:firstLineChars="200"/>
        <w:jc w:val="left"/>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 w:hAnsi="仿宋" w:eastAsia="仿宋" w:cs="仿宋"/>
          <w:i w:val="0"/>
          <w:caps w:val="0"/>
          <w:color w:val="auto"/>
          <w:spacing w:val="0"/>
          <w:kern w:val="0"/>
          <w:sz w:val="30"/>
          <w:szCs w:val="30"/>
          <w:shd w:val="clear" w:fill="FFFFFF"/>
          <w:lang w:val="en-US" w:eastAsia="zh-CN" w:bidi="ar"/>
        </w:rPr>
        <w:t>1、高中教育教学。</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 w:hAnsi="仿宋" w:eastAsia="仿宋" w:cs="仿宋"/>
          <w:i w:val="0"/>
          <w:caps w:val="0"/>
          <w:color w:val="auto"/>
          <w:spacing w:val="0"/>
          <w:kern w:val="0"/>
          <w:sz w:val="30"/>
          <w:szCs w:val="30"/>
          <w:shd w:val="clear" w:fill="FFFFFF"/>
          <w:lang w:val="en-US" w:eastAsia="zh-CN" w:bidi="ar"/>
        </w:rPr>
        <w:t xml:space="preserve"> 2、高中学生心理健康辅导，开展有利于学生身心健康的课外活动；</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 w:hAnsi="仿宋" w:eastAsia="仿宋" w:cs="仿宋"/>
          <w:i w:val="0"/>
          <w:caps w:val="0"/>
          <w:color w:val="auto"/>
          <w:spacing w:val="0"/>
          <w:kern w:val="0"/>
          <w:sz w:val="30"/>
          <w:szCs w:val="30"/>
          <w:shd w:val="clear" w:fill="FFFFFF"/>
          <w:lang w:val="en-US" w:eastAsia="zh-CN" w:bidi="ar"/>
        </w:rPr>
        <w:t xml:space="preserve"> 3、承担县委、县政府和上级主管部门交办的其他事项。</w:t>
      </w:r>
    </w:p>
    <w:p>
      <w:pPr>
        <w:keepNext w:val="0"/>
        <w:keepLines w:val="0"/>
        <w:widowControl/>
        <w:suppressLineNumbers w:val="0"/>
        <w:shd w:val="clear" w:fill="FFFFFF"/>
        <w:spacing w:after="180" w:afterAutospacing="0" w:line="288" w:lineRule="atLeast"/>
        <w:ind w:firstLine="582" w:firstLineChars="200"/>
        <w:jc w:val="left"/>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 w:hAnsi="仿宋" w:eastAsia="仿宋" w:cs="仿宋"/>
          <w:i w:val="0"/>
          <w:caps w:val="0"/>
          <w:color w:val="auto"/>
          <w:spacing w:val="0"/>
          <w:kern w:val="0"/>
          <w:sz w:val="30"/>
          <w:szCs w:val="30"/>
          <w:shd w:val="clear" w:fill="FFFFFF"/>
          <w:lang w:val="en-US" w:eastAsia="zh-CN" w:bidi="ar"/>
        </w:rPr>
        <w:t>（三）整体支出情况</w:t>
      </w:r>
    </w:p>
    <w:p>
      <w:pPr>
        <w:keepNext w:val="0"/>
        <w:keepLines w:val="0"/>
        <w:widowControl/>
        <w:suppressLineNumbers w:val="0"/>
        <w:shd w:val="clear" w:fill="FFFFFF"/>
        <w:spacing w:after="180" w:afterAutospacing="0" w:line="288" w:lineRule="atLeast"/>
        <w:ind w:firstLine="582" w:firstLineChars="200"/>
        <w:jc w:val="left"/>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 w:hAnsi="仿宋" w:eastAsia="仿宋" w:cs="仿宋"/>
          <w:i w:val="0"/>
          <w:caps w:val="0"/>
          <w:color w:val="auto"/>
          <w:spacing w:val="0"/>
          <w:kern w:val="0"/>
          <w:sz w:val="30"/>
          <w:szCs w:val="30"/>
          <w:shd w:val="clear" w:fill="FFFFFF"/>
          <w:lang w:val="en-US" w:eastAsia="zh-CN" w:bidi="ar"/>
        </w:rPr>
        <w:t>我单位2020年总支出2893.46万元，基本支出2664.79万元，项目支出228.67万元。基本支出占总支出的92.1%。</w:t>
      </w:r>
    </w:p>
    <w:p>
      <w:pPr>
        <w:keepNext w:val="0"/>
        <w:keepLines w:val="0"/>
        <w:widowControl/>
        <w:numPr>
          <w:ilvl w:val="0"/>
          <w:numId w:val="1"/>
        </w:numPr>
        <w:suppressLineNumbers w:val="0"/>
        <w:shd w:val="clear" w:fill="FFFFFF"/>
        <w:spacing w:after="180" w:afterAutospacing="0" w:line="288" w:lineRule="atLeast"/>
        <w:ind w:left="0" w:leftChars="0" w:firstLine="582"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部门内部控制及厉行节约制度建设情况</w:t>
      </w:r>
    </w:p>
    <w:p>
      <w:pPr>
        <w:keepNext w:val="0"/>
        <w:keepLines w:val="0"/>
        <w:widowControl/>
        <w:numPr>
          <w:ilvl w:val="0"/>
          <w:numId w:val="0"/>
        </w:numPr>
        <w:suppressLineNumbers w:val="0"/>
        <w:shd w:val="clear" w:fill="FFFFFF"/>
        <w:spacing w:after="180" w:afterAutospacing="0" w:line="288" w:lineRule="atLeast"/>
        <w:ind w:firstLine="582"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加强内部控制。我单位历来重视单位内部管理制度建设及监督，加强财务管理，强化财务监督，增强法纪观念，遵守规章制度。为保证财务管理工作规范有序进行，20</w:t>
      </w:r>
      <w:r>
        <w:rPr>
          <w:rFonts w:hint="eastAsia" w:ascii="仿宋" w:hAnsi="仿宋" w:eastAsia="仿宋" w:cs="仿宋"/>
          <w:sz w:val="30"/>
          <w:szCs w:val="30"/>
          <w:lang w:val="en-US" w:eastAsia="zh-CN"/>
        </w:rPr>
        <w:t>20</w:t>
      </w:r>
      <w:r>
        <w:rPr>
          <w:rFonts w:hint="eastAsia" w:ascii="仿宋" w:hAnsi="仿宋" w:eastAsia="仿宋" w:cs="仿宋"/>
          <w:sz w:val="30"/>
          <w:szCs w:val="30"/>
        </w:rPr>
        <w:t>年我们修改完善了相关财务管理的制度、规定，成立了财务监督小组，加强内部控制和监督。对各项资金的管理、经费收支审批等均做了明确规定，正确组织资金的筹集、调度和使用，债权债务及时结算、结清。各项经费支出实行限额把关、一支笔审批制度。严格执行上级关于“一把手不直接分管财务”的规定，安排一名副职领导分管财务。</w:t>
      </w:r>
    </w:p>
    <w:p>
      <w:pPr>
        <w:pStyle w:val="6"/>
        <w:keepNext w:val="0"/>
        <w:keepLines w:val="0"/>
        <w:widowControl/>
        <w:suppressLineNumbers w:val="0"/>
        <w:spacing w:before="360" w:beforeAutospacing="0" w:after="0" w:afterAutospacing="0" w:line="26" w:lineRule="atLeast"/>
        <w:ind w:left="0" w:right="0" w:firstLine="420"/>
        <w:jc w:val="both"/>
        <w:rPr>
          <w:rFonts w:hint="default" w:ascii="Arial" w:hAnsi="Arial" w:cs="Arial"/>
          <w:i w:val="0"/>
          <w:caps w:val="0"/>
          <w:color w:val="auto"/>
          <w:spacing w:val="0"/>
          <w:sz w:val="30"/>
          <w:szCs w:val="30"/>
          <w:shd w:val="clear" w:fill="FFFFFF"/>
          <w:lang w:val="en-US" w:eastAsia="zh-CN"/>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强化制度执行。切实做好厉行节约工作，全面落实各项管理制度要求，努力降低行政成本。严格公务接待费、差旅费、会议费和培训费审核审批程序，实行限额把关、一支笔审批制度，做到一事一公函、一事一审批、一事一结账，会议费和培训费严格按年初计划和制度规定的标准执行。各项费用严格履行“一单五签”程序，“三公”经费较好地控制在预算范围之内。</w:t>
      </w:r>
    </w:p>
    <w:p>
      <w:pPr>
        <w:pStyle w:val="17"/>
        <w:widowControl/>
        <w:numPr>
          <w:ilvl w:val="0"/>
          <w:numId w:val="2"/>
        </w:numPr>
        <w:tabs>
          <w:tab w:val="left" w:pos="3821"/>
        </w:tabs>
        <w:spacing w:line="600" w:lineRule="exact"/>
        <w:ind w:left="0" w:leftChars="0" w:firstLine="622" w:firstLineChars="200"/>
        <w:rPr>
          <w:rFonts w:hint="eastAsia" w:ascii="黑体" w:hAnsi="黑体" w:eastAsia="黑体"/>
          <w:sz w:val="32"/>
          <w:szCs w:val="32"/>
          <w:lang w:eastAsia="zh-CN"/>
        </w:rPr>
      </w:pPr>
      <w:r>
        <w:rPr>
          <w:rFonts w:hint="eastAsia" w:ascii="黑体" w:hAnsi="黑体" w:eastAsia="黑体"/>
          <w:sz w:val="32"/>
          <w:szCs w:val="32"/>
        </w:rPr>
        <w:t>基本支出情</w:t>
      </w:r>
      <w:r>
        <w:rPr>
          <w:rFonts w:hint="eastAsia" w:ascii="黑体" w:hAnsi="黑体" w:eastAsia="黑体"/>
          <w:sz w:val="32"/>
          <w:szCs w:val="32"/>
          <w:lang w:eastAsia="zh-CN"/>
        </w:rPr>
        <w:t>况</w:t>
      </w:r>
    </w:p>
    <w:p>
      <w:pPr>
        <w:pStyle w:val="17"/>
        <w:widowControl/>
        <w:numPr>
          <w:ilvl w:val="0"/>
          <w:numId w:val="0"/>
        </w:numPr>
        <w:tabs>
          <w:tab w:val="left" w:pos="3821"/>
        </w:tabs>
        <w:spacing w:line="600" w:lineRule="exact"/>
        <w:ind w:firstLine="582"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2020年部门决算基本支出总计</w:t>
      </w:r>
      <w:r>
        <w:rPr>
          <w:rFonts w:hint="eastAsia" w:ascii="仿宋" w:hAnsi="仿宋" w:eastAsia="仿宋" w:cs="仿宋"/>
          <w:i w:val="0"/>
          <w:caps w:val="0"/>
          <w:color w:val="auto"/>
          <w:spacing w:val="0"/>
          <w:kern w:val="0"/>
          <w:sz w:val="30"/>
          <w:szCs w:val="30"/>
          <w:shd w:val="clear" w:fill="FFFFFF"/>
          <w:lang w:val="en-US" w:eastAsia="zh-CN" w:bidi="ar"/>
        </w:rPr>
        <w:t>2664.79万</w:t>
      </w:r>
      <w:r>
        <w:rPr>
          <w:rFonts w:hint="eastAsia" w:ascii="仿宋" w:hAnsi="仿宋" w:eastAsia="仿宋" w:cs="仿宋"/>
          <w:b w:val="0"/>
          <w:bCs w:val="0"/>
          <w:sz w:val="30"/>
          <w:szCs w:val="30"/>
          <w:lang w:val="en-US" w:eastAsia="zh-CN"/>
        </w:rPr>
        <w:t>元，工资福利支出2318.65万元，其中基本工资853.95万元、津贴补贴285.51万元、奖金31万元、伙食补助费37.73万元、绩效工资498.62万元、机关单位养老保险266.34万元、职工基本医疗保险138万元、其他社会保障缴费4.44万元、住房公积金151.28万元、其他工资福利支出51.78万元；商品服务支出284.35万元，其中办公费17.1万元、印刷费35.9万元、水费28.77万元、电费27.29万元、差旅费2.61万元、维修（维护）费15.8万元、租赁费0.03万元、培训费0.59万元、公务接待费2.98万元、专用材料费0.85万元、劳务费6.32万元、委托业务费12.84万元、工会经费74.61万元、福利费5.34万元、其他交通费0.89万元、税金及附加费用17.75万元、其他商品和服务支出34.67万元；对个人和家庭补助支出56.32万元，其中生活补助2.15万元、医疗费补助2.15万元、助学金28.4万元、奖励金18.62万元、其他对个人和家庭补助支出5万元；</w:t>
      </w:r>
    </w:p>
    <w:p>
      <w:pPr>
        <w:pStyle w:val="17"/>
        <w:widowControl/>
        <w:spacing w:line="600" w:lineRule="exact"/>
        <w:ind w:firstLine="620"/>
        <w:rPr>
          <w:rFonts w:hint="eastAsia" w:ascii="黑体" w:hAnsi="黑体" w:eastAsia="黑体"/>
          <w:sz w:val="32"/>
          <w:szCs w:val="32"/>
          <w:lang w:eastAsia="zh-CN"/>
        </w:rPr>
      </w:pPr>
      <w:r>
        <w:rPr>
          <w:rFonts w:hint="eastAsia" w:ascii="黑体" w:hAnsi="黑体" w:eastAsia="黑体"/>
          <w:sz w:val="32"/>
          <w:szCs w:val="32"/>
        </w:rPr>
        <w:t>三、项目支出情况</w:t>
      </w:r>
    </w:p>
    <w:p>
      <w:pPr>
        <w:widowControl/>
        <w:spacing w:line="600" w:lineRule="exact"/>
        <w:ind w:firstLine="582" w:firstLineChars="200"/>
        <w:jc w:val="left"/>
        <w:rPr>
          <w:rFonts w:hint="default" w:ascii="仿宋_GB2312" w:hAnsi="黑体" w:eastAsia="仿宋_GB2312"/>
          <w:sz w:val="30"/>
          <w:szCs w:val="30"/>
          <w:lang w:val="en-US" w:eastAsia="zh-CN"/>
        </w:rPr>
      </w:pPr>
      <w:r>
        <w:rPr>
          <w:rFonts w:hint="eastAsia" w:ascii="仿宋_GB2312" w:hAnsi="黑体" w:eastAsia="仿宋_GB2312"/>
          <w:sz w:val="30"/>
          <w:szCs w:val="30"/>
          <w:lang w:val="en-US" w:eastAsia="zh-CN"/>
        </w:rPr>
        <w:t>（一）2020年专项资金分配安排和使用管理情况</w:t>
      </w:r>
    </w:p>
    <w:p>
      <w:pPr>
        <w:widowControl/>
        <w:spacing w:line="600" w:lineRule="exact"/>
        <w:ind w:firstLine="582" w:firstLineChars="200"/>
        <w:jc w:val="left"/>
        <w:rPr>
          <w:rFonts w:hint="eastAsia" w:ascii="仿宋_GB2312" w:hAnsi="黑体" w:eastAsia="仿宋_GB2312"/>
          <w:sz w:val="30"/>
          <w:szCs w:val="30"/>
          <w:lang w:val="en-US" w:eastAsia="zh-CN"/>
        </w:rPr>
      </w:pPr>
      <w:r>
        <w:rPr>
          <w:rFonts w:hint="eastAsia" w:ascii="仿宋_GB2312" w:hAnsi="黑体" w:eastAsia="仿宋_GB2312"/>
          <w:sz w:val="30"/>
          <w:szCs w:val="30"/>
          <w:lang w:val="en-US" w:eastAsia="zh-CN"/>
        </w:rPr>
        <w:t>1、2020年项目支出年初预算</w:t>
      </w:r>
      <w:r>
        <w:rPr>
          <w:rFonts w:hint="eastAsia" w:ascii="宋体" w:hAnsi="宋体" w:eastAsia="宋体" w:cs="宋体"/>
          <w:color w:val="000000"/>
          <w:sz w:val="30"/>
          <w:szCs w:val="30"/>
        </w:rPr>
        <w:t>131.76</w:t>
      </w:r>
      <w:r>
        <w:rPr>
          <w:rFonts w:hint="eastAsia" w:ascii="仿宋_GB2312" w:hAnsi="黑体" w:eastAsia="仿宋_GB2312"/>
          <w:sz w:val="30"/>
          <w:szCs w:val="30"/>
          <w:lang w:val="en-US" w:eastAsia="zh-CN"/>
        </w:rPr>
        <w:t>万元，主要项目包括为专项商品和服务支出（包含办公费、印刷费、水费、电费、差旅费、维修（护）费、培训费、公务接待费、公务用车运行维护费、其他交通费用、其他商品服务支出等），资本性支出（基本建设）以及资本性支出（包含办公设备购置、专用设备购置、大型修缮、其他基本建设支出以及其他资本性支出等）。</w:t>
      </w:r>
    </w:p>
    <w:p>
      <w:pPr>
        <w:widowControl/>
        <w:numPr>
          <w:ilvl w:val="0"/>
          <w:numId w:val="3"/>
        </w:numPr>
        <w:spacing w:line="600" w:lineRule="exact"/>
        <w:ind w:firstLine="582" w:firstLineChars="200"/>
        <w:jc w:val="left"/>
        <w:rPr>
          <w:rFonts w:hint="eastAsia" w:ascii="仿宋_GB2312" w:hAnsi="黑体" w:eastAsia="仿宋_GB2312"/>
          <w:sz w:val="30"/>
          <w:szCs w:val="30"/>
          <w:lang w:val="en-US" w:eastAsia="zh-CN"/>
        </w:rPr>
      </w:pPr>
      <w:r>
        <w:rPr>
          <w:rFonts w:hint="eastAsia" w:ascii="仿宋_GB2312" w:hAnsi="黑体" w:eastAsia="仿宋_GB2312"/>
          <w:sz w:val="30"/>
          <w:szCs w:val="30"/>
          <w:lang w:val="en-US" w:eastAsia="zh-CN"/>
        </w:rPr>
        <w:t>专项资金使用和管理情况</w:t>
      </w:r>
    </w:p>
    <w:p>
      <w:pPr>
        <w:widowControl/>
        <w:spacing w:line="600" w:lineRule="exact"/>
        <w:ind w:firstLine="582" w:firstLineChars="200"/>
        <w:jc w:val="left"/>
        <w:rPr>
          <w:rFonts w:hint="eastAsia" w:ascii="仿宋_GB2312" w:hAnsi="黑体" w:eastAsia="仿宋_GB2312"/>
          <w:sz w:val="30"/>
          <w:szCs w:val="30"/>
          <w:lang w:val="en-US" w:eastAsia="zh-CN"/>
        </w:rPr>
      </w:pPr>
      <w:r>
        <w:rPr>
          <w:rFonts w:hint="eastAsia" w:ascii="仿宋_GB2312" w:hAnsi="黑体" w:eastAsia="仿宋_GB2312"/>
          <w:sz w:val="30"/>
          <w:szCs w:val="30"/>
          <w:lang w:val="en-US" w:eastAsia="zh-CN"/>
        </w:rPr>
        <w:t>2020年工作经费专项资金年初预算</w:t>
      </w:r>
      <w:r>
        <w:rPr>
          <w:rFonts w:hint="eastAsia" w:ascii="宋体" w:hAnsi="宋体" w:eastAsia="宋体" w:cs="宋体"/>
          <w:color w:val="000000"/>
          <w:sz w:val="30"/>
          <w:szCs w:val="30"/>
        </w:rPr>
        <w:t>131.76</w:t>
      </w:r>
      <w:r>
        <w:rPr>
          <w:rFonts w:hint="eastAsia" w:ascii="仿宋_GB2312" w:hAnsi="黑体" w:eastAsia="仿宋_GB2312"/>
          <w:sz w:val="30"/>
          <w:szCs w:val="30"/>
          <w:lang w:val="en-US" w:eastAsia="zh-CN"/>
        </w:rPr>
        <w:t>万元，上年结转专项资金0元，本年项目支出财政拨款228.67万元，调整预算数228.67万元；决算项目支出228.67万元，商品服务支出42万元、资本性支出（基本建设）62.48万元、资本性支出124.19万元。年终结余0元。项目资金执行完成率100%。账务处理与决算项目统一设置为高中教育公用经费。</w:t>
      </w:r>
    </w:p>
    <w:p>
      <w:pPr>
        <w:widowControl/>
        <w:numPr>
          <w:ilvl w:val="0"/>
          <w:numId w:val="0"/>
        </w:numPr>
        <w:spacing w:line="600" w:lineRule="exact"/>
        <w:ind w:firstLine="582" w:firstLineChars="200"/>
        <w:jc w:val="left"/>
        <w:rPr>
          <w:rFonts w:hint="eastAsia" w:ascii="黑体" w:hAnsi="黑体" w:eastAsia="黑体"/>
          <w:sz w:val="32"/>
          <w:szCs w:val="32"/>
        </w:rPr>
      </w:pPr>
      <w:r>
        <w:rPr>
          <w:rFonts w:hint="eastAsia" w:ascii="仿宋_GB2312" w:hAnsi="黑体" w:eastAsia="仿宋_GB2312"/>
          <w:sz w:val="30"/>
          <w:szCs w:val="30"/>
          <w:lang w:val="en-US" w:eastAsia="zh-CN"/>
        </w:rPr>
        <w:t>（二）其他专项资金项目支出情况</w:t>
      </w:r>
    </w:p>
    <w:p>
      <w:pPr>
        <w:widowControl/>
        <w:numPr>
          <w:ilvl w:val="0"/>
          <w:numId w:val="0"/>
        </w:numPr>
        <w:spacing w:line="600" w:lineRule="exact"/>
        <w:ind w:firstLine="582" w:firstLineChars="200"/>
        <w:jc w:val="left"/>
        <w:rPr>
          <w:rFonts w:hint="eastAsia" w:ascii="黑体" w:hAnsi="黑体" w:eastAsia="黑体"/>
          <w:sz w:val="32"/>
          <w:szCs w:val="32"/>
        </w:rPr>
      </w:pPr>
      <w:r>
        <w:rPr>
          <w:rFonts w:hint="eastAsia" w:ascii="仿宋_GB2312" w:hAnsi="黑体" w:eastAsia="仿宋_GB2312"/>
          <w:sz w:val="30"/>
          <w:szCs w:val="30"/>
          <w:lang w:val="en-US" w:eastAsia="zh-CN"/>
        </w:rPr>
        <w:t>2020年无其他专项资金项目支出。</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四、部门整体支出绩效情况</w:t>
      </w:r>
    </w:p>
    <w:p>
      <w:pPr>
        <w:pStyle w:val="6"/>
        <w:keepNext w:val="0"/>
        <w:keepLines w:val="0"/>
        <w:widowControl/>
        <w:suppressLineNumbers w:val="0"/>
        <w:shd w:val="clear" w:fill="FFFFFF"/>
        <w:spacing w:before="360" w:beforeAutospacing="0" w:after="0" w:afterAutospacing="0" w:line="360" w:lineRule="atLeast"/>
        <w:ind w:left="0" w:right="0" w:firstLine="560"/>
        <w:jc w:val="both"/>
        <w:rPr>
          <w:rFonts w:hint="eastAsia" w:ascii="仿宋" w:hAnsi="仿宋" w:eastAsia="仿宋" w:cs="仿宋"/>
          <w:sz w:val="30"/>
          <w:szCs w:val="30"/>
          <w:shd w:val="clear" w:fill="FFFFFF"/>
          <w:lang w:eastAsia="zh-CN"/>
        </w:rPr>
      </w:pPr>
      <w:r>
        <w:rPr>
          <w:rFonts w:ascii="仿宋" w:hAnsi="仿宋" w:eastAsia="仿宋" w:cs="仿宋"/>
          <w:sz w:val="30"/>
          <w:szCs w:val="30"/>
          <w:shd w:val="clear" w:fill="FFFFFF"/>
        </w:rPr>
        <w:t>20</w:t>
      </w:r>
      <w:r>
        <w:rPr>
          <w:rFonts w:hint="eastAsia" w:ascii="仿宋" w:hAnsi="仿宋" w:eastAsia="仿宋" w:cs="仿宋"/>
          <w:sz w:val="30"/>
          <w:szCs w:val="30"/>
          <w:shd w:val="clear" w:fill="FFFFFF"/>
          <w:lang w:val="en-US" w:eastAsia="zh-CN"/>
        </w:rPr>
        <w:t>20</w:t>
      </w:r>
      <w:r>
        <w:rPr>
          <w:rFonts w:hint="eastAsia" w:ascii="仿宋" w:hAnsi="仿宋" w:eastAsia="仿宋" w:cs="仿宋"/>
          <w:sz w:val="30"/>
          <w:szCs w:val="30"/>
          <w:shd w:val="clear" w:fill="FFFFFF"/>
        </w:rPr>
        <w:t>年，我单位积极履职，强化管理，较好的完成了年度工作目标。通过加强预算收支管理，不断建立健全内部管理制度，梳理内部管理流程，部门整体支出管理水平得到提升。根据部门整体支出绩效评价指标体系，我单位201</w:t>
      </w:r>
      <w:r>
        <w:rPr>
          <w:rFonts w:hint="eastAsia" w:ascii="仿宋" w:hAnsi="仿宋" w:eastAsia="仿宋" w:cs="仿宋"/>
          <w:sz w:val="30"/>
          <w:szCs w:val="30"/>
          <w:shd w:val="clear" w:fill="FFFFFF"/>
          <w:lang w:val="en-US" w:eastAsia="zh-CN"/>
        </w:rPr>
        <w:t>9</w:t>
      </w:r>
      <w:r>
        <w:rPr>
          <w:rFonts w:hint="eastAsia" w:ascii="仿宋" w:hAnsi="仿宋" w:eastAsia="仿宋" w:cs="仿宋"/>
          <w:sz w:val="30"/>
          <w:szCs w:val="30"/>
          <w:shd w:val="clear" w:fill="FFFFFF"/>
        </w:rPr>
        <w:t>年度评价得分为</w:t>
      </w:r>
      <w:r>
        <w:rPr>
          <w:rFonts w:hint="eastAsia" w:ascii="仿宋" w:hAnsi="仿宋" w:eastAsia="仿宋" w:cs="仿宋"/>
          <w:color w:val="auto"/>
          <w:sz w:val="30"/>
          <w:szCs w:val="30"/>
          <w:shd w:val="clear" w:fill="FFFFFF"/>
          <w:lang w:val="en-US" w:eastAsia="zh-CN"/>
        </w:rPr>
        <w:t xml:space="preserve"> 85</w:t>
      </w:r>
      <w:r>
        <w:rPr>
          <w:rFonts w:hint="eastAsia" w:ascii="仿宋" w:hAnsi="仿宋" w:eastAsia="仿宋" w:cs="仿宋"/>
          <w:sz w:val="30"/>
          <w:szCs w:val="30"/>
          <w:shd w:val="clear" w:fill="FFFFFF"/>
          <w:lang w:val="en-US" w:eastAsia="zh-CN"/>
        </w:rPr>
        <w:t xml:space="preserve"> </w:t>
      </w:r>
      <w:r>
        <w:rPr>
          <w:rFonts w:hint="eastAsia" w:ascii="仿宋" w:hAnsi="仿宋" w:eastAsia="仿宋" w:cs="仿宋"/>
          <w:sz w:val="30"/>
          <w:szCs w:val="30"/>
          <w:shd w:val="clear" w:fill="FFFFFF"/>
        </w:rPr>
        <w:t>分。部门整体支出绩效情况</w:t>
      </w:r>
      <w:r>
        <w:rPr>
          <w:rFonts w:hint="eastAsia" w:ascii="仿宋" w:hAnsi="仿宋" w:eastAsia="仿宋" w:cs="仿宋"/>
          <w:sz w:val="30"/>
          <w:szCs w:val="30"/>
          <w:shd w:val="clear" w:fill="FFFFFF"/>
          <w:lang w:eastAsia="zh-CN"/>
        </w:rPr>
        <w:t>如下：</w:t>
      </w:r>
    </w:p>
    <w:tbl>
      <w:tblPr>
        <w:tblStyle w:val="7"/>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single" w:color="auto" w:sz="4" w:space="0"/>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1</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w:t>
            </w:r>
            <w:r>
              <w:rPr>
                <w:rFonts w:hint="eastAsia" w:eastAsia="仿宋_GB2312"/>
                <w:kern w:val="0"/>
                <w:sz w:val="20"/>
                <w:szCs w:val="20"/>
                <w:lang w:val="en-US" w:eastAsia="zh-CN"/>
              </w:rPr>
              <w:t>8</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w:t>
            </w:r>
            <w:r>
              <w:rPr>
                <w:rFonts w:hint="eastAsia" w:eastAsia="仿宋_GB2312"/>
                <w:kern w:val="0"/>
                <w:sz w:val="20"/>
                <w:szCs w:val="20"/>
                <w:lang w:val="en-US" w:eastAsia="zh-CN"/>
              </w:rPr>
              <w:t>8</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color w:val="auto"/>
                <w:kern w:val="0"/>
                <w:sz w:val="24"/>
                <w:lang w:val="en-US" w:eastAsia="zh-CN"/>
              </w:rPr>
              <w:t>0</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hint="default" w:eastAsia="仿宋_GB2312"/>
                <w:kern w:val="0"/>
                <w:sz w:val="20"/>
                <w:szCs w:val="20"/>
                <w:lang w:val="en-US" w:eastAsia="zh-CN"/>
              </w:rPr>
            </w:pPr>
            <w:r>
              <w:rPr>
                <w:rFonts w:hint="eastAsia" w:eastAsia="仿宋_GB2312"/>
                <w:kern w:val="0"/>
                <w:sz w:val="20"/>
                <w:szCs w:val="20"/>
              </w:rPr>
              <w:t>　</w:t>
            </w:r>
            <w:r>
              <w:rPr>
                <w:rFonts w:hint="eastAsia" w:eastAsia="仿宋_GB2312"/>
                <w:kern w:val="0"/>
                <w:sz w:val="20"/>
                <w:szCs w:val="20"/>
                <w:lang w:val="en-US" w:eastAsia="zh-CN"/>
              </w:rPr>
              <w:t>2019年重点民生项目“化解大班额”省定目标计划化解91个，至2019年12月止完成204个，完成率达224.17%。</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single" w:color="auto" w:sz="4" w:space="0"/>
              <w:left w:val="nil"/>
              <w:bottom w:val="nil"/>
              <w:right w:val="single" w:color="auto" w:sz="4" w:space="0"/>
            </w:tcBorders>
            <w:vAlign w:val="center"/>
          </w:tcPr>
          <w:p>
            <w:pPr>
              <w:widowControl/>
              <w:jc w:val="left"/>
              <w:rPr>
                <w:rFonts w:hint="default" w:eastAsia="宋体"/>
                <w:kern w:val="0"/>
                <w:sz w:val="24"/>
                <w:lang w:val="en-US" w:eastAsia="zh-CN"/>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single" w:color="auto" w:sz="4" w:space="0"/>
              <w:right w:val="single" w:color="auto" w:sz="4" w:space="0"/>
            </w:tcBorders>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Pr>
        <w:pStyle w:val="6"/>
        <w:keepNext w:val="0"/>
        <w:keepLines w:val="0"/>
        <w:widowControl/>
        <w:suppressLineNumbers w:val="0"/>
        <w:shd w:val="clear" w:fill="FFFFFF"/>
        <w:spacing w:before="360" w:beforeAutospacing="0" w:after="0" w:afterAutospacing="0" w:line="360" w:lineRule="atLeast"/>
        <w:ind w:left="0" w:right="0" w:firstLine="560"/>
        <w:jc w:val="both"/>
        <w:rPr>
          <w:rFonts w:hint="eastAsia" w:ascii="仿宋" w:hAnsi="仿宋" w:eastAsia="仿宋" w:cs="仿宋"/>
          <w:sz w:val="30"/>
          <w:szCs w:val="30"/>
          <w:shd w:val="clear" w:fill="FFFFFF"/>
          <w:lang w:val="en-US" w:eastAsia="zh-CN"/>
        </w:rPr>
      </w:pPr>
    </w:p>
    <w:p>
      <w:pPr>
        <w:widowControl/>
        <w:spacing w:line="600" w:lineRule="exact"/>
        <w:ind w:firstLine="622" w:firstLineChars="200"/>
        <w:jc w:val="left"/>
        <w:rPr>
          <w:rFonts w:ascii="黑体" w:hAnsi="黑体" w:eastAsia="黑体"/>
          <w:sz w:val="32"/>
          <w:szCs w:val="32"/>
        </w:rPr>
      </w:pPr>
      <w:r>
        <w:rPr>
          <w:rFonts w:hint="eastAsia" w:ascii="黑体" w:hAnsi="黑体" w:eastAsia="黑体"/>
          <w:sz w:val="32"/>
          <w:szCs w:val="32"/>
        </w:rPr>
        <w:t>五、存在的主要问题及下一步改进措施</w:t>
      </w:r>
    </w:p>
    <w:p>
      <w:pPr>
        <w:pStyle w:val="6"/>
        <w:keepNext w:val="0"/>
        <w:keepLines w:val="0"/>
        <w:widowControl/>
        <w:suppressLineNumbers w:val="0"/>
        <w:shd w:val="clear" w:fill="FFFFFF"/>
        <w:spacing w:before="360" w:beforeAutospacing="0" w:after="0" w:afterAutospacing="0" w:line="360" w:lineRule="atLeast"/>
        <w:ind w:left="0" w:right="0" w:firstLine="560"/>
        <w:jc w:val="both"/>
        <w:rPr>
          <w:rFonts w:hint="eastAsia" w:ascii="仿宋" w:hAnsi="仿宋" w:eastAsia="仿宋" w:cs="仿宋"/>
          <w:sz w:val="30"/>
          <w:szCs w:val="30"/>
          <w:shd w:val="clear" w:fill="FFFFFF"/>
        </w:rPr>
      </w:pPr>
      <w:r>
        <w:rPr>
          <w:rFonts w:ascii="仿宋" w:hAnsi="仿宋" w:eastAsia="仿宋" w:cs="仿宋"/>
          <w:sz w:val="30"/>
          <w:szCs w:val="30"/>
          <w:shd w:val="clear" w:fill="FFFFFF"/>
        </w:rPr>
        <w:t>1</w:t>
      </w:r>
      <w:r>
        <w:rPr>
          <w:rFonts w:hint="eastAsia" w:ascii="仿宋" w:hAnsi="仿宋" w:eastAsia="仿宋" w:cs="仿宋"/>
          <w:sz w:val="30"/>
          <w:szCs w:val="30"/>
          <w:shd w:val="clear" w:fill="FFFFFF"/>
        </w:rPr>
        <w:t>、细化预算编制工作，认真做好预算的编制。进一步加强单位内部机构各</w:t>
      </w:r>
      <w:r>
        <w:rPr>
          <w:rFonts w:hint="eastAsia" w:ascii="仿宋" w:hAnsi="仿宋" w:eastAsia="仿宋" w:cs="仿宋"/>
          <w:sz w:val="30"/>
          <w:szCs w:val="30"/>
          <w:shd w:val="clear" w:fill="FFFFFF"/>
          <w:lang w:eastAsia="zh-CN"/>
        </w:rPr>
        <w:t>部门</w:t>
      </w:r>
      <w:r>
        <w:rPr>
          <w:rFonts w:hint="eastAsia" w:ascii="仿宋" w:hAnsi="仿宋" w:eastAsia="仿宋" w:cs="仿宋"/>
          <w:sz w:val="30"/>
          <w:szCs w:val="30"/>
          <w:shd w:val="clear" w:fill="FFFFFF"/>
        </w:rPr>
        <w:t>的预算管理意识，严格按照预算编制的相关制度和要求进行预算编制。</w:t>
      </w:r>
    </w:p>
    <w:p>
      <w:pPr>
        <w:pStyle w:val="6"/>
        <w:keepNext w:val="0"/>
        <w:keepLines w:val="0"/>
        <w:widowControl/>
        <w:suppressLineNumbers w:val="0"/>
        <w:shd w:val="clear" w:fill="FFFFFF"/>
        <w:spacing w:before="360" w:beforeAutospacing="0" w:after="0" w:afterAutospacing="0" w:line="360" w:lineRule="atLeast"/>
        <w:ind w:left="0" w:right="0" w:firstLine="560"/>
        <w:jc w:val="both"/>
        <w:rPr>
          <w:rFonts w:hint="default" w:ascii="Times New Roman" w:hAnsi="Times New Roman" w:cs="Times New Roman"/>
          <w:sz w:val="30"/>
          <w:szCs w:val="30"/>
        </w:rPr>
      </w:pPr>
      <w:r>
        <w:rPr>
          <w:rFonts w:hint="eastAsia" w:ascii="仿宋" w:hAnsi="仿宋" w:eastAsia="仿宋" w:cs="仿宋"/>
          <w:sz w:val="30"/>
          <w:szCs w:val="30"/>
          <w:shd w:val="clear"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6"/>
        <w:keepNext w:val="0"/>
        <w:keepLines w:val="0"/>
        <w:widowControl/>
        <w:suppressLineNumbers w:val="0"/>
        <w:shd w:val="clear" w:fill="FFFFFF"/>
        <w:spacing w:before="360" w:beforeAutospacing="0" w:after="0" w:afterAutospacing="0" w:line="360" w:lineRule="atLeast"/>
        <w:ind w:left="0" w:right="0" w:firstLine="560"/>
        <w:jc w:val="both"/>
        <w:rPr>
          <w:rFonts w:hint="default" w:ascii="Times New Roman" w:hAnsi="Times New Roman" w:cs="Times New Roman"/>
          <w:sz w:val="30"/>
          <w:szCs w:val="30"/>
        </w:rPr>
      </w:pPr>
      <w:r>
        <w:rPr>
          <w:rFonts w:hint="eastAsia" w:ascii="仿宋" w:hAnsi="仿宋" w:eastAsia="仿宋" w:cs="仿宋"/>
          <w:sz w:val="30"/>
          <w:szCs w:val="30"/>
          <w:shd w:val="clear" w:fill="FFFFFF"/>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6"/>
        <w:keepNext w:val="0"/>
        <w:keepLines w:val="0"/>
        <w:widowControl/>
        <w:suppressLineNumbers w:val="0"/>
        <w:shd w:val="clear" w:fill="FFFFFF"/>
        <w:spacing w:before="360" w:beforeAutospacing="0" w:after="0" w:afterAutospacing="0" w:line="360" w:lineRule="atLeast"/>
        <w:ind w:left="0" w:right="0" w:firstLine="560"/>
        <w:jc w:val="both"/>
        <w:rPr>
          <w:rFonts w:hint="default" w:ascii="Times New Roman" w:hAnsi="Times New Roman" w:cs="Times New Roman"/>
          <w:sz w:val="30"/>
          <w:szCs w:val="30"/>
        </w:rPr>
      </w:pPr>
      <w:r>
        <w:rPr>
          <w:rFonts w:hint="eastAsia" w:ascii="仿宋" w:hAnsi="仿宋" w:eastAsia="仿宋" w:cs="仿宋"/>
          <w:sz w:val="30"/>
          <w:szCs w:val="30"/>
          <w:shd w:val="clear" w:fill="FFFFFF"/>
        </w:rPr>
        <w:t>4、对相关人员加强培训，特别是针对《预算法》、《行政事业单位会计制度》等学习培训，规范部门预算收支核算，切实提高部门预算收支管理水平</w:t>
      </w:r>
    </w:p>
    <w:p>
      <w:pPr>
        <w:widowControl/>
        <w:spacing w:line="600" w:lineRule="exact"/>
        <w:ind w:firstLine="622" w:firstLineChars="200"/>
        <w:jc w:val="left"/>
        <w:rPr>
          <w:rFonts w:ascii="仿宋_GB2312" w:hAnsi="黑体" w:eastAsia="仿宋_GB2312"/>
          <w:sz w:val="32"/>
          <w:szCs w:val="32"/>
        </w:rPr>
      </w:pPr>
    </w:p>
    <w:p>
      <w:pPr>
        <w:widowControl/>
        <w:numPr>
          <w:ilvl w:val="0"/>
          <w:numId w:val="4"/>
        </w:numPr>
        <w:spacing w:line="600" w:lineRule="exact"/>
        <w:ind w:firstLine="645"/>
        <w:jc w:val="left"/>
        <w:rPr>
          <w:rFonts w:hint="eastAsia" w:ascii="黑体" w:hAnsi="黑体" w:eastAsia="黑体"/>
          <w:sz w:val="32"/>
          <w:szCs w:val="32"/>
        </w:rPr>
      </w:pPr>
      <w:r>
        <w:rPr>
          <w:rFonts w:hint="eastAsia" w:ascii="黑体" w:hAnsi="黑体" w:eastAsia="黑体"/>
          <w:sz w:val="32"/>
          <w:szCs w:val="32"/>
        </w:rPr>
        <w:t>绩效自评结果拟应用和公开情况</w:t>
      </w:r>
    </w:p>
    <w:p>
      <w:pPr>
        <w:widowControl/>
        <w:numPr>
          <w:ilvl w:val="0"/>
          <w:numId w:val="0"/>
        </w:numPr>
        <w:spacing w:line="600" w:lineRule="exact"/>
        <w:ind w:firstLine="582"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eastAsia="zh-CN"/>
        </w:rPr>
        <w:t>绩效自评结果得分</w:t>
      </w:r>
      <w:r>
        <w:rPr>
          <w:rFonts w:hint="eastAsia" w:ascii="仿宋" w:hAnsi="仿宋" w:eastAsia="仿宋" w:cs="仿宋"/>
          <w:sz w:val="30"/>
          <w:szCs w:val="30"/>
          <w:lang w:val="en-US" w:eastAsia="zh-CN"/>
        </w:rPr>
        <w:t>85分，详细情况在衡山县教育局门户网站公示。</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七、其他需要说明的情况</w:t>
      </w:r>
    </w:p>
    <w:p>
      <w:pPr>
        <w:widowControl/>
        <w:spacing w:line="600" w:lineRule="exact"/>
        <w:ind w:firstLine="1266" w:firstLineChars="407"/>
        <w:jc w:val="left"/>
        <w:rPr>
          <w:rFonts w:hint="eastAsia" w:ascii="黑体" w:hAnsi="黑体" w:eastAsia="黑体"/>
          <w:sz w:val="32"/>
          <w:szCs w:val="32"/>
          <w:lang w:eastAsia="zh-CN"/>
        </w:rPr>
      </w:pPr>
      <w:r>
        <w:rPr>
          <w:rFonts w:hint="eastAsia" w:ascii="黑体" w:hAnsi="黑体" w:eastAsia="黑体"/>
          <w:sz w:val="32"/>
          <w:szCs w:val="32"/>
          <w:lang w:eastAsia="zh-CN"/>
        </w:rPr>
        <w:t>无</w:t>
      </w:r>
    </w:p>
    <w:p>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部门整体支出绩效评价指标评分表</w:t>
      </w:r>
    </w:p>
    <w:p>
      <w:pPr>
        <w:widowControl/>
        <w:spacing w:line="600" w:lineRule="exact"/>
        <w:ind w:firstLine="1580" w:firstLineChars="508"/>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部门整体支出绩效评价基础数据表</w:t>
      </w:r>
    </w:p>
    <w:p>
      <w:pPr>
        <w:widowControl/>
        <w:spacing w:line="600" w:lineRule="exact"/>
        <w:ind w:firstLine="1580" w:firstLineChars="508"/>
        <w:jc w:val="left"/>
      </w:pPr>
      <w:r>
        <w:rPr>
          <w:rFonts w:ascii="仿宋_GB2312" w:hAnsi="黑体" w:eastAsia="仿宋_GB2312"/>
          <w:sz w:val="32"/>
          <w:szCs w:val="32"/>
        </w:rPr>
        <w:t>3.20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年度县级专项资金绩效目标自评表</w:t>
      </w:r>
    </w:p>
    <w:p>
      <w:pPr>
        <w:spacing w:afterLines="100"/>
        <w:jc w:val="center"/>
        <w:rPr>
          <w:kern w:val="0"/>
          <w:sz w:val="24"/>
        </w:rPr>
      </w:pPr>
      <w:r>
        <w:rPr>
          <w:rFonts w:eastAsia="方正小标宋_GBK"/>
          <w:kern w:val="0"/>
          <w:sz w:val="36"/>
          <w:szCs w:val="36"/>
        </w:rPr>
        <w:br w:type="page"/>
      </w:r>
      <w:r>
        <w:rPr>
          <w:rFonts w:hint="eastAsia" w:eastAsia="方正小标宋_GBK"/>
          <w:kern w:val="0"/>
          <w:sz w:val="36"/>
          <w:szCs w:val="36"/>
        </w:rPr>
        <w:t>部门整体支出绩效评价指标评分表</w:t>
      </w:r>
    </w:p>
    <w:tbl>
      <w:tblPr>
        <w:tblStyle w:val="7"/>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1</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w:t>
            </w:r>
            <w:r>
              <w:rPr>
                <w:rFonts w:hint="eastAsia" w:eastAsia="仿宋_GB2312"/>
                <w:kern w:val="0"/>
                <w:sz w:val="20"/>
                <w:szCs w:val="20"/>
                <w:lang w:val="en-US" w:eastAsia="zh-CN"/>
              </w:rPr>
              <w:t>8</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w:t>
            </w:r>
            <w:r>
              <w:rPr>
                <w:rFonts w:hint="eastAsia" w:eastAsia="仿宋_GB2312"/>
                <w:kern w:val="0"/>
                <w:sz w:val="20"/>
                <w:szCs w:val="20"/>
                <w:lang w:val="en-US" w:eastAsia="zh-CN"/>
              </w:rPr>
              <w:t>8</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color w:val="auto"/>
                <w:kern w:val="0"/>
                <w:sz w:val="24"/>
                <w:lang w:val="en-US" w:eastAsia="zh-CN"/>
              </w:rPr>
              <w:t>0</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hint="eastAsia" w:eastAsia="仿宋_GB2312"/>
                <w:kern w:val="0"/>
                <w:sz w:val="20"/>
                <w:szCs w:val="20"/>
                <w:lang w:eastAsia="zh-CN"/>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hint="default" w:eastAsia="仿宋_GB2312"/>
                <w:kern w:val="0"/>
                <w:sz w:val="20"/>
                <w:szCs w:val="20"/>
                <w:lang w:val="en-US" w:eastAsia="zh-CN"/>
              </w:rPr>
            </w:pPr>
            <w:r>
              <w:rPr>
                <w:rFonts w:hint="eastAsia" w:eastAsia="仿宋_GB2312"/>
                <w:kern w:val="0"/>
                <w:sz w:val="20"/>
                <w:szCs w:val="20"/>
              </w:rPr>
              <w:t>　</w:t>
            </w:r>
            <w:r>
              <w:rPr>
                <w:rFonts w:hint="eastAsia" w:eastAsia="仿宋_GB2312"/>
                <w:kern w:val="0"/>
                <w:sz w:val="20"/>
                <w:szCs w:val="20"/>
                <w:lang w:val="en-US" w:eastAsia="zh-CN"/>
              </w:rPr>
              <w:t>2019年重点民生项目“化解大班额”省定目标计划化解91个，至2019年12月止完成204个，完成率达224.17%。</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rFonts w:hint="default" w:eastAsia="宋体"/>
                <w:kern w:val="0"/>
                <w:sz w:val="24"/>
                <w:lang w:val="en-US" w:eastAsia="zh-CN"/>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hint="eastAsia" w:eastAsia="仿宋_GB2312"/>
          <w:kern w:val="0"/>
          <w:sz w:val="24"/>
          <w:lang w:eastAsia="zh-CN"/>
        </w:rPr>
        <w:t>衡山县第二中学</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7"/>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auto"/>
                <w:kern w:val="0"/>
                <w:szCs w:val="21"/>
              </w:rPr>
            </w:pPr>
            <w:r>
              <w:rPr>
                <w:rFonts w:hint="eastAsia" w:eastAsia="仿宋_GB2312"/>
                <w:color w:val="auto"/>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color w:val="auto"/>
                <w:kern w:val="0"/>
                <w:szCs w:val="21"/>
              </w:rPr>
            </w:pPr>
            <w:r>
              <w:rPr>
                <w:rFonts w:hint="eastAsia" w:eastAsia="仿宋_GB2312"/>
                <w:b/>
                <w:bCs/>
                <w:color w:val="auto"/>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color w:val="auto"/>
                <w:kern w:val="0"/>
                <w:szCs w:val="21"/>
              </w:rPr>
            </w:pPr>
            <w:r>
              <w:rPr>
                <w:rFonts w:eastAsia="仿宋_GB2312"/>
                <w:b/>
                <w:bCs/>
                <w:color w:val="auto"/>
                <w:kern w:val="0"/>
                <w:szCs w:val="21"/>
              </w:rPr>
              <w:t>20</w:t>
            </w:r>
            <w:r>
              <w:rPr>
                <w:rFonts w:hint="eastAsia" w:eastAsia="仿宋_GB2312"/>
                <w:b/>
                <w:bCs/>
                <w:color w:val="auto"/>
                <w:kern w:val="0"/>
                <w:szCs w:val="21"/>
                <w:lang w:val="en-US" w:eastAsia="zh-CN"/>
              </w:rPr>
              <w:t>20</w:t>
            </w:r>
            <w:r>
              <w:rPr>
                <w:rFonts w:hint="eastAsia" w:eastAsia="仿宋_GB2312"/>
                <w:b/>
                <w:bCs/>
                <w:color w:val="auto"/>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color w:val="auto"/>
                <w:kern w:val="0"/>
                <w:szCs w:val="21"/>
              </w:rPr>
            </w:pPr>
            <w:r>
              <w:rPr>
                <w:rFonts w:hint="eastAsia" w:eastAsia="仿宋_GB2312"/>
                <w:b/>
                <w:bCs/>
                <w:color w:val="auto"/>
                <w:kern w:val="0"/>
                <w:szCs w:val="21"/>
              </w:rPr>
              <w:t>控制率</w:t>
            </w:r>
          </w:p>
        </w:tc>
      </w:tr>
      <w:tr>
        <w:tblPrEx>
          <w:tblCellMar>
            <w:top w:w="0" w:type="dxa"/>
            <w:left w:w="108" w:type="dxa"/>
            <w:bottom w:w="0" w:type="dxa"/>
            <w:right w:w="108" w:type="dxa"/>
          </w:tblCellMar>
        </w:tblPrEx>
        <w:trPr>
          <w:trHeight w:val="90"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rPr>
              <w:t>　</w:t>
            </w:r>
            <w:r>
              <w:rPr>
                <w:rFonts w:hint="eastAsia" w:eastAsia="仿宋_GB2312"/>
                <w:color w:val="auto"/>
                <w:kern w:val="0"/>
                <w:szCs w:val="21"/>
                <w:lang w:val="en-US" w:eastAsia="zh-CN"/>
              </w:rPr>
              <w:t>180</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173</w:t>
            </w:r>
            <w:r>
              <w:rPr>
                <w:rFonts w:hint="eastAsia" w:eastAsia="仿宋_GB2312"/>
                <w:color w:val="auto"/>
                <w:kern w:val="0"/>
                <w:szCs w:val="21"/>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100%</w:t>
            </w:r>
            <w:r>
              <w:rPr>
                <w:rFonts w:hint="eastAsia" w:eastAsia="仿宋_GB2312"/>
                <w:color w:val="auto"/>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Cs w:val="21"/>
              </w:rPr>
            </w:pPr>
            <w:r>
              <w:rPr>
                <w:rFonts w:hint="eastAsia" w:eastAsia="仿宋_GB2312"/>
                <w:color w:val="auto"/>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color w:val="auto"/>
                <w:kern w:val="0"/>
                <w:szCs w:val="21"/>
              </w:rPr>
            </w:pPr>
            <w:r>
              <w:rPr>
                <w:rFonts w:eastAsia="仿宋_GB2312"/>
                <w:b/>
                <w:bCs/>
                <w:color w:val="auto"/>
                <w:kern w:val="0"/>
                <w:szCs w:val="21"/>
              </w:rPr>
              <w:t>201</w:t>
            </w:r>
            <w:r>
              <w:rPr>
                <w:rFonts w:hint="eastAsia" w:eastAsia="仿宋_GB2312"/>
                <w:b/>
                <w:bCs/>
                <w:color w:val="auto"/>
                <w:kern w:val="0"/>
                <w:szCs w:val="21"/>
                <w:lang w:val="en-US" w:eastAsia="zh-CN"/>
              </w:rPr>
              <w:t>9</w:t>
            </w:r>
            <w:r>
              <w:rPr>
                <w:rFonts w:hint="eastAsia" w:eastAsia="仿宋_GB2312"/>
                <w:b/>
                <w:bCs/>
                <w:color w:val="auto"/>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color w:val="auto"/>
                <w:kern w:val="0"/>
                <w:szCs w:val="21"/>
              </w:rPr>
            </w:pPr>
            <w:r>
              <w:rPr>
                <w:rFonts w:eastAsia="仿宋_GB2312"/>
                <w:b/>
                <w:bCs/>
                <w:color w:val="auto"/>
                <w:kern w:val="0"/>
                <w:szCs w:val="21"/>
              </w:rPr>
              <w:t>20</w:t>
            </w:r>
            <w:r>
              <w:rPr>
                <w:rFonts w:hint="eastAsia" w:eastAsia="仿宋_GB2312"/>
                <w:b/>
                <w:bCs/>
                <w:color w:val="auto"/>
                <w:kern w:val="0"/>
                <w:szCs w:val="21"/>
                <w:lang w:val="en-US" w:eastAsia="zh-CN"/>
              </w:rPr>
              <w:t>20</w:t>
            </w:r>
            <w:r>
              <w:rPr>
                <w:rFonts w:hint="eastAsia" w:eastAsia="仿宋_GB2312"/>
                <w:b/>
                <w:bCs/>
                <w:color w:val="auto"/>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color w:val="auto"/>
                <w:kern w:val="0"/>
                <w:szCs w:val="21"/>
              </w:rPr>
            </w:pPr>
            <w:r>
              <w:rPr>
                <w:rFonts w:eastAsia="仿宋_GB2312"/>
                <w:b/>
                <w:bCs/>
                <w:color w:val="auto"/>
                <w:kern w:val="0"/>
                <w:szCs w:val="21"/>
              </w:rPr>
              <w:t>20</w:t>
            </w:r>
            <w:r>
              <w:rPr>
                <w:rFonts w:hint="eastAsia" w:eastAsia="仿宋_GB2312"/>
                <w:b/>
                <w:bCs/>
                <w:color w:val="auto"/>
                <w:kern w:val="0"/>
                <w:szCs w:val="21"/>
                <w:lang w:val="en-US" w:eastAsia="zh-CN"/>
              </w:rPr>
              <w:t>20</w:t>
            </w:r>
            <w:r>
              <w:rPr>
                <w:rFonts w:hint="eastAsia" w:eastAsia="仿宋_GB2312"/>
                <w:b/>
                <w:bCs/>
                <w:color w:val="auto"/>
                <w:kern w:val="0"/>
                <w:szCs w:val="21"/>
              </w:rPr>
              <w:t>年决算数</w:t>
            </w:r>
          </w:p>
        </w:tc>
      </w:tr>
      <w:tr>
        <w:tblPrEx>
          <w:tblCellMar>
            <w:top w:w="0" w:type="dxa"/>
            <w:left w:w="108" w:type="dxa"/>
            <w:bottom w:w="0" w:type="dxa"/>
            <w:right w:w="108" w:type="dxa"/>
          </w:tblCellMar>
        </w:tblPrEx>
        <w:trPr>
          <w:trHeight w:val="38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r>
              <w:rPr>
                <w:rFonts w:hint="eastAsia" w:eastAsia="仿宋_GB2312"/>
                <w:color w:val="auto"/>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5170.00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140000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29868</w:t>
            </w:r>
          </w:p>
        </w:tc>
      </w:tr>
      <w:tr>
        <w:tblPrEx>
          <w:tblCellMar>
            <w:top w:w="0" w:type="dxa"/>
            <w:left w:w="108" w:type="dxa"/>
            <w:bottom w:w="0" w:type="dxa"/>
            <w:right w:w="108" w:type="dxa"/>
          </w:tblCellMar>
        </w:tblPrEx>
        <w:trPr>
          <w:trHeight w:val="35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r>
              <w:rPr>
                <w:rFonts w:eastAsia="仿宋_GB2312"/>
                <w:color w:val="auto"/>
                <w:kern w:val="0"/>
                <w:szCs w:val="21"/>
              </w:rPr>
              <w:t xml:space="preserve">   1</w:t>
            </w:r>
            <w:r>
              <w:rPr>
                <w:rFonts w:hint="eastAsia" w:eastAsia="仿宋_GB2312"/>
                <w:color w:val="auto"/>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trHeight w:val="35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r>
              <w:rPr>
                <w:rFonts w:eastAsia="仿宋_GB2312"/>
                <w:color w:val="auto"/>
                <w:kern w:val="0"/>
                <w:szCs w:val="21"/>
              </w:rPr>
              <w:t xml:space="preserve">       </w:t>
            </w:r>
            <w:r>
              <w:rPr>
                <w:rFonts w:hint="eastAsia" w:eastAsia="仿宋_GB2312"/>
                <w:color w:val="auto"/>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trHeight w:val="33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r>
              <w:rPr>
                <w:rFonts w:eastAsia="仿宋_GB2312"/>
                <w:color w:val="auto"/>
                <w:kern w:val="0"/>
                <w:szCs w:val="21"/>
              </w:rPr>
              <w:t xml:space="preserve">             </w:t>
            </w:r>
            <w:r>
              <w:rPr>
                <w:rFonts w:hint="eastAsia" w:eastAsia="仿宋_GB2312"/>
                <w:color w:val="auto"/>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p>
        </w:tc>
      </w:tr>
      <w:tr>
        <w:tblPrEx>
          <w:tblCellMar>
            <w:top w:w="0" w:type="dxa"/>
            <w:left w:w="108" w:type="dxa"/>
            <w:bottom w:w="0" w:type="dxa"/>
            <w:right w:w="108" w:type="dxa"/>
          </w:tblCellMar>
        </w:tblPrEx>
        <w:trPr>
          <w:trHeight w:val="27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r>
              <w:rPr>
                <w:rFonts w:eastAsia="仿宋_GB2312"/>
                <w:color w:val="auto"/>
                <w:kern w:val="0"/>
                <w:szCs w:val="21"/>
              </w:rPr>
              <w:t xml:space="preserve">   2</w:t>
            </w:r>
            <w:r>
              <w:rPr>
                <w:rFonts w:hint="eastAsia" w:eastAsia="仿宋_GB2312"/>
                <w:color w:val="auto"/>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trHeight w:val="35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r>
              <w:rPr>
                <w:rFonts w:eastAsia="仿宋_GB2312"/>
                <w:color w:val="auto"/>
                <w:kern w:val="0"/>
                <w:szCs w:val="21"/>
              </w:rPr>
              <w:t xml:space="preserve">   3</w:t>
            </w:r>
            <w:r>
              <w:rPr>
                <w:rFonts w:hint="eastAsia" w:eastAsia="仿宋_GB2312"/>
                <w:color w:val="auto"/>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5170.00</w:t>
            </w:r>
            <w:r>
              <w:rPr>
                <w:rFonts w:hint="eastAsia" w:eastAsia="仿宋_GB2312"/>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140000.00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29868</w:t>
            </w:r>
          </w:p>
        </w:tc>
      </w:tr>
      <w:tr>
        <w:tblPrEx>
          <w:tblCellMar>
            <w:top w:w="0" w:type="dxa"/>
            <w:left w:w="108" w:type="dxa"/>
            <w:bottom w:w="0" w:type="dxa"/>
            <w:right w:w="108" w:type="dxa"/>
          </w:tblCellMar>
        </w:tblPrEx>
        <w:trPr>
          <w:trHeight w:val="31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r>
              <w:rPr>
                <w:rFonts w:hint="eastAsia" w:eastAsia="仿宋_GB2312"/>
                <w:color w:val="auto"/>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r>
              <w:rPr>
                <w:rFonts w:eastAsia="仿宋_GB2312"/>
                <w:color w:val="auto"/>
                <w:kern w:val="0"/>
                <w:szCs w:val="21"/>
              </w:rPr>
              <w:t xml:space="preserve">  1</w:t>
            </w:r>
            <w:r>
              <w:rPr>
                <w:rFonts w:hint="eastAsia" w:eastAsia="仿宋_GB2312"/>
                <w:color w:val="auto"/>
                <w:kern w:val="0"/>
                <w:szCs w:val="21"/>
              </w:rPr>
              <w:t>、业务工作专项</w:t>
            </w:r>
            <w:r>
              <w:rPr>
                <w:rFonts w:eastAsia="仿宋_GB2312"/>
                <w:color w:val="auto"/>
                <w:kern w:val="0"/>
                <w:szCs w:val="21"/>
              </w:rPr>
              <w:t>(</w:t>
            </w:r>
            <w:r>
              <w:rPr>
                <w:rFonts w:hint="eastAsia" w:eastAsia="仿宋_GB2312"/>
                <w:color w:val="auto"/>
                <w:kern w:val="0"/>
                <w:szCs w:val="21"/>
              </w:rPr>
              <w:t>一个项目一行</w:t>
            </w:r>
            <w:r>
              <w:rPr>
                <w:rFonts w:eastAsia="仿宋_GB2312"/>
                <w:color w:val="auto"/>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color w:val="auto"/>
                <w:kern w:val="0"/>
                <w:szCs w:val="21"/>
                <w:lang w:eastAsia="zh-CN"/>
              </w:rPr>
            </w:pPr>
            <w:r>
              <w:rPr>
                <w:rFonts w:hint="eastAsia" w:eastAsia="仿宋_GB2312"/>
                <w:color w:val="auto"/>
                <w:kern w:val="0"/>
                <w:szCs w:val="21"/>
              </w:rPr>
              <w:t>工作经费</w:t>
            </w:r>
            <w:r>
              <w:rPr>
                <w:rFonts w:hint="eastAsia" w:eastAsia="仿宋_GB2312"/>
                <w:color w:val="auto"/>
                <w:kern w:val="0"/>
                <w:szCs w:val="21"/>
                <w:lang w:eastAsia="zh-CN"/>
              </w:rPr>
              <w:t>专项：高中教育公用经费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1012900.00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1317600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2286729.56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r>
              <w:rPr>
                <w:rFonts w:eastAsia="仿宋_GB2312"/>
                <w:color w:val="auto"/>
                <w:kern w:val="0"/>
                <w:szCs w:val="21"/>
              </w:rPr>
              <w:t xml:space="preserve">  2</w:t>
            </w:r>
            <w:r>
              <w:rPr>
                <w:rFonts w:hint="eastAsia" w:eastAsia="仿宋_GB2312"/>
                <w:color w:val="auto"/>
                <w:kern w:val="0"/>
                <w:szCs w:val="21"/>
              </w:rPr>
              <w:t>、运行维护专项</w:t>
            </w:r>
            <w:r>
              <w:rPr>
                <w:rFonts w:eastAsia="仿宋_GB2312"/>
                <w:color w:val="auto"/>
                <w:kern w:val="0"/>
                <w:szCs w:val="21"/>
              </w:rPr>
              <w:t>(</w:t>
            </w:r>
            <w:r>
              <w:rPr>
                <w:rFonts w:hint="eastAsia" w:eastAsia="仿宋_GB2312"/>
                <w:color w:val="auto"/>
                <w:kern w:val="0"/>
                <w:szCs w:val="21"/>
              </w:rPr>
              <w:t>一个项目一行</w:t>
            </w:r>
            <w:r>
              <w:rPr>
                <w:rFonts w:eastAsia="仿宋_GB2312"/>
                <w:color w:val="auto"/>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r>
              <w:rPr>
                <w:rFonts w:hint="eastAsia" w:eastAsia="仿宋_GB2312"/>
                <w:color w:val="auto"/>
                <w:kern w:val="0"/>
                <w:szCs w:val="21"/>
              </w:rPr>
              <w:t>系统预留集中支付</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r>
              <w:rPr>
                <w:rFonts w:hint="eastAsia" w:eastAsia="仿宋_GB2312"/>
                <w:color w:val="auto"/>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3146165.33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3263488.92</w:t>
            </w:r>
          </w:p>
        </w:tc>
      </w:tr>
      <w:tr>
        <w:tblPrEx>
          <w:tblCellMar>
            <w:top w:w="0" w:type="dxa"/>
            <w:left w:w="108" w:type="dxa"/>
            <w:bottom w:w="0" w:type="dxa"/>
            <w:right w:w="108" w:type="dxa"/>
          </w:tblCellMar>
        </w:tblPrEx>
        <w:trPr>
          <w:trHeight w:val="3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r>
              <w:rPr>
                <w:rFonts w:eastAsia="仿宋_GB2312"/>
                <w:color w:val="auto"/>
                <w:kern w:val="0"/>
                <w:szCs w:val="21"/>
              </w:rPr>
              <w:t xml:space="preserve">    </w:t>
            </w:r>
            <w:r>
              <w:rPr>
                <w:rFonts w:hint="eastAsia" w:eastAsia="仿宋_GB2312"/>
                <w:color w:val="auto"/>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330574.00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268826.3</w:t>
            </w:r>
          </w:p>
        </w:tc>
      </w:tr>
      <w:tr>
        <w:tblPrEx>
          <w:tblCellMar>
            <w:top w:w="0" w:type="dxa"/>
            <w:left w:w="108" w:type="dxa"/>
            <w:bottom w:w="0" w:type="dxa"/>
            <w:right w:w="108" w:type="dxa"/>
          </w:tblCellMar>
        </w:tblPrEx>
        <w:trPr>
          <w:trHeight w:val="27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color w:val="auto"/>
                <w:kern w:val="0"/>
                <w:szCs w:val="21"/>
                <w:lang w:eastAsia="zh-CN"/>
              </w:rPr>
            </w:pPr>
            <w:r>
              <w:rPr>
                <w:rFonts w:eastAsia="仿宋_GB2312"/>
                <w:color w:val="auto"/>
                <w:kern w:val="0"/>
                <w:szCs w:val="21"/>
              </w:rPr>
              <w:t xml:space="preserve">          </w:t>
            </w:r>
            <w:r>
              <w:rPr>
                <w:rFonts w:hint="eastAsia" w:eastAsia="仿宋_GB2312"/>
                <w:color w:val="auto"/>
                <w:kern w:val="0"/>
                <w:szCs w:val="21"/>
                <w:lang w:eastAsia="zh-CN"/>
              </w:rPr>
              <w:t>公务接待费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5170.00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29868</w:t>
            </w:r>
          </w:p>
        </w:tc>
      </w:tr>
      <w:tr>
        <w:tblPrEx>
          <w:tblCellMar>
            <w:top w:w="0" w:type="dxa"/>
            <w:left w:w="108" w:type="dxa"/>
            <w:bottom w:w="0" w:type="dxa"/>
            <w:right w:w="108" w:type="dxa"/>
          </w:tblCellMar>
        </w:tblPrEx>
        <w:trPr>
          <w:trHeight w:val="29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color w:val="auto"/>
                <w:kern w:val="0"/>
                <w:szCs w:val="21"/>
                <w:lang w:val="en-US" w:eastAsia="zh-CN"/>
              </w:rPr>
            </w:pPr>
            <w:r>
              <w:rPr>
                <w:rFonts w:eastAsia="仿宋_GB2312"/>
                <w:color w:val="auto"/>
                <w:kern w:val="0"/>
                <w:szCs w:val="21"/>
              </w:rPr>
              <w:t xml:space="preserve"> </w:t>
            </w:r>
            <w:r>
              <w:rPr>
                <w:rFonts w:hint="eastAsia" w:eastAsia="仿宋_GB2312"/>
                <w:color w:val="auto"/>
                <w:kern w:val="0"/>
                <w:szCs w:val="21"/>
                <w:lang w:val="en-US" w:eastAsia="zh-CN"/>
              </w:rPr>
              <w:t xml:space="preserve">        </w:t>
            </w:r>
            <w:r>
              <w:rPr>
                <w:rFonts w:eastAsia="仿宋_GB2312"/>
                <w:color w:val="auto"/>
                <w:kern w:val="0"/>
                <w:szCs w:val="21"/>
              </w:rPr>
              <w:t xml:space="preserve"> </w:t>
            </w:r>
            <w:r>
              <w:rPr>
                <w:rFonts w:hint="eastAsia" w:eastAsia="仿宋_GB2312"/>
                <w:color w:val="auto"/>
                <w:kern w:val="0"/>
                <w:szCs w:val="21"/>
                <w:lang w:eastAsia="zh-CN"/>
              </w:rPr>
              <w:t>印刷费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434182.39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358994.84</w:t>
            </w:r>
          </w:p>
        </w:tc>
      </w:tr>
      <w:tr>
        <w:tblPrEx>
          <w:tblCellMar>
            <w:top w:w="0" w:type="dxa"/>
            <w:left w:w="108" w:type="dxa"/>
            <w:bottom w:w="0" w:type="dxa"/>
            <w:right w:w="108" w:type="dxa"/>
          </w:tblCellMar>
        </w:tblPrEx>
        <w:trPr>
          <w:trHeight w:val="29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hint="eastAsia" w:eastAsia="仿宋_GB2312"/>
                <w:color w:val="auto"/>
                <w:kern w:val="0"/>
                <w:szCs w:val="21"/>
                <w:lang w:eastAsia="zh-CN"/>
              </w:rPr>
            </w:pPr>
            <w:r>
              <w:rPr>
                <w:rFonts w:hint="eastAsia" w:eastAsia="仿宋_GB2312"/>
                <w:color w:val="auto"/>
                <w:kern w:val="0"/>
                <w:szCs w:val="21"/>
                <w:lang w:eastAsia="zh-CN"/>
              </w:rPr>
              <w:t>水费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362391.43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287661.59</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hint="eastAsia" w:eastAsia="仿宋_GB2312"/>
                <w:color w:val="auto"/>
                <w:kern w:val="0"/>
                <w:szCs w:val="21"/>
                <w:lang w:eastAsia="zh-CN"/>
              </w:rPr>
            </w:pPr>
            <w:r>
              <w:rPr>
                <w:rFonts w:hint="eastAsia" w:eastAsia="仿宋_GB2312"/>
                <w:color w:val="auto"/>
                <w:kern w:val="0"/>
                <w:szCs w:val="21"/>
                <w:lang w:eastAsia="zh-CN"/>
              </w:rPr>
              <w:t>电费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324469.88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272852.67</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hint="eastAsia" w:eastAsia="仿宋_GB2312"/>
                <w:color w:val="auto"/>
                <w:kern w:val="0"/>
                <w:szCs w:val="21"/>
                <w:lang w:eastAsia="zh-CN"/>
              </w:rPr>
            </w:pPr>
            <w:r>
              <w:rPr>
                <w:rFonts w:hint="eastAsia" w:eastAsia="仿宋_GB2312"/>
                <w:color w:val="auto"/>
                <w:kern w:val="0"/>
                <w:szCs w:val="21"/>
                <w:lang w:eastAsia="zh-CN"/>
              </w:rPr>
              <w:t>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63434.50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26072</w:t>
            </w:r>
          </w:p>
        </w:tc>
      </w:tr>
      <w:tr>
        <w:tblPrEx>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hint="eastAsia" w:eastAsia="仿宋_GB2312"/>
                <w:color w:val="auto"/>
                <w:kern w:val="0"/>
                <w:szCs w:val="21"/>
                <w:lang w:val="en-US" w:eastAsia="zh-CN"/>
              </w:rPr>
            </w:pPr>
            <w:r>
              <w:rPr>
                <w:rFonts w:hint="eastAsia" w:eastAsia="仿宋_GB2312"/>
                <w:color w:val="auto"/>
                <w:kern w:val="0"/>
                <w:szCs w:val="21"/>
                <w:lang w:eastAsia="zh-CN"/>
              </w:rPr>
              <w:t>其他交通费用</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8652.00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8970</w:t>
            </w:r>
          </w:p>
        </w:tc>
      </w:tr>
      <w:tr>
        <w:tblPrEx>
          <w:tblCellMar>
            <w:top w:w="0" w:type="dxa"/>
            <w:left w:w="108" w:type="dxa"/>
            <w:bottom w:w="0" w:type="dxa"/>
            <w:right w:w="108" w:type="dxa"/>
          </w:tblCellMar>
        </w:tblPrEx>
        <w:trPr>
          <w:trHeight w:val="29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hint="eastAsia" w:eastAsia="仿宋_GB2312"/>
                <w:color w:val="auto"/>
                <w:kern w:val="0"/>
                <w:szCs w:val="21"/>
                <w:lang w:eastAsia="zh-CN"/>
              </w:rPr>
            </w:pPr>
            <w:r>
              <w:rPr>
                <w:rFonts w:hint="eastAsia" w:eastAsia="仿宋_GB2312"/>
                <w:color w:val="auto"/>
                <w:kern w:val="0"/>
                <w:szCs w:val="21"/>
                <w:lang w:eastAsia="zh-CN"/>
              </w:rPr>
              <w:t>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15444.00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5856</w:t>
            </w:r>
          </w:p>
        </w:tc>
      </w:tr>
      <w:tr>
        <w:tblPrEx>
          <w:tblCellMar>
            <w:top w:w="0" w:type="dxa"/>
            <w:left w:w="108" w:type="dxa"/>
            <w:bottom w:w="0" w:type="dxa"/>
            <w:right w:w="108" w:type="dxa"/>
          </w:tblCellMar>
        </w:tblPrEx>
        <w:trPr>
          <w:trHeight w:val="29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color w:val="auto"/>
                <w:kern w:val="0"/>
                <w:szCs w:val="21"/>
                <w:lang w:val="en-US" w:eastAsia="zh-CN"/>
              </w:rPr>
            </w:pPr>
            <w:r>
              <w:rPr>
                <w:rFonts w:hint="eastAsia" w:eastAsia="仿宋_GB2312"/>
                <w:color w:val="auto"/>
                <w:kern w:val="0"/>
                <w:szCs w:val="21"/>
                <w:lang w:val="en-US" w:eastAsia="zh-CN"/>
              </w:rPr>
              <w:t>劳务费</w:t>
            </w:r>
            <w:r>
              <w:rPr>
                <w:rFonts w:hint="eastAsia" w:eastAsia="仿宋_GB2312"/>
                <w:color w:val="auto"/>
                <w:kern w:val="0"/>
                <w:szCs w:val="21"/>
                <w:lang w:eastAsia="zh-CN"/>
              </w:rPr>
              <w:t>、其他商品服务支出</w:t>
            </w:r>
            <w:r>
              <w:rPr>
                <w:rFonts w:hint="eastAsia" w:eastAsia="仿宋_GB2312"/>
                <w:color w:val="auto"/>
                <w:kern w:val="0"/>
                <w:szCs w:val="21"/>
                <w:lang w:val="en-US" w:eastAsia="zh-CN"/>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1601847.13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2004387.52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color w:val="auto"/>
                <w:kern w:val="0"/>
                <w:szCs w:val="21"/>
                <w:lang w:eastAsia="zh-CN"/>
              </w:rPr>
            </w:pPr>
            <w:r>
              <w:rPr>
                <w:rFonts w:hint="eastAsia" w:eastAsia="仿宋_GB2312"/>
                <w:color w:val="auto"/>
                <w:kern w:val="0"/>
                <w:szCs w:val="21"/>
              </w:rPr>
              <w:t>政府采购</w:t>
            </w:r>
            <w:r>
              <w:rPr>
                <w:rFonts w:hint="eastAsia" w:eastAsia="仿宋_GB2312"/>
                <w:color w:val="auto"/>
                <w:kern w:val="0"/>
                <w:szCs w:val="21"/>
                <w:lang w:eastAsia="zh-CN"/>
              </w:rPr>
              <w:t>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eastAsia="仿宋_GB2312"/>
                <w:color w:val="auto"/>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1530000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4192327.62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r>
              <w:rPr>
                <w:rFonts w:hint="eastAsia" w:eastAsia="仿宋_GB2312"/>
                <w:color w:val="auto"/>
                <w:kern w:val="0"/>
                <w:szCs w:val="21"/>
              </w:rPr>
              <w:t>部门基本支出预算调整</w:t>
            </w:r>
            <w:r>
              <w:rPr>
                <w:rFonts w:eastAsia="仿宋_GB2312"/>
                <w:color w:val="auto"/>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eastAsia="仿宋_GB2312"/>
                <w:color w:val="auto"/>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15627000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lang w:val="en-US" w:eastAsia="zh-CN"/>
              </w:rPr>
              <w:t>26647862.56</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Cs w:val="21"/>
              </w:rPr>
            </w:pPr>
            <w:r>
              <w:rPr>
                <w:rFonts w:hint="eastAsia" w:eastAsia="仿宋_GB2312"/>
                <w:color w:val="auto"/>
                <w:kern w:val="0"/>
                <w:szCs w:val="21"/>
              </w:rPr>
              <w:t>楼堂馆所控制情况</w:t>
            </w:r>
            <w:r>
              <w:rPr>
                <w:rFonts w:eastAsia="仿宋_GB2312"/>
                <w:color w:val="auto"/>
                <w:kern w:val="0"/>
                <w:szCs w:val="21"/>
              </w:rPr>
              <w:br w:type="textWrapping"/>
            </w:r>
            <w:r>
              <w:rPr>
                <w:rFonts w:hint="eastAsia" w:eastAsia="仿宋_GB2312"/>
                <w:color w:val="auto"/>
                <w:kern w:val="0"/>
                <w:szCs w:val="21"/>
              </w:rPr>
              <w:t>（</w:t>
            </w:r>
            <w:r>
              <w:rPr>
                <w:rFonts w:eastAsia="仿宋_GB2312"/>
                <w:color w:val="auto"/>
                <w:kern w:val="0"/>
                <w:szCs w:val="21"/>
              </w:rPr>
              <w:t>20</w:t>
            </w:r>
            <w:r>
              <w:rPr>
                <w:rFonts w:hint="eastAsia" w:eastAsia="仿宋_GB2312"/>
                <w:color w:val="auto"/>
                <w:kern w:val="0"/>
                <w:szCs w:val="21"/>
                <w:lang w:val="en-US" w:eastAsia="zh-CN"/>
              </w:rPr>
              <w:t>20</w:t>
            </w:r>
            <w:r>
              <w:rPr>
                <w:rFonts w:hint="eastAsia" w:eastAsia="仿宋_GB2312"/>
                <w:color w:val="auto"/>
                <w:kern w:val="0"/>
                <w:szCs w:val="21"/>
              </w:rPr>
              <w:t>年完工项目）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b/>
                <w:bCs/>
                <w:color w:val="auto"/>
                <w:kern w:val="0"/>
                <w:szCs w:val="21"/>
              </w:rPr>
            </w:pPr>
            <w:r>
              <w:rPr>
                <w:rFonts w:hint="eastAsia" w:eastAsia="仿宋_GB2312"/>
                <w:b/>
                <w:bCs/>
                <w:color w:val="auto"/>
                <w:kern w:val="0"/>
                <w:szCs w:val="21"/>
              </w:rPr>
              <w:t>批复规模</w:t>
            </w:r>
            <w:r>
              <w:rPr>
                <w:rFonts w:eastAsia="仿宋_GB2312"/>
                <w:b/>
                <w:bCs/>
                <w:color w:val="auto"/>
                <w:kern w:val="0"/>
                <w:szCs w:val="21"/>
              </w:rPr>
              <w:br w:type="textWrapping"/>
            </w:r>
            <w:r>
              <w:rPr>
                <w:rFonts w:hint="eastAsia" w:eastAsia="仿宋_GB2312"/>
                <w:b/>
                <w:bCs/>
                <w:color w:val="auto"/>
                <w:kern w:val="0"/>
                <w:szCs w:val="21"/>
              </w:rPr>
              <w:t>（</w:t>
            </w:r>
            <w:r>
              <w:rPr>
                <w:rFonts w:hint="eastAsia"/>
                <w:b/>
                <w:bCs/>
                <w:color w:val="auto"/>
                <w:kern w:val="0"/>
                <w:szCs w:val="21"/>
              </w:rPr>
              <w:t>㎡</w:t>
            </w:r>
            <w:r>
              <w:rPr>
                <w:rFonts w:hint="eastAsia" w:eastAsia="仿宋_GB2312"/>
                <w:b/>
                <w:bCs/>
                <w:color w:val="auto"/>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color w:val="auto"/>
                <w:kern w:val="0"/>
                <w:szCs w:val="21"/>
              </w:rPr>
            </w:pPr>
            <w:r>
              <w:rPr>
                <w:rFonts w:hint="eastAsia" w:eastAsia="仿宋_GB2312"/>
                <w:b/>
                <w:bCs/>
                <w:color w:val="auto"/>
                <w:kern w:val="0"/>
                <w:szCs w:val="21"/>
              </w:rPr>
              <w:t>实际规模（</w:t>
            </w:r>
            <w:r>
              <w:rPr>
                <w:rFonts w:hint="eastAsia"/>
                <w:b/>
                <w:bCs/>
                <w:color w:val="auto"/>
                <w:kern w:val="0"/>
                <w:szCs w:val="21"/>
              </w:rPr>
              <w:t>㎡</w:t>
            </w:r>
            <w:r>
              <w:rPr>
                <w:rFonts w:hint="eastAsia" w:eastAsia="仿宋_GB2312"/>
                <w:b/>
                <w:bCs/>
                <w:color w:val="auto"/>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color w:val="auto"/>
                <w:kern w:val="0"/>
                <w:szCs w:val="21"/>
              </w:rPr>
            </w:pPr>
            <w:r>
              <w:rPr>
                <w:rFonts w:hint="eastAsia" w:eastAsia="仿宋_GB2312"/>
                <w:b/>
                <w:bCs/>
                <w:color w:val="auto"/>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color w:val="auto"/>
                <w:kern w:val="0"/>
                <w:szCs w:val="21"/>
              </w:rPr>
            </w:pPr>
            <w:r>
              <w:rPr>
                <w:rFonts w:hint="eastAsia" w:eastAsia="仿宋_GB2312"/>
                <w:b/>
                <w:bCs/>
                <w:color w:val="auto"/>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color w:val="auto"/>
                <w:kern w:val="0"/>
                <w:szCs w:val="21"/>
              </w:rPr>
            </w:pPr>
            <w:r>
              <w:rPr>
                <w:rFonts w:hint="eastAsia" w:eastAsia="仿宋_GB2312"/>
                <w:b/>
                <w:bCs/>
                <w:color w:val="auto"/>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color w:val="auto"/>
                <w:kern w:val="0"/>
                <w:szCs w:val="21"/>
              </w:rPr>
            </w:pPr>
            <w:r>
              <w:rPr>
                <w:rFonts w:hint="eastAsia" w:eastAsia="仿宋_GB2312"/>
                <w:b/>
                <w:bCs/>
                <w:color w:val="auto"/>
                <w:kern w:val="0"/>
                <w:szCs w:val="21"/>
              </w:rPr>
              <w:t>投资概算控制率</w:t>
            </w:r>
          </w:p>
        </w:tc>
      </w:tr>
      <w:tr>
        <w:tblPrEx>
          <w:tblCellMar>
            <w:top w:w="0" w:type="dxa"/>
            <w:left w:w="108" w:type="dxa"/>
            <w:bottom w:w="0" w:type="dxa"/>
            <w:right w:w="108" w:type="dxa"/>
          </w:tblCellMar>
        </w:tblPrEx>
        <w:trPr>
          <w:trHeight w:val="33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lang w:val="en-US" w:eastAsia="zh-CN"/>
              </w:rPr>
            </w:pPr>
            <w:r>
              <w:rPr>
                <w:rFonts w:hint="eastAsia" w:eastAsia="仿宋_GB2312"/>
                <w:color w:val="auto"/>
                <w:kern w:val="0"/>
                <w:szCs w:val="21"/>
              </w:rPr>
              <w:t>　</w:t>
            </w:r>
            <w:r>
              <w:rPr>
                <w:rFonts w:hint="eastAsia" w:eastAsia="仿宋_GB2312"/>
                <w:color w:val="auto"/>
                <w:kern w:val="0"/>
                <w:szCs w:val="21"/>
                <w:lang w:val="en-US" w:eastAsia="zh-CN"/>
              </w:rPr>
              <w:t>0</w:t>
            </w:r>
          </w:p>
        </w:tc>
        <w:tc>
          <w:tcPr>
            <w:tcW w:w="849" w:type="dxa"/>
            <w:tcBorders>
              <w:top w:val="nil"/>
              <w:left w:val="nil"/>
              <w:bottom w:val="single" w:color="auto" w:sz="4" w:space="0"/>
              <w:right w:val="single" w:color="auto" w:sz="4" w:space="0"/>
            </w:tcBorders>
            <w:vAlign w:val="center"/>
          </w:tcPr>
          <w:p>
            <w:pPr>
              <w:widowControl/>
              <w:jc w:val="left"/>
              <w:rPr>
                <w:rFonts w:hint="eastAsia" w:eastAsia="仿宋_GB2312"/>
                <w:color w:val="auto"/>
                <w:kern w:val="0"/>
                <w:szCs w:val="21"/>
                <w:lang w:val="en-US" w:eastAsia="zh-CN"/>
              </w:rPr>
            </w:pPr>
            <w:r>
              <w:rPr>
                <w:rFonts w:hint="eastAsia" w:eastAsia="仿宋_GB2312"/>
                <w:color w:val="auto"/>
                <w:kern w:val="0"/>
                <w:szCs w:val="21"/>
              </w:rPr>
              <w:t>　</w:t>
            </w:r>
            <w:r>
              <w:rPr>
                <w:rFonts w:hint="eastAsia" w:eastAsia="仿宋_GB2312"/>
                <w:color w:val="auto"/>
                <w:kern w:val="0"/>
                <w:szCs w:val="21"/>
                <w:lang w:val="en-US" w:eastAsia="zh-CN"/>
              </w:rPr>
              <w:t>0</w:t>
            </w:r>
          </w:p>
        </w:tc>
        <w:tc>
          <w:tcPr>
            <w:tcW w:w="1129" w:type="dxa"/>
            <w:tcBorders>
              <w:top w:val="nil"/>
              <w:left w:val="nil"/>
              <w:bottom w:val="single" w:color="auto" w:sz="4" w:space="0"/>
              <w:right w:val="single" w:color="auto" w:sz="4" w:space="0"/>
            </w:tcBorders>
            <w:vAlign w:val="center"/>
          </w:tcPr>
          <w:p>
            <w:pPr>
              <w:widowControl/>
              <w:jc w:val="left"/>
              <w:rPr>
                <w:rFonts w:hint="eastAsia" w:eastAsia="仿宋_GB2312"/>
                <w:color w:val="auto"/>
                <w:kern w:val="0"/>
                <w:szCs w:val="21"/>
                <w:lang w:val="en-US" w:eastAsia="zh-CN"/>
              </w:rPr>
            </w:pPr>
            <w:r>
              <w:rPr>
                <w:rFonts w:hint="eastAsia" w:eastAsia="仿宋_GB2312"/>
                <w:color w:val="auto"/>
                <w:kern w:val="0"/>
                <w:szCs w:val="21"/>
              </w:rPr>
              <w:t>　</w:t>
            </w:r>
            <w:r>
              <w:rPr>
                <w:rFonts w:hint="eastAsia" w:eastAsia="仿宋_GB2312"/>
                <w:color w:val="auto"/>
                <w:kern w:val="0"/>
                <w:szCs w:val="21"/>
                <w:lang w:val="en-US" w:eastAsia="zh-CN"/>
              </w:rPr>
              <w:t>0</w:t>
            </w:r>
          </w:p>
        </w:tc>
        <w:tc>
          <w:tcPr>
            <w:tcW w:w="1111" w:type="dxa"/>
            <w:tcBorders>
              <w:top w:val="nil"/>
              <w:left w:val="nil"/>
              <w:bottom w:val="single" w:color="auto" w:sz="4" w:space="0"/>
              <w:right w:val="single" w:color="auto" w:sz="4" w:space="0"/>
            </w:tcBorders>
            <w:vAlign w:val="center"/>
          </w:tcPr>
          <w:p>
            <w:pPr>
              <w:widowControl/>
              <w:jc w:val="left"/>
              <w:rPr>
                <w:rFonts w:hint="eastAsia" w:eastAsia="仿宋_GB2312"/>
                <w:color w:val="auto"/>
                <w:kern w:val="0"/>
                <w:szCs w:val="21"/>
                <w:lang w:val="en-US" w:eastAsia="zh-CN"/>
              </w:rPr>
            </w:pPr>
            <w:r>
              <w:rPr>
                <w:rFonts w:hint="eastAsia" w:eastAsia="仿宋_GB2312"/>
                <w:color w:val="auto"/>
                <w:kern w:val="0"/>
                <w:szCs w:val="21"/>
              </w:rPr>
              <w:t>　</w:t>
            </w:r>
            <w:r>
              <w:rPr>
                <w:rFonts w:hint="eastAsia" w:eastAsia="仿宋_GB2312"/>
                <w:color w:val="auto"/>
                <w:kern w:val="0"/>
                <w:szCs w:val="21"/>
                <w:lang w:val="en-US" w:eastAsia="zh-CN"/>
              </w:rPr>
              <w:t>0</w:t>
            </w:r>
          </w:p>
        </w:tc>
        <w:tc>
          <w:tcPr>
            <w:tcW w:w="969" w:type="dxa"/>
            <w:tcBorders>
              <w:top w:val="nil"/>
              <w:left w:val="nil"/>
              <w:bottom w:val="single" w:color="auto" w:sz="4" w:space="0"/>
              <w:right w:val="single" w:color="auto" w:sz="4" w:space="0"/>
            </w:tcBorders>
            <w:vAlign w:val="center"/>
          </w:tcPr>
          <w:p>
            <w:pPr>
              <w:widowControl/>
              <w:jc w:val="left"/>
              <w:rPr>
                <w:rFonts w:hint="eastAsia" w:eastAsia="仿宋_GB2312"/>
                <w:color w:val="auto"/>
                <w:kern w:val="0"/>
                <w:szCs w:val="21"/>
                <w:lang w:val="en-US" w:eastAsia="zh-CN"/>
              </w:rPr>
            </w:pPr>
            <w:r>
              <w:rPr>
                <w:rFonts w:hint="eastAsia" w:eastAsia="仿宋_GB2312"/>
                <w:color w:val="auto"/>
                <w:kern w:val="0"/>
                <w:szCs w:val="21"/>
              </w:rPr>
              <w:t>　</w:t>
            </w:r>
            <w:r>
              <w:rPr>
                <w:rFonts w:hint="eastAsia" w:eastAsia="仿宋_GB2312"/>
                <w:color w:val="auto"/>
                <w:kern w:val="0"/>
                <w:szCs w:val="21"/>
                <w:lang w:val="en-US" w:eastAsia="zh-CN"/>
              </w:rPr>
              <w:t>0</w:t>
            </w:r>
          </w:p>
        </w:tc>
        <w:tc>
          <w:tcPr>
            <w:tcW w:w="863" w:type="dxa"/>
            <w:tcBorders>
              <w:top w:val="nil"/>
              <w:left w:val="nil"/>
              <w:bottom w:val="single" w:color="auto" w:sz="4" w:space="0"/>
              <w:right w:val="single" w:color="auto" w:sz="4" w:space="0"/>
            </w:tcBorders>
            <w:vAlign w:val="center"/>
          </w:tcPr>
          <w:p>
            <w:pPr>
              <w:widowControl/>
              <w:jc w:val="left"/>
              <w:rPr>
                <w:rFonts w:hint="eastAsia" w:eastAsia="仿宋_GB2312"/>
                <w:color w:val="auto"/>
                <w:kern w:val="0"/>
                <w:szCs w:val="21"/>
                <w:lang w:val="en-US" w:eastAsia="zh-CN"/>
              </w:rPr>
            </w:pPr>
            <w:r>
              <w:rPr>
                <w:rFonts w:hint="eastAsia" w:eastAsia="仿宋_GB2312"/>
                <w:color w:val="auto"/>
                <w:kern w:val="0"/>
                <w:szCs w:val="21"/>
              </w:rPr>
              <w:t>　</w:t>
            </w:r>
            <w:r>
              <w:rPr>
                <w:rFonts w:hint="eastAsia" w:eastAsia="仿宋_GB2312"/>
                <w:color w:val="auto"/>
                <w:kern w:val="0"/>
                <w:szCs w:val="21"/>
                <w:lang w:val="en-US" w:eastAsia="zh-CN"/>
              </w:rPr>
              <w:t>0</w:t>
            </w:r>
          </w:p>
        </w:tc>
      </w:tr>
      <w:tr>
        <w:tblPrEx>
          <w:tblCellMar>
            <w:top w:w="0" w:type="dxa"/>
            <w:left w:w="108" w:type="dxa"/>
            <w:bottom w:w="0" w:type="dxa"/>
            <w:right w:w="108" w:type="dxa"/>
          </w:tblCellMar>
        </w:tblPrEx>
        <w:trPr>
          <w:trHeight w:val="85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Cs w:val="21"/>
              </w:rPr>
            </w:pPr>
            <w:r>
              <w:rPr>
                <w:rFonts w:hint="eastAsia" w:eastAsia="仿宋_GB2312"/>
                <w:color w:val="auto"/>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ascii="仿宋" w:hAnsi="仿宋" w:eastAsia="仿宋" w:cs="仿宋"/>
                <w:color w:val="auto"/>
                <w:sz w:val="18"/>
                <w:szCs w:val="18"/>
                <w:shd w:val="clear" w:fill="FFFFFF"/>
              </w:rPr>
              <w:t>加强财务管理，严格财务审核。加强单位财务管理，健全单位财务管理制度体系，规范单位财务行为。在费用报账支付时，按照预算规定的费用项目和用途进行</w:t>
            </w:r>
            <w:r>
              <w:rPr>
                <w:rFonts w:hint="eastAsia" w:ascii="仿宋" w:hAnsi="仿宋" w:eastAsia="仿宋" w:cs="仿宋"/>
                <w:color w:val="auto"/>
                <w:sz w:val="18"/>
                <w:szCs w:val="18"/>
                <w:shd w:val="clear" w:fill="FFFFFF"/>
                <w:lang w:eastAsia="zh-CN"/>
              </w:rPr>
              <w:t>资</w:t>
            </w:r>
            <w:r>
              <w:rPr>
                <w:rFonts w:hint="eastAsia" w:ascii="仿宋" w:hAnsi="仿宋" w:eastAsia="仿宋" w:cs="仿宋"/>
                <w:color w:val="auto"/>
                <w:sz w:val="18"/>
                <w:szCs w:val="18"/>
                <w:shd w:val="clear" w:fill="FFFFFF"/>
              </w:rPr>
              <w:t>金使用审核、列报支付、财务核算，杜绝超支现象的发生。</w:t>
            </w:r>
            <w:r>
              <w:rPr>
                <w:rFonts w:hint="eastAsia" w:eastAsia="仿宋_GB2312"/>
                <w:color w:val="auto"/>
                <w:kern w:val="0"/>
                <w:sz w:val="18"/>
                <w:szCs w:val="18"/>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20</w:t>
      </w:r>
      <w:r>
        <w:rPr>
          <w:rFonts w:hint="eastAsia" w:ascii="方正小标宋_GBK" w:hAnsi="宋体" w:eastAsia="方正小标宋_GBK" w:cs="宋体"/>
          <w:kern w:val="0"/>
          <w:sz w:val="36"/>
          <w:szCs w:val="36"/>
        </w:rPr>
        <w:t>年度县级专项资金绩效目标自评表</w:t>
      </w:r>
    </w:p>
    <w:tbl>
      <w:tblPr>
        <w:tblStyle w:val="7"/>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lang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教育经费专项资金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仿宋" w:hAnsi="仿宋" w:eastAsia="仿宋" w:cs="仿宋"/>
                <w:kern w:val="0"/>
                <w:szCs w:val="21"/>
                <w:lang w:val="en-US" w:eastAsia="zh-CN"/>
              </w:rPr>
            </w:pPr>
            <w:r>
              <w:rPr>
                <w:rFonts w:hint="eastAsia" w:ascii="仿宋" w:hAnsi="仿宋" w:eastAsia="仿宋" w:cs="仿宋"/>
                <w:kern w:val="0"/>
                <w:szCs w:val="21"/>
                <w:lang w:eastAsia="zh-CN"/>
              </w:rPr>
              <w:t>陈淑贤</w:t>
            </w:r>
            <w:r>
              <w:rPr>
                <w:rFonts w:hint="eastAsia" w:ascii="仿宋" w:hAnsi="仿宋" w:eastAsia="仿宋" w:cs="仿宋"/>
                <w:kern w:val="0"/>
                <w:szCs w:val="21"/>
                <w:lang w:val="en-US" w:eastAsia="zh-CN"/>
              </w:rPr>
              <w:t>1318734****</w:t>
            </w:r>
            <w:bookmarkStart w:id="0" w:name="_GoBack"/>
            <w:bookmarkEnd w:id="0"/>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衡山县教育局</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仿宋" w:hAnsi="仿宋" w:eastAsia="仿宋" w:cs="仿宋"/>
                <w:kern w:val="0"/>
                <w:szCs w:val="21"/>
                <w:lang w:eastAsia="zh-CN"/>
              </w:rPr>
            </w:pPr>
            <w:r>
              <w:rPr>
                <w:rFonts w:hint="eastAsia" w:ascii="仿宋" w:hAnsi="仿宋" w:eastAsia="仿宋" w:cs="仿宋"/>
                <w:kern w:val="0"/>
                <w:szCs w:val="21"/>
              </w:rPr>
              <w:t>　</w:t>
            </w:r>
            <w:r>
              <w:rPr>
                <w:rFonts w:hint="eastAsia" w:ascii="仿宋" w:hAnsi="仿宋" w:eastAsia="仿宋" w:cs="仿宋"/>
                <w:kern w:val="0"/>
                <w:szCs w:val="21"/>
                <w:lang w:eastAsia="zh-CN"/>
              </w:rPr>
              <w:t>衡山县第二中学</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131.76</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228.67</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173.55%</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lang w:val="en-US"/>
              </w:rPr>
            </w:pPr>
            <w:r>
              <w:rPr>
                <w:rFonts w:hint="eastAsia" w:ascii="仿宋_GB2312" w:hAnsi="宋体" w:eastAsia="仿宋_GB2312" w:cs="宋体"/>
                <w:kern w:val="0"/>
                <w:szCs w:val="21"/>
                <w:lang w:val="en-US" w:eastAsia="zh-CN"/>
              </w:rPr>
              <w:t>65.88</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65.88</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lang w:val="en-US"/>
              </w:rPr>
            </w:pPr>
            <w:r>
              <w:rPr>
                <w:rFonts w:hint="eastAsia" w:ascii="仿宋_GB2312" w:hAnsi="宋体" w:eastAsia="仿宋_GB2312" w:cs="宋体"/>
                <w:kern w:val="0"/>
                <w:szCs w:val="21"/>
                <w:lang w:val="en-US" w:eastAsia="zh-CN"/>
              </w:rPr>
              <w:t>65.88</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162.79</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247.1%</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仿宋_GB2312" w:hAnsi="宋体" w:eastAsia="仿宋_GB2312" w:cs="宋体"/>
                <w:color w:val="auto"/>
                <w:kern w:val="0"/>
                <w:szCs w:val="21"/>
              </w:rPr>
              <w:t>年初设定目标</w:t>
            </w:r>
            <w:r>
              <w:rPr>
                <w:rFonts w:hint="eastAsia" w:ascii="宋体" w:hAnsi="宋体" w:cs="宋体"/>
                <w:color w:val="auto"/>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全年实际完成情况</w:t>
            </w:r>
          </w:p>
        </w:tc>
      </w:tr>
      <w:tr>
        <w:tblPrEx>
          <w:tblCellMar>
            <w:top w:w="0" w:type="dxa"/>
            <w:left w:w="108" w:type="dxa"/>
            <w:bottom w:w="0" w:type="dxa"/>
            <w:right w:w="108" w:type="dxa"/>
          </w:tblCellMar>
        </w:tblPrEx>
        <w:trPr>
          <w:trHeight w:val="38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color w:val="auto"/>
                <w:kern w:val="0"/>
                <w:szCs w:val="21"/>
                <w:lang w:val="en-US" w:eastAsia="zh-CN"/>
              </w:rPr>
            </w:pPr>
            <w:r>
              <w:rPr>
                <w:rFonts w:hint="eastAsia" w:ascii="宋体" w:cs="宋体"/>
                <w:color w:val="auto"/>
                <w:kern w:val="0"/>
                <w:szCs w:val="21"/>
                <w:lang w:val="en-US" w:eastAsia="zh-CN"/>
              </w:rPr>
              <w:t>改善学校办学条件、举办体育赛事、各项考试、举办教研活动、工会活动</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全部完成绩效目标并全部达标</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举办</w:t>
            </w:r>
            <w:r>
              <w:rPr>
                <w:rFonts w:hint="eastAsia" w:ascii="仿宋_GB2312" w:hAnsi="宋体" w:eastAsia="仿宋_GB2312" w:cs="宋体"/>
                <w:kern w:val="0"/>
                <w:szCs w:val="21"/>
                <w:lang w:val="en-US" w:eastAsia="zh-CN"/>
              </w:rPr>
              <w:t>体育赛事</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lang w:eastAsia="zh-CN"/>
              </w:rPr>
            </w:pPr>
            <w:r>
              <w:rPr>
                <w:rFonts w:hint="eastAsia" w:eastAsia="仿宋_GB2312"/>
                <w:lang w:val="en-US" w:eastAsia="zh-CN"/>
              </w:rPr>
              <w:t>2</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举办考试场次</w:t>
            </w:r>
          </w:p>
        </w:tc>
        <w:tc>
          <w:tcPr>
            <w:tcW w:w="1843"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1983"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改善办学条件学校所数</w:t>
            </w:r>
          </w:p>
        </w:tc>
        <w:tc>
          <w:tcPr>
            <w:tcW w:w="1843"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hint="eastAsia"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教研教改活动次数</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工会活动次数</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98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购置设备质量</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良好</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良好</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培训合格率</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6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赛事、考试举办成功率</w:t>
            </w:r>
          </w:p>
        </w:tc>
        <w:tc>
          <w:tcPr>
            <w:tcW w:w="1843"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5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赛事、考试举办时间</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根据上级部门规定时间准时举办</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根据上级部门规定时间准时举办</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设备配置时间</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学校开学前</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学校开学前</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工会活动举行时间</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根据上级部门规定时间</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根据上级部门规定时间</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设备购置成本</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通过招标符合市场价成本</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通过招标符合市场价成本</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举办赛事成本</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按市场劳务价格聘请工作人员</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按市场劳务价格聘请工作人员</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举办考试成本</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按市场劳务价格聘请工作人员</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按市场劳务价格聘请工作人员</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改善学校办学条件情况</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良好</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良好</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社会</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增加学校校舍面积</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平方米</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平方米</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无</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家长满意度</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Cs w:val="21"/>
              </w:rPr>
            </w:pPr>
            <w:r>
              <w:rPr>
                <w:rFonts w:hint="eastAsia"/>
              </w:rPr>
              <w:t>100%</w:t>
            </w:r>
          </w:p>
        </w:tc>
        <w:tc>
          <w:tcPr>
            <w:tcW w:w="1104"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1"/>
                <w:szCs w:val="21"/>
                <w:lang w:val="en-US" w:eastAsia="zh-CN" w:bidi="ar-SA"/>
              </w:rPr>
            </w:pPr>
            <w:r>
              <w:rPr>
                <w:rFonts w:hint="eastAsia"/>
              </w:rPr>
              <w:t>100%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9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学生满意度</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kern w:val="0"/>
                <w:szCs w:val="21"/>
              </w:rPr>
            </w:pPr>
            <w:r>
              <w:rPr>
                <w:rFonts w:hint="eastAsia"/>
              </w:rPr>
              <w:t>100%</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kern w:val="0"/>
                <w:sz w:val="21"/>
                <w:szCs w:val="21"/>
                <w:lang w:val="en-US" w:eastAsia="zh-CN" w:bidi="ar-SA"/>
              </w:rPr>
            </w:pPr>
            <w:r>
              <w:rPr>
                <w:rFonts w:hint="eastAsia"/>
              </w:rPr>
              <w:t>100%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群众满意度</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kern w:val="0"/>
                <w:szCs w:val="21"/>
              </w:rPr>
            </w:pPr>
            <w:r>
              <w:rPr>
                <w:rFonts w:hint="eastAsia"/>
              </w:rPr>
              <w:t>100%</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kern w:val="0"/>
                <w:sz w:val="21"/>
                <w:szCs w:val="21"/>
                <w:lang w:val="en-US" w:eastAsia="zh-CN" w:bidi="ar-SA"/>
              </w:rPr>
            </w:pPr>
            <w:r>
              <w:rPr>
                <w:rFonts w:hint="eastAsia"/>
              </w:rPr>
              <w:t>100%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sectPr>
      <w:footerReference r:id="rId3" w:type="default"/>
      <w:footerReference r:id="rId4" w:type="even"/>
      <w:pgSz w:w="11906" w:h="16838"/>
      <w:pgMar w:top="1559" w:right="1287" w:bottom="1440" w:left="1622" w:header="851" w:footer="1021" w:gutter="0"/>
      <w:cols w:space="425"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10</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3F2C7"/>
    <w:multiLevelType w:val="singleLevel"/>
    <w:tmpl w:val="3B73F2C7"/>
    <w:lvl w:ilvl="0" w:tentative="0">
      <w:start w:val="6"/>
      <w:numFmt w:val="chineseCounting"/>
      <w:suff w:val="nothing"/>
      <w:lvlText w:val="%1、"/>
      <w:lvlJc w:val="left"/>
      <w:rPr>
        <w:rFonts w:hint="eastAsia"/>
      </w:rPr>
    </w:lvl>
  </w:abstractNum>
  <w:abstractNum w:abstractNumId="1">
    <w:nsid w:val="5FED981E"/>
    <w:multiLevelType w:val="singleLevel"/>
    <w:tmpl w:val="5FED981E"/>
    <w:lvl w:ilvl="0" w:tentative="0">
      <w:start w:val="1"/>
      <w:numFmt w:val="chineseCounting"/>
      <w:suff w:val="nothing"/>
      <w:lvlText w:val="（%1）"/>
      <w:lvlJc w:val="left"/>
      <w:rPr>
        <w:rFonts w:hint="eastAsia"/>
      </w:rPr>
    </w:lvl>
  </w:abstractNum>
  <w:abstractNum w:abstractNumId="2">
    <w:nsid w:val="6B97BEFF"/>
    <w:multiLevelType w:val="singleLevel"/>
    <w:tmpl w:val="6B97BEFF"/>
    <w:lvl w:ilvl="0" w:tentative="0">
      <w:start w:val="1"/>
      <w:numFmt w:val="chineseCounting"/>
      <w:suff w:val="nothing"/>
      <w:lvlText w:val="%1、"/>
      <w:lvlJc w:val="left"/>
      <w:rPr>
        <w:rFonts w:hint="eastAsia"/>
      </w:rPr>
    </w:lvl>
  </w:abstractNum>
  <w:abstractNum w:abstractNumId="3">
    <w:nsid w:val="79F4EAD5"/>
    <w:multiLevelType w:val="singleLevel"/>
    <w:tmpl w:val="79F4EAD5"/>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08"/>
    <w:rsid w:val="0003350F"/>
    <w:rsid w:val="000C2790"/>
    <w:rsid w:val="00191481"/>
    <w:rsid w:val="00223AA5"/>
    <w:rsid w:val="003209DE"/>
    <w:rsid w:val="003963BE"/>
    <w:rsid w:val="00651D89"/>
    <w:rsid w:val="007961C3"/>
    <w:rsid w:val="009D4A2F"/>
    <w:rsid w:val="00AF3825"/>
    <w:rsid w:val="00BA4F96"/>
    <w:rsid w:val="00BF6095"/>
    <w:rsid w:val="00C43FE7"/>
    <w:rsid w:val="00CC3008"/>
    <w:rsid w:val="00DC6F3D"/>
    <w:rsid w:val="00E25E12"/>
    <w:rsid w:val="00ED2940"/>
    <w:rsid w:val="00EF2DF2"/>
    <w:rsid w:val="061B3BF0"/>
    <w:rsid w:val="077B6299"/>
    <w:rsid w:val="07DB3F4C"/>
    <w:rsid w:val="096B5405"/>
    <w:rsid w:val="11AB67B7"/>
    <w:rsid w:val="125D0A93"/>
    <w:rsid w:val="138F3B76"/>
    <w:rsid w:val="13985EC3"/>
    <w:rsid w:val="14747401"/>
    <w:rsid w:val="17D077E9"/>
    <w:rsid w:val="1C155FC4"/>
    <w:rsid w:val="1C5D4704"/>
    <w:rsid w:val="232B7868"/>
    <w:rsid w:val="23303087"/>
    <w:rsid w:val="23606D67"/>
    <w:rsid w:val="245F19F9"/>
    <w:rsid w:val="25386C2B"/>
    <w:rsid w:val="255C5E04"/>
    <w:rsid w:val="2711178D"/>
    <w:rsid w:val="281B7368"/>
    <w:rsid w:val="281F7A11"/>
    <w:rsid w:val="2A36626A"/>
    <w:rsid w:val="2E9735C0"/>
    <w:rsid w:val="33FF6F9B"/>
    <w:rsid w:val="37B61464"/>
    <w:rsid w:val="3BC57C1B"/>
    <w:rsid w:val="3D0475C5"/>
    <w:rsid w:val="485F745F"/>
    <w:rsid w:val="4AC965F6"/>
    <w:rsid w:val="4C245F3A"/>
    <w:rsid w:val="4F846A62"/>
    <w:rsid w:val="4FF4617A"/>
    <w:rsid w:val="52F62D1C"/>
    <w:rsid w:val="53B4262C"/>
    <w:rsid w:val="574F7636"/>
    <w:rsid w:val="57F81BF3"/>
    <w:rsid w:val="5A360F6C"/>
    <w:rsid w:val="5B1641C0"/>
    <w:rsid w:val="5B2E70FD"/>
    <w:rsid w:val="5D1C3E87"/>
    <w:rsid w:val="60484B86"/>
    <w:rsid w:val="642E4EF4"/>
    <w:rsid w:val="653C7A0E"/>
    <w:rsid w:val="6720159C"/>
    <w:rsid w:val="6B68633A"/>
    <w:rsid w:val="6C5B4F54"/>
    <w:rsid w:val="6DF2482F"/>
    <w:rsid w:val="6EB839F2"/>
    <w:rsid w:val="71F26F56"/>
    <w:rsid w:val="720732BC"/>
    <w:rsid w:val="73310387"/>
    <w:rsid w:val="73856DD3"/>
    <w:rsid w:val="76205651"/>
    <w:rsid w:val="772A088A"/>
    <w:rsid w:val="783B7397"/>
    <w:rsid w:val="7CF6398C"/>
    <w:rsid w:val="7D003A19"/>
    <w:rsid w:val="7DF841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ody Text"/>
    <w:basedOn w:val="1"/>
    <w:link w:val="15"/>
    <w:qFormat/>
    <w:uiPriority w:val="99"/>
    <w:rPr>
      <w:sz w:val="32"/>
    </w:rPr>
  </w:style>
  <w:style w:type="paragraph" w:styleId="4">
    <w:name w:val="Balloon Text"/>
    <w:basedOn w:val="1"/>
    <w:link w:val="19"/>
    <w:semiHidden/>
    <w:qFormat/>
    <w:locked/>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Normal (Web)"/>
    <w:basedOn w:val="1"/>
    <w:semiHidden/>
    <w:unhideWhenUsed/>
    <w:qFormat/>
    <w:lock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9">
    <w:name w:val="page number"/>
    <w:basedOn w:val="8"/>
    <w:qFormat/>
    <w:uiPriority w:val="99"/>
    <w:rPr>
      <w:rFonts w:cs="Times New Roman"/>
    </w:rPr>
  </w:style>
  <w:style w:type="character" w:styleId="10">
    <w:name w:val="FollowedHyperlink"/>
    <w:basedOn w:val="8"/>
    <w:semiHidden/>
    <w:unhideWhenUsed/>
    <w:qFormat/>
    <w:locked/>
    <w:uiPriority w:val="99"/>
    <w:rPr>
      <w:color w:val="333333"/>
      <w:u w:val="none"/>
    </w:rPr>
  </w:style>
  <w:style w:type="character" w:styleId="11">
    <w:name w:val="Emphasis"/>
    <w:basedOn w:val="8"/>
    <w:qFormat/>
    <w:locked/>
    <w:uiPriority w:val="20"/>
    <w:rPr>
      <w:rFonts w:ascii="微软雅黑" w:hAnsi="微软雅黑" w:eastAsia="微软雅黑" w:cs="微软雅黑"/>
    </w:rPr>
  </w:style>
  <w:style w:type="character" w:styleId="12">
    <w:name w:val="Hyperlink"/>
    <w:basedOn w:val="8"/>
    <w:semiHidden/>
    <w:unhideWhenUsed/>
    <w:qFormat/>
    <w:locked/>
    <w:uiPriority w:val="99"/>
    <w:rPr>
      <w:color w:val="333333"/>
      <w:u w:val="none"/>
    </w:rPr>
  </w:style>
  <w:style w:type="character" w:styleId="13">
    <w:name w:val="annotation reference"/>
    <w:basedOn w:val="8"/>
    <w:qFormat/>
    <w:uiPriority w:val="99"/>
    <w:rPr>
      <w:rFonts w:cs="Times New Roman"/>
      <w:sz w:val="21"/>
      <w:szCs w:val="21"/>
    </w:rPr>
  </w:style>
  <w:style w:type="character" w:customStyle="1" w:styleId="14">
    <w:name w:val="Comment Text Char"/>
    <w:basedOn w:val="8"/>
    <w:link w:val="2"/>
    <w:semiHidden/>
    <w:qFormat/>
    <w:locked/>
    <w:uiPriority w:val="99"/>
    <w:rPr>
      <w:rFonts w:cs="Times New Roman"/>
      <w:sz w:val="24"/>
      <w:szCs w:val="24"/>
    </w:rPr>
  </w:style>
  <w:style w:type="character" w:customStyle="1" w:styleId="15">
    <w:name w:val="Body Text Char"/>
    <w:basedOn w:val="8"/>
    <w:link w:val="3"/>
    <w:semiHidden/>
    <w:qFormat/>
    <w:locked/>
    <w:uiPriority w:val="99"/>
    <w:rPr>
      <w:rFonts w:cs="Times New Roman"/>
      <w:sz w:val="24"/>
      <w:szCs w:val="24"/>
    </w:rPr>
  </w:style>
  <w:style w:type="paragraph" w:customStyle="1" w:styleId="16">
    <w:name w:val="列出段落1"/>
    <w:basedOn w:val="1"/>
    <w:qFormat/>
    <w:uiPriority w:val="99"/>
    <w:pPr>
      <w:ind w:firstLine="420" w:firstLineChars="200"/>
    </w:pPr>
  </w:style>
  <w:style w:type="paragraph" w:styleId="17">
    <w:name w:val="List Paragraph"/>
    <w:basedOn w:val="1"/>
    <w:qFormat/>
    <w:uiPriority w:val="99"/>
    <w:pPr>
      <w:ind w:firstLine="420" w:firstLineChars="200"/>
    </w:pPr>
  </w:style>
  <w:style w:type="character" w:customStyle="1" w:styleId="18">
    <w:name w:val="Footer Char"/>
    <w:basedOn w:val="8"/>
    <w:link w:val="5"/>
    <w:semiHidden/>
    <w:qFormat/>
    <w:locked/>
    <w:uiPriority w:val="99"/>
    <w:rPr>
      <w:rFonts w:cs="Times New Roman"/>
      <w:sz w:val="18"/>
      <w:szCs w:val="18"/>
    </w:rPr>
  </w:style>
  <w:style w:type="character" w:customStyle="1" w:styleId="19">
    <w:name w:val="Balloon Text Char"/>
    <w:basedOn w:val="8"/>
    <w:link w:val="4"/>
    <w:semiHidden/>
    <w:qFormat/>
    <w:uiPriority w:val="99"/>
    <w:rPr>
      <w:sz w:val="0"/>
      <w:szCs w:val="0"/>
    </w:rPr>
  </w:style>
  <w:style w:type="character" w:customStyle="1" w:styleId="20">
    <w:name w:val="wx-space"/>
    <w:basedOn w:val="8"/>
    <w:qFormat/>
    <w:uiPriority w:val="0"/>
  </w:style>
  <w:style w:type="character" w:customStyle="1" w:styleId="21">
    <w:name w:val="wx-space1"/>
    <w:basedOn w:val="8"/>
    <w:qFormat/>
    <w:uiPriority w:val="0"/>
  </w:style>
  <w:style w:type="character" w:customStyle="1" w:styleId="22">
    <w:name w:val="after"/>
    <w:basedOn w:val="8"/>
    <w:qFormat/>
    <w:uiPriority w:val="0"/>
    <w:rPr>
      <w:shd w:val="clear" w:fill="FFFFFF"/>
    </w:rPr>
  </w:style>
  <w:style w:type="character" w:customStyle="1" w:styleId="23">
    <w:name w:val="last"/>
    <w:basedOn w:val="8"/>
    <w:qFormat/>
    <w:uiPriority w:val="0"/>
  </w:style>
  <w:style w:type="character" w:customStyle="1" w:styleId="24">
    <w:name w:val="hover20"/>
    <w:basedOn w:val="8"/>
    <w:qFormat/>
    <w:uiPriority w:val="0"/>
    <w:rPr>
      <w:color w:val="000000"/>
      <w:shd w:val="clear" w:fill="FFFFFF"/>
    </w:rPr>
  </w:style>
  <w:style w:type="character" w:customStyle="1" w:styleId="25">
    <w:name w:val="text"/>
    <w:basedOn w:val="8"/>
    <w:qFormat/>
    <w:uiPriority w:val="0"/>
    <w:rPr>
      <w:color w:val="666666"/>
    </w:rPr>
  </w:style>
  <w:style w:type="character" w:customStyle="1" w:styleId="26">
    <w:name w:val="a1"/>
    <w:basedOn w:val="8"/>
    <w:qFormat/>
    <w:uiPriority w:val="0"/>
  </w:style>
  <w:style w:type="character" w:customStyle="1" w:styleId="27">
    <w:name w:val="hover29"/>
    <w:basedOn w:val="8"/>
    <w:qFormat/>
    <w:uiPriority w:val="0"/>
    <w:rPr>
      <w:color w:val="000000"/>
      <w:shd w:val="clear" w:fill="FFFFFF"/>
    </w:rPr>
  </w:style>
  <w:style w:type="character" w:customStyle="1" w:styleId="28">
    <w:name w:val="n4"/>
    <w:basedOn w:val="8"/>
    <w:qFormat/>
    <w:uiPriority w:val="0"/>
  </w:style>
  <w:style w:type="character" w:customStyle="1" w:styleId="29">
    <w:name w:val="a2"/>
    <w:basedOn w:val="8"/>
    <w:qFormat/>
    <w:uiPriority w:val="0"/>
  </w:style>
  <w:style w:type="character" w:customStyle="1" w:styleId="30">
    <w:name w:val="a4"/>
    <w:basedOn w:val="8"/>
    <w:qFormat/>
    <w:uiPriority w:val="0"/>
  </w:style>
  <w:style w:type="character" w:customStyle="1" w:styleId="31">
    <w:name w:val="a3"/>
    <w:basedOn w:val="8"/>
    <w:qFormat/>
    <w:uiPriority w:val="0"/>
  </w:style>
  <w:style w:type="character" w:customStyle="1" w:styleId="32">
    <w:name w:val="n5"/>
    <w:basedOn w:val="8"/>
    <w:qFormat/>
    <w:uiPriority w:val="0"/>
  </w:style>
  <w:style w:type="character" w:customStyle="1" w:styleId="33">
    <w:name w:val="n1"/>
    <w:basedOn w:val="8"/>
    <w:qFormat/>
    <w:uiPriority w:val="0"/>
  </w:style>
  <w:style w:type="character" w:customStyle="1" w:styleId="34">
    <w:name w:val="n2"/>
    <w:basedOn w:val="8"/>
    <w:qFormat/>
    <w:uiPriority w:val="0"/>
  </w:style>
  <w:style w:type="character" w:customStyle="1" w:styleId="35">
    <w:name w:val="n3"/>
    <w:basedOn w:val="8"/>
    <w:qFormat/>
    <w:uiPriority w:val="0"/>
  </w:style>
  <w:style w:type="character" w:customStyle="1" w:styleId="36">
    <w:name w:val="line"/>
    <w:basedOn w:val="8"/>
    <w:qFormat/>
    <w:uiPriority w:val="0"/>
  </w:style>
  <w:style w:type="character" w:customStyle="1" w:styleId="37">
    <w:name w:val="line1"/>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901</Words>
  <Characters>5139</Characters>
  <Lines>0</Lines>
  <Paragraphs>0</Paragraphs>
  <TotalTime>41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A。鷰子（湖南绿通蔬菜配送）</cp:lastModifiedBy>
  <cp:lastPrinted>2020-09-17T07:12:00Z</cp:lastPrinted>
  <dcterms:modified xsi:type="dcterms:W3CDTF">2022-03-01T06:36:21Z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86B5E57423F34A42B1A98E9080E3F359</vt:lpwstr>
  </property>
</Properties>
</file>