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填报单位：</w:t>
      </w:r>
      <w:r>
        <w:rPr>
          <w:rFonts w:hint="eastAsia" w:eastAsia="仿宋_GB2312"/>
          <w:kern w:val="0"/>
          <w:sz w:val="24"/>
          <w:lang w:eastAsia="zh-CN"/>
        </w:rPr>
        <w:t>衡山县</w:t>
      </w:r>
      <w:r>
        <w:rPr>
          <w:rFonts w:hint="eastAsia" w:eastAsia="仿宋_GB2312"/>
          <w:kern w:val="0"/>
          <w:sz w:val="24"/>
          <w:lang w:val="en-US" w:eastAsia="zh-CN"/>
        </w:rPr>
        <w:t>基层学校财务集中核算中心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Style w:val="2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  <w:lang w:eastAsia="zh-CN"/>
              </w:rPr>
              <w:t>2021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113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106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rPr>
          <w:trHeight w:val="34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  <w:lang w:eastAsia="zh-CN"/>
              </w:rPr>
              <w:t>2021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  <w:lang w:eastAsia="zh-CN"/>
              </w:rPr>
              <w:t>2021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31.96万元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64.4万元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30.4万元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1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   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         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2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3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31.96万元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64.4万元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30.4万元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1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、业务工作专项</w:t>
            </w:r>
            <w:r>
              <w:rPr>
                <w:rFonts w:eastAsia="仿宋_GB2312"/>
                <w:color w:val="auto"/>
                <w:kern w:val="0"/>
                <w:szCs w:val="21"/>
              </w:rPr>
              <w:t>(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一个项目一行</w:t>
            </w:r>
            <w:r>
              <w:rPr>
                <w:rFonts w:eastAsia="仿宋_GB2312"/>
                <w:color w:val="auto"/>
                <w:kern w:val="0"/>
                <w:szCs w:val="21"/>
              </w:rPr>
              <w:t>)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工作经费</w:t>
            </w: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4493.65万元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4758万元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4498.29万元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2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、运行维护专项</w:t>
            </w:r>
            <w:r>
              <w:rPr>
                <w:rFonts w:eastAsia="仿宋_GB2312"/>
                <w:color w:val="auto"/>
                <w:kern w:val="0"/>
                <w:szCs w:val="21"/>
              </w:rPr>
              <w:t>(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一个项目一行</w:t>
            </w:r>
            <w:r>
              <w:rPr>
                <w:rFonts w:eastAsia="仿宋_GB2312"/>
                <w:color w:val="auto"/>
                <w:kern w:val="0"/>
                <w:szCs w:val="21"/>
              </w:rPr>
              <w:t>)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办公楼维修专项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295.35万元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317.53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系统预留集中支付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573.19万元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773.51万元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89.7万元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136.28万元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公务接待费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31.96万元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30.4万元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 </w:t>
            </w: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公务车运行维护费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2.98万元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4.71万元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其他交通费用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2.51万元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11.07万元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印刷费、其他商品服务支出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43.55万元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91.67万元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政府采购</w:t>
            </w: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378万元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333.6万元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411.54万元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仿宋_GB2312"/>
                <w:color w:val="auto"/>
                <w:kern w:val="0"/>
                <w:szCs w:val="21"/>
              </w:rPr>
              <w:t>楼堂馆所控制情况</w:t>
            </w:r>
          </w:p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2021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批复规模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实际规模（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fill="FFFFFF"/>
              </w:rPr>
              <w:t>加强财务管理，严格财务审核。加强单位财务管理，健全单位财务管理制度体系，规范单位财务行为。在费用报账支付时，按照预算规定的费用项目和用途进行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fill="FFFFFF"/>
                <w:lang w:eastAsia="zh-CN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fill="FFFFFF"/>
              </w:rPr>
              <w:t>金使用审核、列报支付、财务核算，杜绝超支现象的发生。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需要填报基本支出以外的所有项目支出情况，包括业务工作项目、运行维护项目和市级专项资金等；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填报基本支出中的一般商品和服务支出。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ODFjNTk2YWY1MzExMmNkZmJjYWViYjUzNzMzOWEifQ=="/>
  </w:docVars>
  <w:rsids>
    <w:rsidRoot w:val="4DB777C1"/>
    <w:rsid w:val="137B3E5E"/>
    <w:rsid w:val="386F48F8"/>
    <w:rsid w:val="4DB7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718</Characters>
  <Lines>0</Lines>
  <Paragraphs>0</Paragraphs>
  <TotalTime>18</TotalTime>
  <ScaleCrop>false</ScaleCrop>
  <LinksUpToDate>false</LinksUpToDate>
  <CharactersWithSpaces>995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2023-04-21T01:21:00Z</dcterms:created>
  <dc:creator>文风</dc:creator>
  <cp:lastModifiedBy>文风</cp:lastModifiedBy>
  <dcterms:modified xsi:type="dcterms:W3CDTF">2023-04-21T02:18:10Z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AA5569AD69864B6C9F870F3B7CF46279</vt:lpwstr>
  </property>
</Properties>
</file>