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b/>
          <w:sz w:val="44"/>
          <w:szCs w:val="44"/>
        </w:rPr>
      </w:pPr>
      <w:bookmarkStart w:id="0" w:name="_GoBack"/>
      <w:bookmarkEnd w:id="0"/>
    </w:p>
    <w:p>
      <w:pPr>
        <w:jc w:val="center"/>
        <w:rPr>
          <w:rFonts w:asciiTheme="minorEastAsia" w:hAnsiTheme="minorEastAsia"/>
          <w:b/>
          <w:sz w:val="44"/>
          <w:szCs w:val="44"/>
        </w:rPr>
      </w:pPr>
    </w:p>
    <w:p>
      <w:pPr>
        <w:jc w:val="center"/>
        <w:rPr>
          <w:rFonts w:asciiTheme="minorEastAsia" w:hAnsiTheme="minorEastAsia"/>
          <w:b/>
          <w:sz w:val="44"/>
          <w:szCs w:val="44"/>
        </w:rPr>
      </w:pPr>
    </w:p>
    <w:p>
      <w:pPr>
        <w:jc w:val="center"/>
        <w:rPr>
          <w:rFonts w:asciiTheme="minorEastAsia" w:hAnsiTheme="minorEastAsia"/>
          <w:b/>
          <w:sz w:val="44"/>
          <w:szCs w:val="44"/>
        </w:rPr>
      </w:pPr>
      <w:r>
        <w:rPr>
          <w:rFonts w:hint="eastAsia" w:asciiTheme="minorEastAsia" w:hAnsiTheme="minorEastAsia"/>
          <w:b/>
          <w:sz w:val="44"/>
          <w:szCs w:val="44"/>
        </w:rPr>
        <w:t>2021年度部门整体支出绩效自评报告</w:t>
      </w:r>
    </w:p>
    <w:p>
      <w:pPr>
        <w:rPr>
          <w:rFonts w:asciiTheme="minorEastAsia" w:hAnsiTheme="minorEastAsia"/>
          <w:sz w:val="28"/>
          <w:szCs w:val="28"/>
        </w:rPr>
      </w:pPr>
    </w:p>
    <w:p>
      <w:pPr>
        <w:rPr>
          <w:rFonts w:asciiTheme="minorEastAsia" w:hAnsiTheme="minorEastAsia"/>
          <w:sz w:val="28"/>
          <w:szCs w:val="28"/>
        </w:rPr>
      </w:pPr>
    </w:p>
    <w:p>
      <w:pPr>
        <w:rPr>
          <w:rFonts w:asciiTheme="minorEastAsia" w:hAnsiTheme="minorEastAsia"/>
          <w:sz w:val="28"/>
          <w:szCs w:val="28"/>
        </w:rPr>
      </w:pPr>
    </w:p>
    <w:p>
      <w:pPr>
        <w:rPr>
          <w:rFonts w:asciiTheme="minorEastAsia" w:hAnsiTheme="minorEastAsia"/>
          <w:sz w:val="28"/>
          <w:szCs w:val="28"/>
        </w:rPr>
      </w:pPr>
    </w:p>
    <w:p>
      <w:pPr>
        <w:rPr>
          <w:rFonts w:asciiTheme="minorEastAsia" w:hAnsiTheme="minorEastAsia"/>
          <w:sz w:val="28"/>
          <w:szCs w:val="28"/>
        </w:rPr>
      </w:pPr>
    </w:p>
    <w:p>
      <w:pPr>
        <w:rPr>
          <w:rFonts w:asciiTheme="minorEastAsia" w:hAnsiTheme="minorEastAsia"/>
          <w:sz w:val="28"/>
          <w:szCs w:val="28"/>
        </w:rPr>
      </w:pPr>
    </w:p>
    <w:p>
      <w:pPr>
        <w:rPr>
          <w:rFonts w:asciiTheme="minorEastAsia" w:hAnsiTheme="minorEastAsia"/>
          <w:sz w:val="28"/>
          <w:szCs w:val="28"/>
        </w:rPr>
      </w:pPr>
    </w:p>
    <w:p>
      <w:pPr>
        <w:rPr>
          <w:rFonts w:asciiTheme="minorEastAsia" w:hAnsiTheme="minorEastAsia"/>
          <w:sz w:val="28"/>
          <w:szCs w:val="28"/>
        </w:rPr>
      </w:pPr>
    </w:p>
    <w:p>
      <w:pPr>
        <w:rPr>
          <w:rFonts w:asciiTheme="minorEastAsia" w:hAnsiTheme="minorEastAsia"/>
          <w:sz w:val="28"/>
          <w:szCs w:val="28"/>
        </w:rPr>
      </w:pPr>
    </w:p>
    <w:p>
      <w:pPr>
        <w:rPr>
          <w:rFonts w:asciiTheme="minorEastAsia" w:hAnsiTheme="minorEastAsia"/>
          <w:sz w:val="28"/>
          <w:szCs w:val="28"/>
        </w:rPr>
      </w:pPr>
    </w:p>
    <w:p>
      <w:pPr>
        <w:rPr>
          <w:rFonts w:asciiTheme="minorEastAsia" w:hAnsiTheme="minorEastAsia"/>
          <w:sz w:val="28"/>
          <w:szCs w:val="28"/>
        </w:rPr>
      </w:pPr>
    </w:p>
    <w:p>
      <w:pPr>
        <w:rPr>
          <w:rFonts w:asciiTheme="minorEastAsia" w:hAnsiTheme="minorEastAsia"/>
          <w:sz w:val="28"/>
          <w:szCs w:val="28"/>
        </w:rPr>
      </w:pPr>
    </w:p>
    <w:p>
      <w:pPr>
        <w:jc w:val="center"/>
        <w:rPr>
          <w:rFonts w:asciiTheme="minorEastAsia" w:hAnsiTheme="minorEastAsia"/>
          <w:b/>
          <w:sz w:val="44"/>
          <w:szCs w:val="44"/>
        </w:rPr>
      </w:pPr>
      <w:r>
        <w:rPr>
          <w:rFonts w:hint="eastAsia" w:asciiTheme="minorEastAsia" w:hAnsiTheme="minorEastAsia"/>
          <w:b/>
          <w:sz w:val="44"/>
          <w:szCs w:val="44"/>
        </w:rPr>
        <w:t>单位名称（盖章）</w:t>
      </w:r>
    </w:p>
    <w:p>
      <w:pPr>
        <w:rPr>
          <w:rFonts w:asciiTheme="minorEastAsia" w:hAnsiTheme="minorEastAsia"/>
          <w:sz w:val="28"/>
          <w:szCs w:val="28"/>
        </w:rPr>
      </w:pPr>
    </w:p>
    <w:p>
      <w:pPr>
        <w:rPr>
          <w:rFonts w:asciiTheme="minorEastAsia" w:hAnsiTheme="minorEastAsia"/>
          <w:sz w:val="28"/>
          <w:szCs w:val="28"/>
        </w:rPr>
      </w:pPr>
      <w:r>
        <w:rPr>
          <w:rFonts w:asciiTheme="minorEastAsia" w:hAnsiTheme="minorEastAsia"/>
          <w:sz w:val="28"/>
          <w:szCs w:val="28"/>
        </w:rPr>
        <w:t> </w:t>
      </w:r>
    </w:p>
    <w:p>
      <w:pPr>
        <w:rPr>
          <w:rFonts w:asciiTheme="minorEastAsia" w:hAnsiTheme="minorEastAsia"/>
          <w:sz w:val="28"/>
          <w:szCs w:val="28"/>
        </w:rPr>
      </w:pPr>
    </w:p>
    <w:p>
      <w:pPr>
        <w:rPr>
          <w:rFonts w:asciiTheme="minorEastAsia" w:hAnsiTheme="minorEastAsia"/>
          <w:sz w:val="28"/>
          <w:szCs w:val="28"/>
        </w:rPr>
      </w:pPr>
    </w:p>
    <w:p>
      <w:pPr>
        <w:rPr>
          <w:rFonts w:asciiTheme="minorEastAsia" w:hAnsiTheme="minorEastAsia"/>
          <w:sz w:val="28"/>
          <w:szCs w:val="28"/>
        </w:rPr>
      </w:pPr>
    </w:p>
    <w:p>
      <w:pPr>
        <w:spacing w:line="360" w:lineRule="auto"/>
        <w:ind w:firstLine="640" w:firstLineChars="200"/>
        <w:rPr>
          <w:rFonts w:ascii="仿宋" w:hAnsi="仿宋" w:eastAsia="仿宋"/>
          <w:sz w:val="32"/>
          <w:szCs w:val="32"/>
        </w:rPr>
      </w:pPr>
      <w:r>
        <w:rPr>
          <w:rFonts w:hint="eastAsia" w:ascii="仿宋" w:hAnsi="仿宋" w:eastAsia="仿宋"/>
          <w:sz w:val="32"/>
          <w:szCs w:val="32"/>
        </w:rPr>
        <w:t>为确实做好2021年度部门整体支出绩效自评工作，提高财政资金使用效益，根据衡山县财政局《关于对2021年度部门整体支出开展绩效自评有关事项的通知》（山财绩〔2022〕133号）文件精神，结合实际，我单位组织成立了绩效评价工作小组，评价小组采取座谈等方式听取情况，检查基本支出、项目支出有关账目，收集整理支出相关资料，并根据各部门报送的绩效自评材料进行分析、总结，现将我单位整体支出绩效自评结果报告如下：</w:t>
      </w:r>
    </w:p>
    <w:p>
      <w:pPr>
        <w:spacing w:line="360" w:lineRule="auto"/>
        <w:ind w:firstLine="640" w:firstLineChars="200"/>
        <w:rPr>
          <w:rFonts w:ascii="黑体" w:hAnsi="黑体" w:eastAsia="黑体"/>
          <w:sz w:val="32"/>
          <w:szCs w:val="32"/>
        </w:rPr>
      </w:pPr>
      <w:r>
        <w:rPr>
          <w:rFonts w:hint="eastAsia" w:ascii="黑体" w:hAnsi="黑体" w:eastAsia="黑体"/>
          <w:sz w:val="32"/>
          <w:szCs w:val="32"/>
        </w:rPr>
        <w:t>一、</w:t>
      </w:r>
      <w:r>
        <w:rPr>
          <w:rFonts w:hint="eastAsia" w:ascii="黑体" w:hAnsi="黑体" w:eastAsia="黑体"/>
          <w:sz w:val="32"/>
          <w:szCs w:val="32"/>
        </w:rPr>
        <w:tab/>
      </w:r>
      <w:r>
        <w:rPr>
          <w:rFonts w:hint="eastAsia" w:ascii="黑体" w:hAnsi="黑体" w:eastAsia="黑体"/>
          <w:sz w:val="32"/>
          <w:szCs w:val="32"/>
        </w:rPr>
        <w:t>部门基本情况</w:t>
      </w:r>
    </w:p>
    <w:p>
      <w:pPr>
        <w:spacing w:line="360" w:lineRule="auto"/>
        <w:ind w:firstLine="640" w:firstLineChars="200"/>
        <w:rPr>
          <w:rFonts w:ascii="楷体" w:hAnsi="楷体" w:eastAsia="楷体"/>
          <w:sz w:val="32"/>
          <w:szCs w:val="32"/>
        </w:rPr>
      </w:pPr>
      <w:r>
        <w:rPr>
          <w:rFonts w:hint="eastAsia" w:ascii="楷体" w:hAnsi="楷体" w:eastAsia="楷体"/>
          <w:sz w:val="32"/>
          <w:szCs w:val="32"/>
        </w:rPr>
        <w:t>（一）</w:t>
      </w:r>
      <w:r>
        <w:rPr>
          <w:rFonts w:hint="eastAsia" w:ascii="楷体" w:hAnsi="楷体" w:eastAsia="楷体"/>
          <w:sz w:val="32"/>
          <w:szCs w:val="32"/>
        </w:rPr>
        <w:tab/>
      </w:r>
      <w:r>
        <w:rPr>
          <w:rFonts w:hint="eastAsia" w:ascii="楷体" w:hAnsi="楷体" w:eastAsia="楷体"/>
          <w:sz w:val="32"/>
          <w:szCs w:val="32"/>
        </w:rPr>
        <w:t>机构人员构成</w:t>
      </w:r>
    </w:p>
    <w:p>
      <w:pPr>
        <w:spacing w:line="360" w:lineRule="auto"/>
        <w:ind w:firstLine="640" w:firstLineChars="200"/>
        <w:rPr>
          <w:rFonts w:ascii="仿宋" w:hAnsi="仿宋" w:eastAsia="仿宋"/>
          <w:sz w:val="32"/>
          <w:szCs w:val="32"/>
        </w:rPr>
      </w:pPr>
      <w:r>
        <w:rPr>
          <w:rFonts w:hint="eastAsia" w:ascii="仿宋" w:hAnsi="仿宋" w:eastAsia="仿宋"/>
          <w:sz w:val="32"/>
          <w:szCs w:val="32"/>
        </w:rPr>
        <w:t>福田铺乡政府是正科级全额拨款单位，内设机构党政综合办公室、经济发展办公室（农业农村和扶贫工作办公室）、社会事务办公室、自然资源和生态环境办公室（村镇建设管理办公室）、社会治理和应急管理办公室（信访室）、基层党建工作办公室、福田铺乡综合行政执法大队、福田铺乡社会事业综合服务中心（文化综合服务站、退役军人服务站）、福田铺乡农业综合服务中心、福田铺乡政务服务中心。至2021年12月份，全乡共有行政在编人员21人，事业编人员22人。共有编制57 名，实有人数 52人，其中在职43人、离退休 9人；公务用车定编1台，现有车辆0台。</w:t>
      </w:r>
    </w:p>
    <w:p>
      <w:pPr>
        <w:spacing w:line="360" w:lineRule="auto"/>
        <w:ind w:firstLine="640" w:firstLineChars="200"/>
        <w:rPr>
          <w:rFonts w:ascii="楷体" w:hAnsi="楷体" w:eastAsia="楷体"/>
          <w:sz w:val="32"/>
          <w:szCs w:val="32"/>
        </w:rPr>
      </w:pPr>
      <w:r>
        <w:rPr>
          <w:rFonts w:hint="eastAsia" w:ascii="楷体" w:hAnsi="楷体" w:eastAsia="楷体"/>
          <w:sz w:val="32"/>
          <w:szCs w:val="32"/>
        </w:rPr>
        <w:t xml:space="preserve">（二）单位主要职责 </w:t>
      </w:r>
    </w:p>
    <w:p>
      <w:pPr>
        <w:spacing w:line="360" w:lineRule="auto"/>
        <w:ind w:firstLine="640" w:firstLineChars="200"/>
        <w:rPr>
          <w:rFonts w:ascii="楷体" w:hAnsi="楷体" w:eastAsia="楷体"/>
          <w:sz w:val="32"/>
          <w:szCs w:val="32"/>
        </w:rPr>
      </w:pPr>
      <w:r>
        <w:rPr>
          <w:rFonts w:hint="eastAsia" w:ascii="仿宋" w:hAnsi="仿宋" w:eastAsia="仿宋"/>
          <w:sz w:val="32"/>
          <w:szCs w:val="32"/>
        </w:rPr>
        <w:t>（1）乡镇党委主要职责：</w:t>
      </w:r>
    </w:p>
    <w:p>
      <w:pPr>
        <w:spacing w:line="360" w:lineRule="auto"/>
        <w:ind w:firstLine="640" w:firstLineChars="200"/>
        <w:rPr>
          <w:rFonts w:ascii="仿宋" w:hAnsi="仿宋" w:eastAsia="仿宋"/>
          <w:sz w:val="32"/>
          <w:szCs w:val="32"/>
        </w:rPr>
      </w:pPr>
      <w:r>
        <w:rPr>
          <w:rFonts w:hint="eastAsia" w:ascii="仿宋" w:hAnsi="仿宋" w:eastAsia="仿宋"/>
          <w:sz w:val="32"/>
          <w:szCs w:val="32"/>
        </w:rPr>
        <w:t>1、贯彻执行党的路线方针政策和上级党组织及本乡党员代表大会（党员大会）的决议。</w:t>
      </w:r>
    </w:p>
    <w:p>
      <w:pPr>
        <w:spacing w:line="360" w:lineRule="auto"/>
        <w:ind w:firstLine="640" w:firstLineChars="200"/>
        <w:rPr>
          <w:rFonts w:ascii="仿宋" w:hAnsi="仿宋" w:eastAsia="仿宋"/>
          <w:sz w:val="32"/>
          <w:szCs w:val="32"/>
        </w:rPr>
      </w:pPr>
      <w:r>
        <w:rPr>
          <w:rFonts w:hint="eastAsia" w:ascii="仿宋" w:hAnsi="仿宋" w:eastAsia="仿宋"/>
          <w:sz w:val="32"/>
          <w:szCs w:val="32"/>
        </w:rPr>
        <w:t>2、讨论决定本镇经济建设和社会发展中的重大问题。需由乡镇政权机关或集体经济组织决定的问题，由乡镇政权机关或集体经济组织依照法律和有关规定作出决定。</w:t>
      </w:r>
    </w:p>
    <w:p>
      <w:pPr>
        <w:spacing w:line="360" w:lineRule="auto"/>
        <w:ind w:firstLine="640" w:firstLineChars="200"/>
        <w:rPr>
          <w:rFonts w:ascii="仿宋" w:hAnsi="仿宋" w:eastAsia="仿宋"/>
          <w:sz w:val="32"/>
          <w:szCs w:val="32"/>
        </w:rPr>
      </w:pPr>
      <w:r>
        <w:rPr>
          <w:rFonts w:hint="eastAsia" w:ascii="仿宋" w:hAnsi="仿宋" w:eastAsia="仿宋"/>
          <w:sz w:val="32"/>
          <w:szCs w:val="32"/>
        </w:rPr>
        <w:t>3、领导乡镇政权机关和群众组织，支持和保证乡镇政权机关和群众组织依照国家法律及各自章程充分行使职权。</w:t>
      </w:r>
    </w:p>
    <w:p>
      <w:pPr>
        <w:spacing w:line="360" w:lineRule="auto"/>
        <w:ind w:firstLine="640" w:firstLineChars="200"/>
        <w:rPr>
          <w:rFonts w:ascii="仿宋" w:hAnsi="仿宋" w:eastAsia="仿宋"/>
          <w:sz w:val="32"/>
          <w:szCs w:val="32"/>
        </w:rPr>
      </w:pPr>
      <w:r>
        <w:rPr>
          <w:rFonts w:hint="eastAsia" w:ascii="仿宋" w:hAnsi="仿宋" w:eastAsia="仿宋"/>
          <w:sz w:val="32"/>
          <w:szCs w:val="32"/>
        </w:rPr>
        <w:t>4、加强党的自身建设以党支部为核心的村级组织建设。</w:t>
      </w:r>
    </w:p>
    <w:p>
      <w:pPr>
        <w:spacing w:line="360" w:lineRule="auto"/>
        <w:ind w:firstLine="640" w:firstLineChars="200"/>
        <w:rPr>
          <w:rFonts w:ascii="仿宋" w:hAnsi="仿宋" w:eastAsia="仿宋"/>
          <w:sz w:val="32"/>
          <w:szCs w:val="32"/>
        </w:rPr>
      </w:pPr>
      <w:r>
        <w:rPr>
          <w:rFonts w:hint="eastAsia" w:ascii="仿宋" w:hAnsi="仿宋" w:eastAsia="仿宋"/>
          <w:sz w:val="32"/>
          <w:szCs w:val="32"/>
        </w:rPr>
        <w:t>5、按照干部管理权限，负责本乡镇干部的教育、培养、选拔和监督工作。协助管理上级有关部门驻乡镇单位的干部。</w:t>
      </w:r>
    </w:p>
    <w:p>
      <w:pPr>
        <w:spacing w:line="360" w:lineRule="auto"/>
        <w:ind w:firstLine="640" w:firstLineChars="200"/>
        <w:rPr>
          <w:rFonts w:ascii="仿宋" w:hAnsi="仿宋" w:eastAsia="仿宋"/>
          <w:sz w:val="32"/>
          <w:szCs w:val="32"/>
        </w:rPr>
      </w:pPr>
      <w:r>
        <w:rPr>
          <w:rFonts w:hint="eastAsia" w:ascii="仿宋" w:hAnsi="仿宋" w:eastAsia="仿宋"/>
          <w:sz w:val="32"/>
          <w:szCs w:val="32"/>
        </w:rPr>
        <w:t>6、领导本乡镇社会主义民主法制建设和精神文明建设，做好社会治安综合治理工作。</w:t>
      </w:r>
    </w:p>
    <w:p>
      <w:pPr>
        <w:spacing w:line="360" w:lineRule="auto"/>
        <w:ind w:firstLine="640" w:firstLineChars="200"/>
        <w:rPr>
          <w:rFonts w:ascii="仿宋" w:hAnsi="仿宋" w:eastAsia="仿宋"/>
          <w:sz w:val="32"/>
          <w:szCs w:val="32"/>
        </w:rPr>
      </w:pPr>
      <w:r>
        <w:rPr>
          <w:rFonts w:hint="eastAsia" w:ascii="仿宋" w:hAnsi="仿宋" w:eastAsia="仿宋"/>
          <w:sz w:val="32"/>
          <w:szCs w:val="32"/>
        </w:rPr>
        <w:t>（2）乡镇政府主要职责：</w:t>
      </w:r>
    </w:p>
    <w:p>
      <w:pPr>
        <w:spacing w:line="360" w:lineRule="auto"/>
        <w:ind w:firstLine="640" w:firstLineChars="200"/>
        <w:rPr>
          <w:rFonts w:ascii="仿宋" w:hAnsi="仿宋" w:eastAsia="仿宋"/>
          <w:sz w:val="32"/>
          <w:szCs w:val="32"/>
        </w:rPr>
      </w:pPr>
      <w:r>
        <w:rPr>
          <w:rFonts w:hint="eastAsia" w:ascii="仿宋" w:hAnsi="仿宋" w:eastAsia="仿宋"/>
          <w:sz w:val="32"/>
          <w:szCs w:val="32"/>
        </w:rPr>
        <w:t>1、执行本级人民代表大会的决议和上级国家行政机关的决定和命令，发布决定和命令。</w:t>
      </w:r>
    </w:p>
    <w:p>
      <w:pPr>
        <w:spacing w:line="360" w:lineRule="auto"/>
        <w:ind w:firstLine="640" w:firstLineChars="200"/>
        <w:rPr>
          <w:rFonts w:ascii="仿宋" w:hAnsi="仿宋" w:eastAsia="仿宋"/>
          <w:sz w:val="32"/>
          <w:szCs w:val="32"/>
        </w:rPr>
      </w:pPr>
      <w:r>
        <w:rPr>
          <w:rFonts w:hint="eastAsia" w:ascii="仿宋" w:hAnsi="仿宋" w:eastAsia="仿宋"/>
          <w:sz w:val="32"/>
          <w:szCs w:val="32"/>
        </w:rPr>
        <w:t>2、执行本行政区域内的经济和社会发展计划，加强公共设施的建设和管理，发展各项服务事业。</w:t>
      </w:r>
    </w:p>
    <w:p>
      <w:pPr>
        <w:spacing w:line="360" w:lineRule="auto"/>
        <w:ind w:firstLine="640" w:firstLineChars="200"/>
        <w:rPr>
          <w:rFonts w:ascii="仿宋" w:hAnsi="仿宋" w:eastAsia="仿宋"/>
          <w:sz w:val="32"/>
          <w:szCs w:val="32"/>
        </w:rPr>
      </w:pPr>
      <w:r>
        <w:rPr>
          <w:rFonts w:hint="eastAsia" w:ascii="仿宋" w:hAnsi="仿宋" w:eastAsia="仿宋"/>
          <w:sz w:val="32"/>
          <w:szCs w:val="32"/>
        </w:rPr>
        <w:t>3、依法管理本级财政、执行本级预算。</w:t>
      </w:r>
    </w:p>
    <w:p>
      <w:pPr>
        <w:spacing w:line="360" w:lineRule="auto"/>
        <w:ind w:firstLine="640" w:firstLineChars="200"/>
        <w:rPr>
          <w:rFonts w:ascii="仿宋" w:hAnsi="仿宋" w:eastAsia="仿宋"/>
          <w:sz w:val="32"/>
          <w:szCs w:val="32"/>
        </w:rPr>
      </w:pPr>
      <w:r>
        <w:rPr>
          <w:rFonts w:hint="eastAsia" w:ascii="仿宋" w:hAnsi="仿宋" w:eastAsia="仿宋"/>
          <w:sz w:val="32"/>
          <w:szCs w:val="32"/>
        </w:rPr>
        <w:t>4、为群众提供有效的科技、教育、文化、信息、卫生、体育、医疗、劳动就业、安全生产等方面的服务。</w:t>
      </w:r>
    </w:p>
    <w:p>
      <w:pPr>
        <w:spacing w:line="360" w:lineRule="auto"/>
        <w:ind w:firstLine="640" w:firstLineChars="200"/>
        <w:rPr>
          <w:rFonts w:ascii="仿宋" w:hAnsi="仿宋" w:eastAsia="仿宋"/>
          <w:sz w:val="32"/>
          <w:szCs w:val="32"/>
        </w:rPr>
      </w:pPr>
      <w:r>
        <w:rPr>
          <w:rFonts w:hint="eastAsia" w:ascii="仿宋" w:hAnsi="仿宋" w:eastAsia="仿宋"/>
          <w:sz w:val="32"/>
          <w:szCs w:val="32"/>
        </w:rPr>
        <w:t>5、保护国有资产和集体所有的财产，保护公民私人所有的合法财产、保障公民的人身权利、民主权利和其他权利，保护各种组织的合法权益。</w:t>
      </w:r>
    </w:p>
    <w:p>
      <w:pPr>
        <w:spacing w:line="360" w:lineRule="auto"/>
        <w:ind w:firstLine="640" w:firstLineChars="200"/>
        <w:rPr>
          <w:rFonts w:ascii="仿宋" w:hAnsi="仿宋" w:eastAsia="仿宋"/>
          <w:sz w:val="32"/>
          <w:szCs w:val="32"/>
        </w:rPr>
      </w:pPr>
      <w:r>
        <w:rPr>
          <w:rFonts w:hint="eastAsia" w:ascii="仿宋" w:hAnsi="仿宋" w:eastAsia="仿宋"/>
          <w:sz w:val="32"/>
          <w:szCs w:val="32"/>
        </w:rPr>
        <w:t>6、开展社会主义与法制教育，加强社会法制综合治理，调解民事纠纷，维护社会秩序。</w:t>
      </w:r>
    </w:p>
    <w:p>
      <w:pPr>
        <w:spacing w:line="360" w:lineRule="auto"/>
        <w:ind w:firstLine="640" w:firstLineChars="200"/>
        <w:rPr>
          <w:rFonts w:ascii="仿宋" w:hAnsi="仿宋" w:eastAsia="仿宋"/>
          <w:sz w:val="32"/>
          <w:szCs w:val="32"/>
        </w:rPr>
      </w:pPr>
      <w:r>
        <w:rPr>
          <w:rFonts w:hint="eastAsia" w:ascii="仿宋" w:hAnsi="仿宋" w:eastAsia="仿宋"/>
          <w:sz w:val="32"/>
          <w:szCs w:val="32"/>
        </w:rPr>
        <w:t>7、负责民政工作，发展社会福利事业，做好社会保障工作，办理兵役事项。</w:t>
      </w:r>
    </w:p>
    <w:p>
      <w:pPr>
        <w:spacing w:line="360" w:lineRule="auto"/>
        <w:ind w:firstLine="640" w:firstLineChars="200"/>
        <w:rPr>
          <w:rFonts w:ascii="仿宋" w:hAnsi="仿宋" w:eastAsia="仿宋"/>
          <w:sz w:val="32"/>
          <w:szCs w:val="32"/>
        </w:rPr>
      </w:pPr>
      <w:r>
        <w:rPr>
          <w:rFonts w:hint="eastAsia" w:ascii="仿宋" w:hAnsi="仿宋" w:eastAsia="仿宋"/>
          <w:sz w:val="32"/>
          <w:szCs w:val="32"/>
        </w:rPr>
        <w:t>8、设立人民武装部，依法履行国防动员、民兵训练、预备役管理等职能。</w:t>
      </w:r>
    </w:p>
    <w:p>
      <w:pPr>
        <w:spacing w:line="360" w:lineRule="auto"/>
        <w:ind w:firstLine="640" w:firstLineChars="200"/>
        <w:rPr>
          <w:rFonts w:ascii="仿宋" w:hAnsi="仿宋" w:eastAsia="仿宋"/>
          <w:sz w:val="32"/>
          <w:szCs w:val="32"/>
        </w:rPr>
      </w:pPr>
      <w:r>
        <w:rPr>
          <w:rFonts w:hint="eastAsia" w:ascii="仿宋" w:hAnsi="仿宋" w:eastAsia="仿宋"/>
          <w:sz w:val="32"/>
          <w:szCs w:val="32"/>
        </w:rPr>
        <w:t>9、承办上级人民政府交办的其他事项。</w:t>
      </w:r>
    </w:p>
    <w:p>
      <w:pPr>
        <w:spacing w:line="360" w:lineRule="auto"/>
        <w:ind w:firstLine="640" w:firstLineChars="200"/>
        <w:rPr>
          <w:rFonts w:ascii="楷体" w:hAnsi="楷体" w:eastAsia="楷体"/>
          <w:sz w:val="32"/>
          <w:szCs w:val="32"/>
        </w:rPr>
      </w:pPr>
      <w:r>
        <w:rPr>
          <w:rFonts w:hint="eastAsia" w:ascii="楷体" w:hAnsi="楷体" w:eastAsia="楷体"/>
          <w:sz w:val="32"/>
          <w:szCs w:val="32"/>
        </w:rPr>
        <w:t xml:space="preserve">（三）部门内部控制及厉行节约制度建设情况 </w:t>
      </w:r>
    </w:p>
    <w:p>
      <w:pPr>
        <w:spacing w:line="360" w:lineRule="auto"/>
        <w:ind w:firstLine="640" w:firstLineChars="200"/>
        <w:rPr>
          <w:rFonts w:ascii="仿宋" w:hAnsi="仿宋" w:eastAsia="仿宋"/>
          <w:sz w:val="32"/>
          <w:szCs w:val="32"/>
        </w:rPr>
      </w:pPr>
      <w:r>
        <w:rPr>
          <w:rFonts w:hint="eastAsia" w:ascii="仿宋" w:hAnsi="仿宋" w:eastAsia="仿宋"/>
          <w:sz w:val="32"/>
          <w:szCs w:val="32"/>
        </w:rPr>
        <w:t>1. 加强内部控制。我单位历来重视单位内部管理制度建设及监督，加强财务管理，强化财务监督，增强法纪观念，遵守规章制度。为保证财务管理工作规范有序进行，2021年我们修改完善了相关财务管理的制度、规定，成立了财务监督小组，加强内部控制和监督。对各项资金的管理、经费收支审批等均做了明确规定，正确组织资金的筹集、调度和使用，债权债务及时结算、结清。各项经费支出实行限额把关、一支笔审批制度。严格执行上级关于“一把手不直接分管财务”的规定，安排一名副职领导分管财务并一支笔签批财务单据。开支金额在一万元以下的由分管财务的领导直接把关签批；开支金额在三万元以下、一万元以上的需出示专题报告，经单位主要领导把关在报告上签署意见后，再履行“一单五签”的程序；非日常开支在三万元以上的，专题报告需经会议研究通过。分管财务的领导经手的费用开支，由主要领导签批。</w:t>
      </w:r>
    </w:p>
    <w:p>
      <w:pPr>
        <w:spacing w:line="360" w:lineRule="auto"/>
        <w:ind w:firstLine="640" w:firstLineChars="200"/>
        <w:rPr>
          <w:rFonts w:ascii="仿宋" w:hAnsi="仿宋" w:eastAsia="仿宋"/>
          <w:sz w:val="32"/>
          <w:szCs w:val="32"/>
        </w:rPr>
      </w:pPr>
      <w:r>
        <w:rPr>
          <w:rFonts w:hint="eastAsia" w:ascii="仿宋" w:hAnsi="仿宋" w:eastAsia="仿宋"/>
          <w:sz w:val="32"/>
          <w:szCs w:val="32"/>
        </w:rPr>
        <w:t>2. 强化制度执行。切实做好厉行节约工作，全面落实各项管理制度要求，努力降低行政成本。严格公务接待费、差旅费、会议费和培训费审核审批程序，加强对公务用车的管理，实行限额把关、一支笔审批制度，做到一事一公函、一事一审批、一事一结账，会议费和培训费严格按年初计划和制度规定的标准执行。各项费用严格履行“一单五签”程序，“三公”经费较好地控制在预算范围之内。</w:t>
      </w:r>
    </w:p>
    <w:p>
      <w:pPr>
        <w:spacing w:line="360" w:lineRule="auto"/>
        <w:ind w:firstLine="640" w:firstLineChars="200"/>
        <w:rPr>
          <w:rFonts w:ascii="黑体" w:hAnsi="黑体" w:eastAsia="黑体"/>
          <w:sz w:val="32"/>
          <w:szCs w:val="32"/>
        </w:rPr>
      </w:pPr>
      <w:r>
        <w:rPr>
          <w:rFonts w:hint="eastAsia" w:ascii="黑体" w:hAnsi="黑体" w:eastAsia="黑体"/>
          <w:sz w:val="32"/>
          <w:szCs w:val="32"/>
        </w:rPr>
        <w:t>二、部门整体支出管理及使用情况</w:t>
      </w:r>
    </w:p>
    <w:p>
      <w:pPr>
        <w:spacing w:line="360" w:lineRule="auto"/>
        <w:ind w:firstLine="640" w:firstLineChars="200"/>
        <w:rPr>
          <w:rFonts w:ascii="楷体" w:hAnsi="楷体" w:eastAsia="楷体"/>
          <w:sz w:val="32"/>
          <w:szCs w:val="32"/>
        </w:rPr>
      </w:pPr>
      <w:r>
        <w:rPr>
          <w:rFonts w:hint="eastAsia" w:ascii="仿宋" w:hAnsi="仿宋" w:eastAsia="仿宋"/>
          <w:sz w:val="32"/>
          <w:szCs w:val="32"/>
        </w:rPr>
        <w:t xml:space="preserve"> </w:t>
      </w:r>
      <w:r>
        <w:rPr>
          <w:rFonts w:hint="eastAsia" w:ascii="楷体" w:hAnsi="楷体" w:eastAsia="楷体"/>
          <w:sz w:val="32"/>
          <w:szCs w:val="32"/>
        </w:rPr>
        <w:t xml:space="preserve">（一）2021年度预算基本情况  </w:t>
      </w:r>
    </w:p>
    <w:p>
      <w:pPr>
        <w:spacing w:line="360" w:lineRule="auto"/>
        <w:ind w:firstLine="640" w:firstLineChars="200"/>
        <w:rPr>
          <w:rFonts w:ascii="仿宋" w:hAnsi="仿宋" w:eastAsia="仿宋"/>
          <w:sz w:val="32"/>
          <w:szCs w:val="32"/>
        </w:rPr>
      </w:pPr>
      <w:r>
        <w:rPr>
          <w:rFonts w:hint="eastAsia" w:ascii="仿宋" w:hAnsi="仿宋" w:eastAsia="仿宋"/>
          <w:sz w:val="32"/>
          <w:szCs w:val="32"/>
        </w:rPr>
        <w:t xml:space="preserve"> 2021年收入预算为633.62万元，其中：财政拨款收入630.12万元，占99.4%；纳入预算管理非税收入3.5万元，占0.6%。支出预算中，基本支出404.15万元，占64%，项目支出229.47万元占36%。</w:t>
      </w:r>
    </w:p>
    <w:p>
      <w:pPr>
        <w:spacing w:line="360" w:lineRule="auto"/>
        <w:ind w:firstLine="640" w:firstLineChars="200"/>
        <w:rPr>
          <w:rFonts w:ascii="楷体" w:hAnsi="楷体" w:eastAsia="楷体"/>
          <w:sz w:val="32"/>
          <w:szCs w:val="32"/>
        </w:rPr>
      </w:pPr>
      <w:r>
        <w:rPr>
          <w:rFonts w:hint="eastAsia" w:ascii="楷体" w:hAnsi="楷体" w:eastAsia="楷体"/>
          <w:sz w:val="32"/>
          <w:szCs w:val="32"/>
        </w:rPr>
        <w:t>（二）2021年度收支决算情况</w:t>
      </w:r>
    </w:p>
    <w:p>
      <w:pPr>
        <w:spacing w:line="360" w:lineRule="auto"/>
        <w:ind w:firstLine="640" w:firstLineChars="200"/>
        <w:rPr>
          <w:rFonts w:ascii="仿宋" w:hAnsi="仿宋" w:eastAsia="仿宋"/>
          <w:sz w:val="32"/>
          <w:szCs w:val="32"/>
        </w:rPr>
      </w:pPr>
      <w:r>
        <w:rPr>
          <w:rFonts w:hint="eastAsia" w:ascii="仿宋" w:hAnsi="仿宋" w:eastAsia="仿宋"/>
          <w:sz w:val="32"/>
          <w:szCs w:val="32"/>
        </w:rPr>
        <w:t xml:space="preserve">1. 2021年度收入决算情况  </w:t>
      </w:r>
    </w:p>
    <w:p>
      <w:pPr>
        <w:spacing w:line="360" w:lineRule="auto"/>
        <w:ind w:firstLine="640" w:firstLineChars="200"/>
        <w:rPr>
          <w:rFonts w:ascii="仿宋" w:hAnsi="仿宋" w:eastAsia="仿宋"/>
          <w:sz w:val="32"/>
          <w:szCs w:val="32"/>
        </w:rPr>
      </w:pPr>
      <w:r>
        <w:rPr>
          <w:rFonts w:hint="eastAsia" w:ascii="仿宋" w:hAnsi="仿宋" w:eastAsia="仿宋"/>
          <w:sz w:val="32"/>
          <w:szCs w:val="32"/>
        </w:rPr>
        <w:t xml:space="preserve"> 2021年度总收入1229.93万元，其中：一般公共预算财政拨款收入945.6万元，占77%，政府性基金预算财政拨款收入64.04万元，占5%，其他收入220.29万元，占18%。</w:t>
      </w:r>
    </w:p>
    <w:p>
      <w:pPr>
        <w:spacing w:line="360" w:lineRule="auto"/>
        <w:ind w:firstLine="640" w:firstLineChars="200"/>
        <w:rPr>
          <w:rFonts w:ascii="仿宋" w:hAnsi="仿宋" w:eastAsia="仿宋"/>
          <w:sz w:val="32"/>
          <w:szCs w:val="32"/>
        </w:rPr>
      </w:pPr>
      <w:r>
        <w:rPr>
          <w:rFonts w:hint="eastAsia" w:ascii="仿宋" w:hAnsi="仿宋" w:eastAsia="仿宋"/>
          <w:sz w:val="32"/>
          <w:szCs w:val="32"/>
        </w:rPr>
        <w:t>2．2021年度支出决算情况</w:t>
      </w:r>
    </w:p>
    <w:p>
      <w:pPr>
        <w:spacing w:line="360" w:lineRule="auto"/>
        <w:ind w:firstLine="640" w:firstLineChars="200"/>
        <w:rPr>
          <w:rFonts w:ascii="仿宋" w:hAnsi="仿宋" w:eastAsia="仿宋"/>
          <w:sz w:val="32"/>
          <w:szCs w:val="32"/>
        </w:rPr>
      </w:pPr>
      <w:r>
        <w:rPr>
          <w:rFonts w:hint="eastAsia" w:ascii="仿宋" w:hAnsi="仿宋" w:eastAsia="仿宋"/>
          <w:sz w:val="32"/>
          <w:szCs w:val="32"/>
        </w:rPr>
        <w:t xml:space="preserve"> 2021年度总支出1413.77万元，其中基本支出576.09万元占总支出比例41%；项目支出837.68万元，占总支出比例59%。基本支出576.09万元，其中：工资福利支出398.93万元占基本支出比例69%，商品和服务支出163.12万元占基本支出比例28%、对个人和家庭的补助支出14.04万元占基本支出比例3%。</w:t>
      </w:r>
    </w:p>
    <w:p>
      <w:pPr>
        <w:spacing w:line="360" w:lineRule="auto"/>
        <w:ind w:firstLine="640" w:firstLineChars="200"/>
        <w:rPr>
          <w:rFonts w:ascii="楷体" w:hAnsi="楷体" w:eastAsia="楷体"/>
          <w:sz w:val="32"/>
          <w:szCs w:val="32"/>
        </w:rPr>
      </w:pPr>
      <w:r>
        <w:rPr>
          <w:rFonts w:hint="eastAsia" w:ascii="楷体" w:hAnsi="楷体" w:eastAsia="楷体"/>
          <w:sz w:val="32"/>
          <w:szCs w:val="32"/>
        </w:rPr>
        <w:t>（三）</w:t>
      </w:r>
      <w:r>
        <w:rPr>
          <w:rFonts w:hint="eastAsia" w:ascii="楷体" w:hAnsi="楷体" w:eastAsia="楷体"/>
          <w:sz w:val="32"/>
          <w:szCs w:val="32"/>
        </w:rPr>
        <w:tab/>
      </w:r>
      <w:r>
        <w:rPr>
          <w:rFonts w:hint="eastAsia" w:ascii="楷体" w:hAnsi="楷体" w:eastAsia="楷体"/>
          <w:sz w:val="32"/>
          <w:szCs w:val="32"/>
        </w:rPr>
        <w:t xml:space="preserve">基本支出使用管理情况 </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基本支出用于为保障机构正常运转、完成日常工作任务而发生的支出，包括人员经费和公用经费。2021年度本单位人员经费412.97万元，占基本支出比例71.68%，较年初预算超支比例较大的主要原因是本年度进行了工资及其他福利调整；</w:t>
      </w:r>
    </w:p>
    <w:p>
      <w:pPr>
        <w:spacing w:line="360" w:lineRule="auto"/>
        <w:rPr>
          <w:rFonts w:ascii="仿宋" w:hAnsi="仿宋" w:eastAsia="仿宋"/>
          <w:sz w:val="32"/>
          <w:szCs w:val="32"/>
        </w:rPr>
      </w:pPr>
      <w:r>
        <w:rPr>
          <w:rFonts w:hint="eastAsia" w:ascii="仿宋" w:hAnsi="仿宋" w:eastAsia="仿宋"/>
          <w:sz w:val="32"/>
          <w:szCs w:val="32"/>
        </w:rPr>
        <w:t>公用经费支出163.12万元，占基本支出比例28.32%。本年度基本支出与调整后的预算基本一致。</w:t>
      </w:r>
    </w:p>
    <w:p>
      <w:pPr>
        <w:spacing w:line="360" w:lineRule="auto"/>
        <w:ind w:firstLine="640" w:firstLineChars="200"/>
        <w:rPr>
          <w:rFonts w:ascii="楷体" w:hAnsi="楷体" w:eastAsia="楷体"/>
          <w:sz w:val="32"/>
          <w:szCs w:val="32"/>
        </w:rPr>
      </w:pPr>
      <w:r>
        <w:rPr>
          <w:rFonts w:hint="eastAsia" w:ascii="楷体" w:hAnsi="楷体" w:eastAsia="楷体"/>
          <w:sz w:val="32"/>
          <w:szCs w:val="32"/>
        </w:rPr>
        <w:t>（四）</w:t>
      </w:r>
      <w:r>
        <w:rPr>
          <w:rFonts w:hint="eastAsia" w:ascii="楷体" w:hAnsi="楷体" w:eastAsia="楷体"/>
          <w:sz w:val="32"/>
          <w:szCs w:val="32"/>
        </w:rPr>
        <w:tab/>
      </w:r>
      <w:r>
        <w:rPr>
          <w:rFonts w:hint="eastAsia" w:ascii="楷体" w:hAnsi="楷体" w:eastAsia="楷体"/>
          <w:sz w:val="32"/>
          <w:szCs w:val="32"/>
        </w:rPr>
        <w:t xml:space="preserve">项目支出使用管理情况 </w:t>
      </w:r>
    </w:p>
    <w:p>
      <w:pPr>
        <w:spacing w:line="360" w:lineRule="auto"/>
        <w:ind w:firstLine="640" w:firstLineChars="200"/>
        <w:rPr>
          <w:rFonts w:ascii="仿宋" w:hAnsi="仿宋" w:eastAsia="仿宋"/>
          <w:sz w:val="32"/>
          <w:szCs w:val="32"/>
        </w:rPr>
      </w:pPr>
      <w:r>
        <w:rPr>
          <w:rFonts w:hint="eastAsia" w:ascii="仿宋" w:hAnsi="仿宋" w:eastAsia="仿宋"/>
          <w:sz w:val="32"/>
          <w:szCs w:val="32"/>
        </w:rPr>
        <w:t>项目支出是为完成特定的工作任务或事业发展目标，在基本的预算支出以外，财政预算专项安排的支出。2021年度本单位的项目支出837.68万元主要有以下几个方面：</w:t>
      </w:r>
    </w:p>
    <w:p>
      <w:pPr>
        <w:spacing w:line="360" w:lineRule="auto"/>
        <w:ind w:firstLine="640" w:firstLineChars="200"/>
        <w:rPr>
          <w:rFonts w:ascii="仿宋" w:hAnsi="仿宋" w:eastAsia="仿宋"/>
          <w:sz w:val="32"/>
          <w:szCs w:val="32"/>
        </w:rPr>
      </w:pPr>
      <w:r>
        <w:rPr>
          <w:rFonts w:hint="eastAsia" w:ascii="仿宋" w:hAnsi="仿宋" w:eastAsia="仿宋"/>
          <w:sz w:val="32"/>
          <w:szCs w:val="32"/>
        </w:rPr>
        <w:t>1、</w:t>
      </w:r>
      <w:r>
        <w:rPr>
          <w:rFonts w:hint="eastAsia" w:ascii="仿宋" w:hAnsi="仿宋" w:eastAsia="仿宋"/>
          <w:sz w:val="32"/>
          <w:szCs w:val="32"/>
        </w:rPr>
        <w:tab/>
      </w:r>
      <w:r>
        <w:rPr>
          <w:rFonts w:hint="eastAsia" w:ascii="仿宋" w:hAnsi="仿宋" w:eastAsia="仿宋"/>
          <w:sz w:val="32"/>
          <w:szCs w:val="32"/>
        </w:rPr>
        <w:t>一般公共服务支出19万元，占项目支出比例2.27%，主要用于政府办公厅（室）及相关机构事务经费、财政事务经费、其他共产党事务支出经费的支出。</w:t>
      </w:r>
    </w:p>
    <w:p>
      <w:pPr>
        <w:spacing w:line="360" w:lineRule="auto"/>
        <w:ind w:firstLine="640" w:firstLineChars="200"/>
        <w:rPr>
          <w:rFonts w:ascii="仿宋" w:hAnsi="仿宋" w:eastAsia="仿宋"/>
          <w:sz w:val="32"/>
          <w:szCs w:val="32"/>
        </w:rPr>
      </w:pPr>
      <w:r>
        <w:rPr>
          <w:rFonts w:hint="eastAsia" w:ascii="仿宋" w:hAnsi="仿宋" w:eastAsia="仿宋"/>
          <w:sz w:val="32"/>
          <w:szCs w:val="32"/>
        </w:rPr>
        <w:t>2、</w:t>
      </w:r>
      <w:r>
        <w:rPr>
          <w:rFonts w:hint="eastAsia" w:ascii="仿宋" w:hAnsi="仿宋" w:eastAsia="仿宋"/>
          <w:sz w:val="32"/>
          <w:szCs w:val="32"/>
        </w:rPr>
        <w:tab/>
      </w:r>
      <w:r>
        <w:rPr>
          <w:rFonts w:hint="eastAsia" w:ascii="仿宋" w:hAnsi="仿宋" w:eastAsia="仿宋"/>
          <w:sz w:val="32"/>
          <w:szCs w:val="32"/>
        </w:rPr>
        <w:t>社会保障和就业支出92.99万元，占项目支出比例11.1%，其中义务兵优待金15万元主要用于义务兵优待金发放的支出；老年福利2.03万元，主要用于老年人提供基本养老服务保障的支出；临时救助10.2万元，用于特困人员的临时救助支出；基层政权建设和社区治理支出25.15万元，主要用于社区运转经费等。</w:t>
      </w:r>
    </w:p>
    <w:p>
      <w:pPr>
        <w:spacing w:line="360" w:lineRule="auto"/>
        <w:ind w:firstLine="640" w:firstLineChars="200"/>
        <w:rPr>
          <w:rFonts w:ascii="仿宋" w:hAnsi="仿宋" w:eastAsia="仿宋"/>
          <w:sz w:val="32"/>
          <w:szCs w:val="32"/>
        </w:rPr>
      </w:pPr>
      <w:r>
        <w:rPr>
          <w:rFonts w:hint="eastAsia" w:ascii="仿宋" w:hAnsi="仿宋" w:eastAsia="仿宋"/>
          <w:sz w:val="32"/>
          <w:szCs w:val="32"/>
        </w:rPr>
        <w:t>3、</w:t>
      </w:r>
      <w:r>
        <w:rPr>
          <w:rFonts w:hint="eastAsia" w:ascii="仿宋" w:hAnsi="仿宋" w:eastAsia="仿宋"/>
          <w:sz w:val="32"/>
          <w:szCs w:val="32"/>
        </w:rPr>
        <w:tab/>
      </w:r>
      <w:r>
        <w:rPr>
          <w:rFonts w:hint="eastAsia" w:ascii="仿宋" w:hAnsi="仿宋" w:eastAsia="仿宋"/>
          <w:sz w:val="32"/>
          <w:szCs w:val="32"/>
        </w:rPr>
        <w:t>节能环保支出390.65万元，占项目支出比例46.63%，主要用于农村环境综合整治专项经费，包括生活垃圾、污水处理、生态保护等。</w:t>
      </w:r>
    </w:p>
    <w:p>
      <w:pPr>
        <w:spacing w:line="360" w:lineRule="auto"/>
        <w:ind w:firstLine="640" w:firstLineChars="200"/>
        <w:rPr>
          <w:rFonts w:ascii="仿宋" w:hAnsi="仿宋" w:eastAsia="仿宋"/>
          <w:sz w:val="32"/>
          <w:szCs w:val="32"/>
        </w:rPr>
      </w:pPr>
      <w:r>
        <w:rPr>
          <w:rFonts w:hint="eastAsia" w:ascii="仿宋" w:hAnsi="仿宋" w:eastAsia="仿宋"/>
          <w:sz w:val="32"/>
          <w:szCs w:val="32"/>
        </w:rPr>
        <w:t>4、</w:t>
      </w:r>
      <w:r>
        <w:rPr>
          <w:rFonts w:hint="eastAsia" w:ascii="仿宋" w:hAnsi="仿宋" w:eastAsia="仿宋"/>
          <w:sz w:val="32"/>
          <w:szCs w:val="32"/>
        </w:rPr>
        <w:tab/>
      </w:r>
      <w:r>
        <w:rPr>
          <w:rFonts w:hint="eastAsia" w:ascii="仿宋" w:hAnsi="仿宋" w:eastAsia="仿宋"/>
          <w:sz w:val="32"/>
          <w:szCs w:val="32"/>
        </w:rPr>
        <w:t>城乡社区支出72.04万元，占项目支出8.6%，主要用于小城镇基础设施建设支出。</w:t>
      </w:r>
    </w:p>
    <w:p>
      <w:pPr>
        <w:spacing w:line="360" w:lineRule="auto"/>
        <w:ind w:firstLine="640" w:firstLineChars="200"/>
        <w:rPr>
          <w:rFonts w:ascii="仿宋" w:hAnsi="仿宋" w:eastAsia="仿宋"/>
          <w:sz w:val="32"/>
          <w:szCs w:val="32"/>
        </w:rPr>
      </w:pPr>
      <w:r>
        <w:rPr>
          <w:rFonts w:hint="eastAsia" w:ascii="仿宋" w:hAnsi="仿宋" w:eastAsia="仿宋"/>
          <w:sz w:val="32"/>
          <w:szCs w:val="32"/>
        </w:rPr>
        <w:t>5、</w:t>
      </w:r>
      <w:r>
        <w:rPr>
          <w:rFonts w:hint="eastAsia" w:ascii="仿宋" w:hAnsi="仿宋" w:eastAsia="仿宋"/>
          <w:sz w:val="32"/>
          <w:szCs w:val="32"/>
        </w:rPr>
        <w:tab/>
      </w:r>
      <w:r>
        <w:rPr>
          <w:rFonts w:hint="eastAsia" w:ascii="仿宋" w:hAnsi="仿宋" w:eastAsia="仿宋"/>
          <w:sz w:val="32"/>
          <w:szCs w:val="32"/>
        </w:rPr>
        <w:t>农林水支出249.66万元，占项目支出比例29.8%，一是用于村级运转经费136.87万元；二是用于农村基础设施建设项目支出112.79万元。</w:t>
      </w:r>
    </w:p>
    <w:p>
      <w:pPr>
        <w:spacing w:line="360" w:lineRule="auto"/>
        <w:ind w:firstLine="640" w:firstLineChars="200"/>
        <w:rPr>
          <w:rFonts w:ascii="仿宋" w:hAnsi="仿宋" w:eastAsia="仿宋"/>
          <w:sz w:val="32"/>
          <w:szCs w:val="32"/>
        </w:rPr>
      </w:pPr>
      <w:r>
        <w:rPr>
          <w:rFonts w:hint="eastAsia" w:ascii="仿宋" w:hAnsi="仿宋" w:eastAsia="仿宋"/>
          <w:sz w:val="32"/>
          <w:szCs w:val="32"/>
        </w:rPr>
        <w:t>6、</w:t>
      </w:r>
      <w:r>
        <w:rPr>
          <w:rFonts w:hint="eastAsia" w:ascii="仿宋" w:hAnsi="仿宋" w:eastAsia="仿宋"/>
          <w:sz w:val="32"/>
          <w:szCs w:val="32"/>
        </w:rPr>
        <w:tab/>
      </w:r>
      <w:r>
        <w:rPr>
          <w:rFonts w:hint="eastAsia" w:ascii="仿宋" w:hAnsi="仿宋" w:eastAsia="仿宋"/>
          <w:sz w:val="32"/>
          <w:szCs w:val="32"/>
        </w:rPr>
        <w:t>国防支出支出2万元，占项目支出比例0.24%，主要用于国防经费支出。</w:t>
      </w:r>
    </w:p>
    <w:p>
      <w:pPr>
        <w:spacing w:line="360" w:lineRule="auto"/>
        <w:ind w:firstLine="640" w:firstLineChars="200"/>
        <w:rPr>
          <w:rFonts w:ascii="仿宋" w:hAnsi="仿宋" w:eastAsia="仿宋"/>
          <w:sz w:val="32"/>
          <w:szCs w:val="32"/>
        </w:rPr>
      </w:pPr>
      <w:r>
        <w:rPr>
          <w:rFonts w:hint="eastAsia" w:ascii="仿宋" w:hAnsi="仿宋" w:eastAsia="仿宋"/>
          <w:sz w:val="32"/>
          <w:szCs w:val="32"/>
        </w:rPr>
        <w:t>7、</w:t>
      </w:r>
      <w:r>
        <w:rPr>
          <w:rFonts w:hint="eastAsia" w:ascii="仿宋" w:hAnsi="仿宋" w:eastAsia="仿宋"/>
          <w:sz w:val="32"/>
          <w:szCs w:val="32"/>
        </w:rPr>
        <w:tab/>
      </w:r>
      <w:r>
        <w:rPr>
          <w:rFonts w:hint="eastAsia" w:ascii="仿宋" w:hAnsi="仿宋" w:eastAsia="仿宋"/>
          <w:sz w:val="32"/>
          <w:szCs w:val="32"/>
        </w:rPr>
        <w:t>自然灾害救灾及恢复重建支出9万元，占项目支出比例1.07%，主要用于受灾群众救助支出。</w:t>
      </w:r>
    </w:p>
    <w:p>
      <w:pPr>
        <w:spacing w:line="360" w:lineRule="auto"/>
        <w:ind w:firstLine="640" w:firstLineChars="200"/>
        <w:rPr>
          <w:rFonts w:ascii="仿宋" w:hAnsi="仿宋" w:eastAsia="仿宋"/>
          <w:sz w:val="32"/>
          <w:szCs w:val="32"/>
        </w:rPr>
      </w:pPr>
      <w:r>
        <w:rPr>
          <w:rFonts w:hint="eastAsia" w:ascii="仿宋" w:hAnsi="仿宋" w:eastAsia="仿宋"/>
          <w:sz w:val="32"/>
          <w:szCs w:val="32"/>
        </w:rPr>
        <w:t>8、</w:t>
      </w:r>
      <w:r>
        <w:rPr>
          <w:rFonts w:hint="eastAsia" w:ascii="仿宋" w:hAnsi="仿宋" w:eastAsia="仿宋"/>
          <w:sz w:val="32"/>
          <w:szCs w:val="32"/>
        </w:rPr>
        <w:tab/>
      </w:r>
      <w:r>
        <w:rPr>
          <w:rFonts w:hint="eastAsia" w:ascii="仿宋" w:hAnsi="仿宋" w:eastAsia="仿宋"/>
          <w:sz w:val="32"/>
          <w:szCs w:val="32"/>
        </w:rPr>
        <w:t>公共安全支出1.34万元，占项目支出比例0.16%，主要禁毒经费方面支出</w:t>
      </w:r>
    </w:p>
    <w:p>
      <w:pPr>
        <w:spacing w:line="360" w:lineRule="auto"/>
        <w:ind w:firstLine="640" w:firstLineChars="200"/>
        <w:rPr>
          <w:rFonts w:ascii="仿宋" w:hAnsi="仿宋" w:eastAsia="仿宋"/>
          <w:sz w:val="32"/>
          <w:szCs w:val="32"/>
        </w:rPr>
      </w:pPr>
      <w:r>
        <w:rPr>
          <w:rFonts w:hint="eastAsia" w:ascii="仿宋" w:hAnsi="仿宋" w:eastAsia="仿宋"/>
          <w:sz w:val="32"/>
          <w:szCs w:val="32"/>
        </w:rPr>
        <w:t>9、</w:t>
      </w:r>
      <w:r>
        <w:rPr>
          <w:rFonts w:hint="eastAsia" w:ascii="仿宋" w:hAnsi="仿宋" w:eastAsia="仿宋"/>
          <w:sz w:val="32"/>
          <w:szCs w:val="32"/>
        </w:rPr>
        <w:tab/>
      </w:r>
      <w:r>
        <w:rPr>
          <w:rFonts w:hint="eastAsia" w:ascii="仿宋" w:hAnsi="仿宋" w:eastAsia="仿宋"/>
          <w:sz w:val="32"/>
          <w:szCs w:val="32"/>
        </w:rPr>
        <w:t>文化旅游体育与传媒的支出1万元，占项目支出比例0.12%，主要用于文化旅游项目的支出。</w:t>
      </w:r>
    </w:p>
    <w:p>
      <w:pPr>
        <w:spacing w:line="360" w:lineRule="auto"/>
        <w:ind w:firstLine="640" w:firstLineChars="200"/>
        <w:rPr>
          <w:rFonts w:ascii="楷体" w:hAnsi="楷体" w:eastAsia="楷体"/>
          <w:sz w:val="32"/>
          <w:szCs w:val="32"/>
        </w:rPr>
      </w:pPr>
      <w:r>
        <w:rPr>
          <w:rFonts w:hint="eastAsia" w:ascii="楷体" w:hAnsi="楷体" w:eastAsia="楷体"/>
          <w:sz w:val="32"/>
          <w:szCs w:val="32"/>
        </w:rPr>
        <w:t xml:space="preserve">（五）“三公”经费使用管理情况 </w:t>
      </w:r>
    </w:p>
    <w:p>
      <w:pPr>
        <w:spacing w:line="360" w:lineRule="auto"/>
        <w:ind w:firstLine="640" w:firstLineChars="200"/>
        <w:rPr>
          <w:rFonts w:ascii="仿宋" w:hAnsi="仿宋" w:eastAsia="仿宋"/>
          <w:sz w:val="32"/>
          <w:szCs w:val="32"/>
        </w:rPr>
      </w:pPr>
      <w:r>
        <w:rPr>
          <w:rFonts w:hint="eastAsia" w:ascii="仿宋" w:hAnsi="仿宋" w:eastAsia="仿宋"/>
          <w:sz w:val="32"/>
          <w:szCs w:val="32"/>
        </w:rPr>
        <w:t xml:space="preserve">1. 2021年“三公”经费预算情况 </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本单位2021年“三公”经费预算（控制数）金额为8万元，其中公务接待费7万元，公车运行维护费1万元。</w:t>
      </w:r>
    </w:p>
    <w:p>
      <w:pPr>
        <w:spacing w:line="360" w:lineRule="auto"/>
        <w:ind w:firstLine="640" w:firstLineChars="200"/>
        <w:rPr>
          <w:rFonts w:ascii="仿宋" w:hAnsi="仿宋" w:eastAsia="仿宋"/>
          <w:sz w:val="32"/>
          <w:szCs w:val="32"/>
        </w:rPr>
      </w:pPr>
      <w:r>
        <w:rPr>
          <w:rFonts w:hint="eastAsia" w:ascii="仿宋" w:hAnsi="仿宋" w:eastAsia="仿宋"/>
          <w:sz w:val="32"/>
          <w:szCs w:val="32"/>
        </w:rPr>
        <w:t xml:space="preserve">2．“三公”经费预算执行情况 </w:t>
      </w:r>
    </w:p>
    <w:p>
      <w:pPr>
        <w:spacing w:line="360" w:lineRule="auto"/>
        <w:ind w:firstLine="640" w:firstLineChars="200"/>
        <w:rPr>
          <w:rFonts w:ascii="仿宋" w:hAnsi="仿宋" w:eastAsia="仿宋"/>
          <w:sz w:val="32"/>
          <w:szCs w:val="32"/>
        </w:rPr>
      </w:pPr>
      <w:r>
        <w:rPr>
          <w:rFonts w:hint="eastAsia" w:ascii="仿宋" w:hAnsi="仿宋" w:eastAsia="仿宋"/>
          <w:sz w:val="32"/>
          <w:szCs w:val="32"/>
        </w:rPr>
        <w:t>2021年度“三公”经费支出决算为0.69万元，其中：因公出国（境）费支出决算为0万元（因公出国组团0次，因公出国0人次），；公务用车购置及运行费支出决算为0.69万元（公务用车购置0台，保有量1台），完成预算的90%；</w:t>
      </w:r>
    </w:p>
    <w:p>
      <w:pPr>
        <w:spacing w:line="360" w:lineRule="auto"/>
        <w:rPr>
          <w:rFonts w:ascii="仿宋" w:hAnsi="仿宋" w:eastAsia="仿宋"/>
          <w:sz w:val="32"/>
          <w:szCs w:val="32"/>
        </w:rPr>
      </w:pPr>
      <w:r>
        <w:rPr>
          <w:rFonts w:hint="eastAsia" w:ascii="仿宋" w:hAnsi="仿宋" w:eastAsia="仿宋"/>
          <w:sz w:val="32"/>
          <w:szCs w:val="32"/>
        </w:rPr>
        <w:t>公务接待费支出决算为0万元（国内公务接待0批，共计0人；国外公务接待0批，共计0人）。</w:t>
      </w:r>
    </w:p>
    <w:p>
      <w:pPr>
        <w:spacing w:line="360" w:lineRule="auto"/>
        <w:ind w:firstLine="640" w:firstLineChars="200"/>
        <w:rPr>
          <w:rFonts w:ascii="仿宋" w:hAnsi="仿宋" w:eastAsia="仿宋"/>
          <w:sz w:val="32"/>
          <w:szCs w:val="32"/>
        </w:rPr>
      </w:pPr>
      <w:r>
        <w:rPr>
          <w:rFonts w:hint="eastAsia" w:ascii="黑体" w:hAnsi="黑体" w:eastAsia="黑体"/>
          <w:sz w:val="32"/>
          <w:szCs w:val="32"/>
        </w:rPr>
        <w:t>三、资产管理情况</w:t>
      </w:r>
      <w:r>
        <w:rPr>
          <w:rFonts w:hint="eastAsia" w:ascii="仿宋" w:hAnsi="仿宋" w:eastAsia="仿宋"/>
          <w:sz w:val="32"/>
          <w:szCs w:val="32"/>
        </w:rPr>
        <w:t xml:space="preserve"> </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我们修订了资产管理制度，对单位公共财产物资实行统一管理、统一调配，并按使用人建立了资产实物管理台账，实行使用、保管签字登记制度。对单位固定资产统一采购、多人经办，每月月初根据各部门的需求制订采购计划，实行多人经办、“货比三家”，并按政府采购程序和有关规定加强采购手续。年底对财产物资进行清查、盘点、核对、处理。对取得的资产实物及时进行会计核算。</w:t>
      </w:r>
    </w:p>
    <w:p>
      <w:pPr>
        <w:spacing w:line="360" w:lineRule="auto"/>
        <w:ind w:firstLine="640" w:firstLineChars="200"/>
        <w:rPr>
          <w:rFonts w:ascii="仿宋" w:hAnsi="仿宋" w:eastAsia="仿宋"/>
          <w:sz w:val="32"/>
          <w:szCs w:val="32"/>
        </w:rPr>
      </w:pPr>
      <w:r>
        <w:rPr>
          <w:rFonts w:hint="eastAsia" w:ascii="仿宋" w:hAnsi="仿宋" w:eastAsia="仿宋"/>
          <w:sz w:val="32"/>
          <w:szCs w:val="32"/>
        </w:rPr>
        <w:t>2021年底资产共计724.74万元，其中固定资产347.59万元、流动资产377.15万元。</w:t>
      </w:r>
    </w:p>
    <w:p>
      <w:pPr>
        <w:spacing w:line="360" w:lineRule="auto"/>
        <w:ind w:firstLine="640" w:firstLineChars="200"/>
        <w:rPr>
          <w:rFonts w:ascii="黑体" w:hAnsi="黑体" w:eastAsia="黑体"/>
          <w:sz w:val="32"/>
          <w:szCs w:val="32"/>
        </w:rPr>
      </w:pPr>
      <w:r>
        <w:rPr>
          <w:rFonts w:hint="eastAsia" w:ascii="黑体" w:hAnsi="黑体" w:eastAsia="黑体"/>
          <w:sz w:val="32"/>
          <w:szCs w:val="32"/>
        </w:rPr>
        <w:t>四、部门整体支出绩效情况</w:t>
      </w:r>
    </w:p>
    <w:p>
      <w:pPr>
        <w:spacing w:line="360" w:lineRule="auto"/>
        <w:ind w:firstLine="640" w:firstLineChars="200"/>
        <w:rPr>
          <w:rFonts w:ascii="仿宋" w:hAnsi="仿宋" w:eastAsia="仿宋"/>
          <w:sz w:val="32"/>
          <w:szCs w:val="32"/>
        </w:rPr>
      </w:pPr>
      <w:r>
        <w:rPr>
          <w:rFonts w:hint="eastAsia" w:ascii="仿宋" w:hAnsi="仿宋" w:eastAsia="仿宋"/>
          <w:sz w:val="32"/>
          <w:szCs w:val="32"/>
        </w:rPr>
        <w:t>2021年，我单位积极履职，强化管理，较好地完成了年度工作目标。通过加强预算收支管理，不断建立健全内部管理制度，梳理内部管理流程，部门整体支出管理水平得到提升。根据部门整体支出绩效评价指标体系，我单位2021年度评价得分为94分。部门整体支出绩效情况如下：</w:t>
      </w:r>
    </w:p>
    <w:p>
      <w:pPr>
        <w:spacing w:line="360" w:lineRule="auto"/>
        <w:ind w:firstLine="640" w:firstLineChars="200"/>
        <w:rPr>
          <w:rFonts w:ascii="仿宋" w:hAnsi="仿宋" w:eastAsia="仿宋"/>
          <w:sz w:val="32"/>
          <w:szCs w:val="32"/>
        </w:rPr>
      </w:pPr>
      <w:r>
        <w:rPr>
          <w:rFonts w:hint="eastAsia" w:ascii="仿宋" w:hAnsi="仿宋" w:eastAsia="仿宋"/>
          <w:sz w:val="32"/>
          <w:szCs w:val="32"/>
        </w:rPr>
        <w:t>1. 预算配置控制较好得10分。其中：在职人员控制率：在职43人/编制57人*100%=75.44%，得5分；“三公”经费预算数没变动，变动率等于0，得5分。</w:t>
      </w:r>
    </w:p>
    <w:p>
      <w:pPr>
        <w:spacing w:line="360" w:lineRule="auto"/>
        <w:ind w:firstLine="640" w:firstLineChars="200"/>
        <w:rPr>
          <w:rFonts w:ascii="仿宋" w:hAnsi="仿宋" w:eastAsia="仿宋"/>
          <w:sz w:val="32"/>
          <w:szCs w:val="32"/>
        </w:rPr>
      </w:pPr>
      <w:r>
        <w:rPr>
          <w:rFonts w:hint="eastAsia" w:ascii="仿宋" w:hAnsi="仿宋" w:eastAsia="仿宋"/>
          <w:sz w:val="32"/>
          <w:szCs w:val="32"/>
        </w:rPr>
        <w:t>2. 预算执行比较到位得14分。</w:t>
      </w:r>
    </w:p>
    <w:p>
      <w:pPr>
        <w:spacing w:line="360" w:lineRule="auto"/>
        <w:ind w:firstLine="640" w:firstLineChars="200"/>
        <w:rPr>
          <w:rFonts w:ascii="仿宋" w:hAnsi="仿宋" w:eastAsia="仿宋"/>
          <w:sz w:val="32"/>
          <w:szCs w:val="32"/>
        </w:rPr>
      </w:pPr>
      <w:r>
        <w:rPr>
          <w:rFonts w:hint="eastAsia" w:ascii="仿宋" w:hAnsi="仿宋" w:eastAsia="仿宋"/>
          <w:sz w:val="32"/>
          <w:szCs w:val="32"/>
        </w:rPr>
        <w:t>（1）预算完成率=（上年结转525.77万元+年初预算数633.62万元+本年追加预算596.31万元-年末结余341.93万元）/(上年结转525.77万元+年初预算数633.62万元+本年追加预算596.31万元)*100%=80.52%，得2分。</w:t>
      </w:r>
    </w:p>
    <w:p>
      <w:pPr>
        <w:spacing w:line="360" w:lineRule="auto"/>
        <w:ind w:firstLine="640" w:firstLineChars="200"/>
        <w:rPr>
          <w:rFonts w:ascii="仿宋" w:hAnsi="仿宋" w:eastAsia="仿宋"/>
          <w:sz w:val="32"/>
          <w:szCs w:val="32"/>
        </w:rPr>
      </w:pPr>
      <w:r>
        <w:rPr>
          <w:rFonts w:hint="eastAsia" w:ascii="仿宋" w:hAnsi="仿宋" w:eastAsia="仿宋"/>
          <w:sz w:val="32"/>
          <w:szCs w:val="32"/>
        </w:rPr>
        <w:t>（2）预算控制率=（本年追加预算596.31万元/年初预算数633.62万元）*100%，大于30%，得2分。</w:t>
      </w:r>
    </w:p>
    <w:p>
      <w:pPr>
        <w:spacing w:line="360" w:lineRule="auto"/>
        <w:ind w:firstLine="640" w:firstLineChars="200"/>
        <w:rPr>
          <w:rFonts w:ascii="仿宋" w:hAnsi="仿宋" w:eastAsia="仿宋"/>
          <w:sz w:val="32"/>
          <w:szCs w:val="32"/>
        </w:rPr>
      </w:pPr>
      <w:r>
        <w:rPr>
          <w:rFonts w:hint="eastAsia" w:ascii="仿宋" w:hAnsi="仿宋" w:eastAsia="仿宋"/>
          <w:sz w:val="32"/>
          <w:szCs w:val="32"/>
        </w:rPr>
        <w:t>（3）本年没有新建楼堂馆所按满分计得10分。</w:t>
      </w:r>
    </w:p>
    <w:p>
      <w:pPr>
        <w:spacing w:line="360" w:lineRule="auto"/>
        <w:ind w:firstLine="640" w:firstLineChars="200"/>
        <w:rPr>
          <w:rFonts w:ascii="仿宋" w:hAnsi="仿宋" w:eastAsia="仿宋"/>
          <w:sz w:val="32"/>
          <w:szCs w:val="32"/>
        </w:rPr>
      </w:pPr>
      <w:r>
        <w:rPr>
          <w:rFonts w:hint="eastAsia" w:ascii="仿宋" w:hAnsi="仿宋" w:eastAsia="仿宋"/>
          <w:sz w:val="32"/>
          <w:szCs w:val="32"/>
        </w:rPr>
        <w:t>3. 预算管理较理想，制度执行总体较为有效，但仍需进一步强化。得70分。</w:t>
      </w:r>
    </w:p>
    <w:p>
      <w:pPr>
        <w:spacing w:line="360" w:lineRule="auto"/>
        <w:ind w:firstLine="640" w:firstLineChars="200"/>
        <w:rPr>
          <w:rFonts w:ascii="仿宋" w:hAnsi="仿宋" w:eastAsia="仿宋"/>
          <w:sz w:val="32"/>
          <w:szCs w:val="32"/>
        </w:rPr>
      </w:pPr>
      <w:r>
        <w:rPr>
          <w:rFonts w:hint="eastAsia" w:ascii="仿宋" w:hAnsi="仿宋" w:eastAsia="仿宋"/>
          <w:sz w:val="32"/>
          <w:szCs w:val="32"/>
        </w:rPr>
        <w:t>（1）公用经费控制率=（实际支出公用经费总额0.69万元/预算安排公用经费总额8万元）*100%=8.63%，未超出预算安排的公用经费，得7分；</w:t>
      </w:r>
    </w:p>
    <w:p>
      <w:pPr>
        <w:spacing w:line="360" w:lineRule="auto"/>
        <w:ind w:firstLine="640" w:firstLineChars="200"/>
        <w:rPr>
          <w:rFonts w:ascii="仿宋" w:hAnsi="仿宋" w:eastAsia="仿宋"/>
          <w:sz w:val="32"/>
          <w:szCs w:val="32"/>
        </w:rPr>
      </w:pPr>
      <w:r>
        <w:rPr>
          <w:rFonts w:hint="eastAsia" w:ascii="仿宋" w:hAnsi="仿宋" w:eastAsia="仿宋"/>
          <w:sz w:val="32"/>
          <w:szCs w:val="32"/>
        </w:rPr>
        <w:t>（2）“三公”经费总体控制较好，较本年预算和上年决算支出数有较大幅度下降，“三公”经费控制率=（“三公经费”实际支出数0.69万元/“三公经费”预算安排数8万元）*100%=8.63%，计满分7分。</w:t>
      </w:r>
    </w:p>
    <w:p>
      <w:pPr>
        <w:spacing w:line="360" w:lineRule="auto"/>
        <w:ind w:firstLine="640" w:firstLineChars="200"/>
        <w:rPr>
          <w:rFonts w:ascii="仿宋" w:hAnsi="仿宋" w:eastAsia="仿宋"/>
          <w:sz w:val="32"/>
          <w:szCs w:val="32"/>
        </w:rPr>
      </w:pPr>
      <w:r>
        <w:rPr>
          <w:rFonts w:hint="eastAsia" w:ascii="仿宋" w:hAnsi="仿宋" w:eastAsia="仿宋"/>
          <w:sz w:val="32"/>
          <w:szCs w:val="32"/>
        </w:rPr>
        <w:t>（3）政府采购执行率=（实际政府采购金额与政府采购预算金额 一致）*100%=100%，得6分。</w:t>
      </w:r>
    </w:p>
    <w:p>
      <w:pPr>
        <w:spacing w:line="360" w:lineRule="auto"/>
        <w:ind w:firstLine="640" w:firstLineChars="200"/>
        <w:rPr>
          <w:rFonts w:ascii="仿宋" w:hAnsi="仿宋" w:eastAsia="仿宋"/>
          <w:sz w:val="32"/>
          <w:szCs w:val="32"/>
        </w:rPr>
      </w:pPr>
      <w:r>
        <w:rPr>
          <w:rFonts w:hint="eastAsia" w:ascii="仿宋" w:hAnsi="仿宋" w:eastAsia="仿宋"/>
          <w:sz w:val="32"/>
          <w:szCs w:val="32"/>
        </w:rPr>
        <w:t>（4）管理制度健全性得8分：有内部财务管理制度、内部控制制度、会计核算制度等管理制度，2分；有本部门厉行节约制度，2分；相关管理制度合法、合规、完整，2分；相关管理制度得到有效执行，并有考核制度，2分。</w:t>
      </w:r>
    </w:p>
    <w:p>
      <w:pPr>
        <w:spacing w:line="360" w:lineRule="auto"/>
        <w:ind w:firstLine="640" w:firstLineChars="200"/>
        <w:rPr>
          <w:rFonts w:ascii="仿宋" w:hAnsi="仿宋" w:eastAsia="仿宋"/>
          <w:sz w:val="32"/>
          <w:szCs w:val="32"/>
        </w:rPr>
      </w:pPr>
      <w:r>
        <w:rPr>
          <w:rFonts w:hint="eastAsia" w:ascii="仿宋" w:hAnsi="仿宋" w:eastAsia="仿宋"/>
          <w:sz w:val="32"/>
          <w:szCs w:val="32"/>
        </w:rPr>
        <w:t>（5）资金使用合规性得6分：本年度支出的所有资金均由县财政局国库支付，支出符合国家财经法规和财务管理制度规定以及有关专项资金管理办法的规定；资金拨付有完整的审批程序和手续；项目支出按规定经过评估论证；支出符合部门预算批复的用途；资金使用无截留、挤占、挪用、虚列支出等情况。</w:t>
      </w:r>
    </w:p>
    <w:p>
      <w:pPr>
        <w:spacing w:line="360" w:lineRule="auto"/>
        <w:ind w:firstLine="640" w:firstLineChars="200"/>
        <w:rPr>
          <w:rFonts w:ascii="仿宋" w:hAnsi="仿宋" w:eastAsia="仿宋"/>
          <w:sz w:val="32"/>
          <w:szCs w:val="32"/>
        </w:rPr>
      </w:pPr>
      <w:r>
        <w:rPr>
          <w:rFonts w:hint="eastAsia" w:ascii="仿宋" w:hAnsi="仿宋" w:eastAsia="仿宋"/>
          <w:sz w:val="32"/>
          <w:szCs w:val="32"/>
        </w:rPr>
        <w:t>（6）预决算信息公开性得5分：一是按规定在县政府门户网站公开信息；二是基础数据信息和会计信息资料真实、完整、准确。</w:t>
      </w:r>
    </w:p>
    <w:p>
      <w:pPr>
        <w:spacing w:line="360" w:lineRule="auto"/>
        <w:ind w:firstLine="640" w:firstLineChars="200"/>
        <w:rPr>
          <w:rFonts w:ascii="仿宋" w:hAnsi="仿宋" w:eastAsia="仿宋"/>
          <w:sz w:val="32"/>
          <w:szCs w:val="32"/>
        </w:rPr>
      </w:pPr>
      <w:r>
        <w:rPr>
          <w:rFonts w:hint="eastAsia" w:ascii="仿宋" w:hAnsi="仿宋" w:eastAsia="仿宋"/>
          <w:sz w:val="32"/>
          <w:szCs w:val="32"/>
        </w:rPr>
        <w:t>（7）职责履行得8分：2021年我单位在全体干部职工的共同努力下圆满出色完成了各项工作目标和任务。</w:t>
      </w:r>
    </w:p>
    <w:p>
      <w:pPr>
        <w:spacing w:line="360" w:lineRule="auto"/>
        <w:ind w:firstLine="640" w:firstLineChars="200"/>
        <w:rPr>
          <w:rFonts w:ascii="仿宋" w:hAnsi="仿宋" w:eastAsia="仿宋"/>
          <w:sz w:val="32"/>
          <w:szCs w:val="32"/>
        </w:rPr>
      </w:pPr>
      <w:r>
        <w:rPr>
          <w:rFonts w:hint="eastAsia" w:ascii="仿宋" w:hAnsi="仿宋" w:eastAsia="仿宋"/>
          <w:sz w:val="32"/>
          <w:szCs w:val="32"/>
        </w:rPr>
        <w:t>（8）履职效益得22分。</w:t>
      </w:r>
    </w:p>
    <w:p>
      <w:pPr>
        <w:pStyle w:val="6"/>
        <w:numPr>
          <w:ilvl w:val="0"/>
          <w:numId w:val="1"/>
        </w:numPr>
        <w:spacing w:line="360" w:lineRule="auto"/>
        <w:ind w:firstLineChars="0"/>
        <w:rPr>
          <w:rFonts w:ascii="仿宋" w:hAnsi="仿宋" w:eastAsia="仿宋"/>
          <w:sz w:val="32"/>
          <w:szCs w:val="32"/>
        </w:rPr>
      </w:pPr>
      <w:r>
        <w:rPr>
          <w:rFonts w:hint="eastAsia" w:ascii="仿宋" w:hAnsi="仿宋" w:eastAsia="仿宋"/>
          <w:sz w:val="32"/>
          <w:szCs w:val="32"/>
        </w:rPr>
        <w:t>经济效益、社会效益得10分：我单位的各方面工作都得到社会大众的肯定和好评。</w:t>
      </w:r>
    </w:p>
    <w:p>
      <w:pPr>
        <w:pStyle w:val="6"/>
        <w:numPr>
          <w:ilvl w:val="0"/>
          <w:numId w:val="1"/>
        </w:numPr>
        <w:spacing w:line="360" w:lineRule="auto"/>
        <w:ind w:firstLineChars="0"/>
        <w:rPr>
          <w:rFonts w:ascii="仿宋" w:hAnsi="仿宋" w:eastAsia="仿宋"/>
          <w:sz w:val="32"/>
          <w:szCs w:val="32"/>
        </w:rPr>
      </w:pPr>
      <w:r>
        <w:rPr>
          <w:rFonts w:hint="eastAsia" w:ascii="仿宋" w:hAnsi="仿宋" w:eastAsia="仿宋"/>
          <w:sz w:val="32"/>
          <w:szCs w:val="32"/>
        </w:rPr>
        <w:t>行政效能得6分：我单位不断改善行政管理、严格经费及资产管理，改进文风会风，精简会议，提高了行政效率，降低了行政成本。</w:t>
      </w:r>
    </w:p>
    <w:p>
      <w:pPr>
        <w:pStyle w:val="6"/>
        <w:numPr>
          <w:ilvl w:val="0"/>
          <w:numId w:val="1"/>
        </w:numPr>
        <w:spacing w:line="360" w:lineRule="auto"/>
        <w:ind w:firstLineChars="0"/>
        <w:rPr>
          <w:rFonts w:ascii="仿宋" w:hAnsi="仿宋" w:eastAsia="仿宋"/>
          <w:sz w:val="32"/>
          <w:szCs w:val="32"/>
        </w:rPr>
      </w:pPr>
      <w:r>
        <w:rPr>
          <w:rFonts w:hint="eastAsia" w:ascii="仿宋" w:hAnsi="仿宋" w:eastAsia="仿宋"/>
          <w:sz w:val="32"/>
          <w:szCs w:val="32"/>
        </w:rPr>
        <w:t>社会公众或服务对象满意度得6分：在年度绩效考核中成绩优异。</w:t>
      </w:r>
    </w:p>
    <w:p>
      <w:pPr>
        <w:spacing w:line="360" w:lineRule="auto"/>
        <w:ind w:firstLine="640" w:firstLineChars="200"/>
        <w:rPr>
          <w:rFonts w:ascii="仿宋" w:hAnsi="仿宋" w:eastAsia="仿宋"/>
          <w:sz w:val="32"/>
          <w:szCs w:val="32"/>
        </w:rPr>
      </w:pPr>
      <w:r>
        <w:rPr>
          <w:rFonts w:hint="eastAsia" w:ascii="黑体" w:hAnsi="黑体" w:eastAsia="黑体"/>
          <w:sz w:val="32"/>
          <w:szCs w:val="32"/>
        </w:rPr>
        <w:t>五、 存在的问题</w:t>
      </w:r>
      <w:r>
        <w:rPr>
          <w:rFonts w:hint="eastAsia" w:ascii="仿宋" w:hAnsi="仿宋" w:eastAsia="仿宋"/>
          <w:sz w:val="32"/>
          <w:szCs w:val="32"/>
        </w:rPr>
        <w:t xml:space="preserve"> </w:t>
      </w:r>
    </w:p>
    <w:p>
      <w:pPr>
        <w:spacing w:line="360" w:lineRule="auto"/>
        <w:ind w:firstLine="640" w:firstLineChars="200"/>
        <w:rPr>
          <w:rFonts w:ascii="仿宋" w:hAnsi="仿宋" w:eastAsia="仿宋"/>
          <w:sz w:val="32"/>
          <w:szCs w:val="32"/>
        </w:rPr>
      </w:pPr>
      <w:r>
        <w:rPr>
          <w:rFonts w:hint="eastAsia" w:ascii="仿宋" w:hAnsi="仿宋" w:eastAsia="仿宋"/>
          <w:sz w:val="32"/>
          <w:szCs w:val="32"/>
        </w:rPr>
        <w:t>1、预算编制工作有待细化。预算编制不够明确和细化，预算编制的合理性需要提高，预算执行力度还要进一步加强。</w:t>
      </w:r>
    </w:p>
    <w:p>
      <w:pPr>
        <w:spacing w:line="360" w:lineRule="auto"/>
        <w:ind w:firstLine="640" w:firstLineChars="200"/>
        <w:rPr>
          <w:rFonts w:ascii="仿宋" w:hAnsi="仿宋" w:eastAsia="仿宋"/>
          <w:sz w:val="32"/>
          <w:szCs w:val="32"/>
        </w:rPr>
      </w:pPr>
      <w:r>
        <w:rPr>
          <w:rFonts w:hint="eastAsia" w:ascii="仿宋" w:hAnsi="仿宋" w:eastAsia="仿宋"/>
          <w:sz w:val="32"/>
          <w:szCs w:val="32"/>
        </w:rPr>
        <w:t>2、因单位全额编制少，导致经费不足。绩效工资和日常公用经费不足、与实际支出相差较大。</w:t>
      </w:r>
    </w:p>
    <w:p>
      <w:pPr>
        <w:spacing w:line="360" w:lineRule="auto"/>
        <w:ind w:firstLine="640" w:firstLineChars="200"/>
        <w:rPr>
          <w:rFonts w:ascii="仿宋" w:hAnsi="仿宋" w:eastAsia="仿宋"/>
          <w:sz w:val="32"/>
          <w:szCs w:val="32"/>
        </w:rPr>
      </w:pPr>
      <w:r>
        <w:rPr>
          <w:rFonts w:hint="eastAsia" w:ascii="仿宋" w:hAnsi="仿宋" w:eastAsia="仿宋"/>
          <w:sz w:val="32"/>
          <w:szCs w:val="32"/>
        </w:rPr>
        <w:t>3、公用经费控制有一定难度，基本为刚性支出。</w:t>
      </w:r>
    </w:p>
    <w:p>
      <w:pPr>
        <w:spacing w:line="360" w:lineRule="auto"/>
        <w:ind w:firstLine="640" w:firstLineChars="200"/>
        <w:rPr>
          <w:rFonts w:ascii="黑体" w:hAnsi="黑体" w:eastAsia="黑体"/>
          <w:sz w:val="32"/>
          <w:szCs w:val="32"/>
        </w:rPr>
      </w:pPr>
      <w:r>
        <w:rPr>
          <w:rFonts w:hint="eastAsia" w:ascii="黑体" w:hAnsi="黑体" w:eastAsia="黑体"/>
          <w:sz w:val="32"/>
          <w:szCs w:val="32"/>
        </w:rPr>
        <w:t>六、绩效自评结果拟应用和公开情况</w:t>
      </w:r>
    </w:p>
    <w:p>
      <w:pPr>
        <w:spacing w:line="360" w:lineRule="auto"/>
        <w:ind w:firstLine="640" w:firstLineChars="200"/>
        <w:rPr>
          <w:rFonts w:ascii="黑体" w:hAnsi="黑体" w:eastAsia="黑体"/>
          <w:sz w:val="32"/>
          <w:szCs w:val="32"/>
        </w:rPr>
      </w:pPr>
      <w:r>
        <w:rPr>
          <w:rFonts w:hint="eastAsia" w:ascii="仿宋" w:hAnsi="仿宋" w:eastAsia="仿宋"/>
          <w:sz w:val="32"/>
          <w:szCs w:val="32"/>
        </w:rPr>
        <w:t>高度重视绩效评价结果的应用工作，积极探索和建立一套与预算管理相结合，多渠道应用评价结果的有效机制，着力提高绩效意识和财政资金使用效益，同时，将绩效自评报告在福田铺乡党政门户网上进行公开，广泛接受社会监督。</w:t>
      </w:r>
    </w:p>
    <w:p>
      <w:pPr>
        <w:spacing w:line="360" w:lineRule="auto"/>
        <w:ind w:firstLine="640" w:firstLineChars="200"/>
        <w:rPr>
          <w:rFonts w:ascii="仿宋" w:hAnsi="仿宋" w:eastAsia="仿宋"/>
          <w:sz w:val="32"/>
          <w:szCs w:val="32"/>
        </w:rPr>
      </w:pPr>
      <w:r>
        <w:rPr>
          <w:rFonts w:hint="eastAsia" w:ascii="黑体" w:hAnsi="黑体" w:eastAsia="黑体"/>
          <w:sz w:val="32"/>
          <w:szCs w:val="32"/>
        </w:rPr>
        <w:t>七、改进措施和有关建议</w:t>
      </w:r>
      <w:r>
        <w:rPr>
          <w:rFonts w:hint="eastAsia" w:ascii="仿宋" w:hAnsi="仿宋" w:eastAsia="仿宋"/>
          <w:sz w:val="32"/>
          <w:szCs w:val="32"/>
        </w:rPr>
        <w:t xml:space="preserve"> </w:t>
      </w:r>
    </w:p>
    <w:p>
      <w:pPr>
        <w:spacing w:line="360" w:lineRule="auto"/>
        <w:ind w:firstLine="640" w:firstLineChars="200"/>
        <w:rPr>
          <w:rFonts w:ascii="仿宋" w:hAnsi="仿宋" w:eastAsia="仿宋"/>
          <w:sz w:val="32"/>
          <w:szCs w:val="32"/>
        </w:rPr>
      </w:pPr>
      <w:r>
        <w:rPr>
          <w:rFonts w:hint="eastAsia" w:ascii="仿宋" w:hAnsi="仿宋" w:eastAsia="仿宋"/>
          <w:sz w:val="32"/>
          <w:szCs w:val="32"/>
        </w:rPr>
        <w:t>针对上述存在的问题及对外整体支出管理工作的需要，拟实施的改进措施如下：</w:t>
      </w:r>
    </w:p>
    <w:p>
      <w:pPr>
        <w:spacing w:line="360" w:lineRule="auto"/>
        <w:ind w:firstLine="640" w:firstLineChars="200"/>
        <w:rPr>
          <w:rFonts w:ascii="仿宋" w:hAnsi="仿宋" w:eastAsia="仿宋"/>
          <w:sz w:val="32"/>
          <w:szCs w:val="32"/>
        </w:rPr>
      </w:pPr>
      <w:r>
        <w:rPr>
          <w:rFonts w:hint="eastAsia" w:ascii="仿宋" w:hAnsi="仿宋" w:eastAsia="仿宋"/>
          <w:sz w:val="32"/>
          <w:szCs w:val="32"/>
        </w:rPr>
        <w:t>1、细化预算编制工作，认真做好预算的编制。进一步加强单位内部机构各股室的预算管理意识，严格按照预算编制的相关制度和要求进行预算编制；全面编制预算项目，优先保障固定性的、相对刚性的费用支出项目，尽量压缩变动性的、有控制空间的费用项目，进一步提高预算编制的科学性、严谨性和可控性。加强内部预算编制的审核和预算控制指标的下达。</w:t>
      </w:r>
    </w:p>
    <w:p>
      <w:pPr>
        <w:spacing w:line="360" w:lineRule="auto"/>
        <w:ind w:firstLine="640" w:firstLineChars="200"/>
        <w:rPr>
          <w:rFonts w:ascii="仿宋" w:hAnsi="仿宋" w:eastAsia="仿宋"/>
          <w:sz w:val="32"/>
          <w:szCs w:val="32"/>
        </w:rPr>
      </w:pPr>
      <w:r>
        <w:rPr>
          <w:rFonts w:hint="eastAsia" w:ascii="仿宋" w:hAnsi="仿宋" w:eastAsia="仿宋"/>
          <w:sz w:val="32"/>
          <w:szCs w:val="32"/>
        </w:rPr>
        <w:t>2、加强财务管理，严格财务审核。加强单位财务管理，健全单位财务管理制度体系，规范单位财务行为。在费用报账支付时，按照预算规定的费用项目和用途进行资金使用审核、列报支付、财务核算，杜绝超支现象的发生。</w:t>
      </w:r>
    </w:p>
    <w:p>
      <w:pPr>
        <w:spacing w:line="360" w:lineRule="auto"/>
        <w:ind w:firstLine="640" w:firstLineChars="200"/>
        <w:rPr>
          <w:rFonts w:ascii="仿宋" w:hAnsi="仿宋" w:eastAsia="仿宋"/>
          <w:sz w:val="32"/>
          <w:szCs w:val="32"/>
        </w:rPr>
      </w:pPr>
      <w:r>
        <w:rPr>
          <w:rFonts w:hint="eastAsia" w:ascii="仿宋" w:hAnsi="仿宋" w:eastAsia="仿宋"/>
          <w:sz w:val="32"/>
          <w:szCs w:val="32"/>
        </w:rPr>
        <w:t>3、完善资产管理，抓好“三公”经费控制。严格编制政府采购年初预算和计划，规范各类资产的购置审批制度、资产出租出借和收入管理制度、资产采购制度、使用管理制度、资产处置和报废审批制度、资产管理岗位职责制度等，加强单位内部的资产管理工作。严格控制“三公”经费的规模和比例，把关“三公”经费支出的审核、审批，杜绝挪用和挤占其他预算资金行为；进一步细化“三公”经费的管理，合理压缩“三公”经费支出。</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4、对相关人员加强培训，特别是针对《预算法》《行政事业单位会计制度》等学习培训，规范部门预算收支核算，切实提高部门预算收支管理水平。</w:t>
      </w:r>
    </w:p>
    <w:p>
      <w:pPr>
        <w:spacing w:line="360" w:lineRule="auto"/>
        <w:ind w:firstLine="640" w:firstLineChars="200"/>
        <w:rPr>
          <w:rFonts w:hint="eastAsia" w:ascii="仿宋" w:hAnsi="仿宋" w:eastAsia="仿宋"/>
          <w:sz w:val="32"/>
          <w:szCs w:val="32"/>
        </w:rPr>
      </w:pPr>
    </w:p>
    <w:p>
      <w:pPr>
        <w:spacing w:line="360" w:lineRule="auto"/>
        <w:ind w:firstLine="640" w:firstLineChars="200"/>
        <w:rPr>
          <w:rFonts w:hint="eastAsia" w:ascii="仿宋" w:hAnsi="仿宋" w:eastAsia="仿宋"/>
          <w:sz w:val="32"/>
          <w:szCs w:val="32"/>
        </w:rPr>
      </w:pPr>
    </w:p>
    <w:sectPr>
      <w:pgSz w:w="11906" w:h="16838"/>
      <w:pgMar w:top="1588" w:right="1247" w:bottom="1474"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C50231"/>
    <w:multiLevelType w:val="multilevel"/>
    <w:tmpl w:val="18C50231"/>
    <w:lvl w:ilvl="0" w:tentative="0">
      <w:start w:val="1"/>
      <w:numFmt w:val="decimal"/>
      <w:lvlText w:val="%1)"/>
      <w:lvlJc w:val="left"/>
      <w:pPr>
        <w:ind w:left="1060" w:hanging="420"/>
      </w:p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6FD9"/>
    <w:rsid w:val="000045DA"/>
    <w:rsid w:val="00146311"/>
    <w:rsid w:val="00150AFC"/>
    <w:rsid w:val="0016182C"/>
    <w:rsid w:val="001D48C3"/>
    <w:rsid w:val="002334F2"/>
    <w:rsid w:val="002A61B6"/>
    <w:rsid w:val="002D3E40"/>
    <w:rsid w:val="003217BE"/>
    <w:rsid w:val="003E1493"/>
    <w:rsid w:val="00434483"/>
    <w:rsid w:val="004B03D8"/>
    <w:rsid w:val="004B61F4"/>
    <w:rsid w:val="005E6FD9"/>
    <w:rsid w:val="00666B0C"/>
    <w:rsid w:val="00693FE3"/>
    <w:rsid w:val="006B2ADD"/>
    <w:rsid w:val="006C79FB"/>
    <w:rsid w:val="006E2B6E"/>
    <w:rsid w:val="00702DEF"/>
    <w:rsid w:val="00782986"/>
    <w:rsid w:val="007831A4"/>
    <w:rsid w:val="00784B47"/>
    <w:rsid w:val="007B024E"/>
    <w:rsid w:val="007B081B"/>
    <w:rsid w:val="007C0889"/>
    <w:rsid w:val="007C7230"/>
    <w:rsid w:val="008B4D68"/>
    <w:rsid w:val="008E39FC"/>
    <w:rsid w:val="008F61AE"/>
    <w:rsid w:val="00960E7A"/>
    <w:rsid w:val="00A93B5A"/>
    <w:rsid w:val="00BD6E42"/>
    <w:rsid w:val="00BF0184"/>
    <w:rsid w:val="00BF528B"/>
    <w:rsid w:val="00C66C74"/>
    <w:rsid w:val="00D05E5C"/>
    <w:rsid w:val="00D4516D"/>
    <w:rsid w:val="00D7529C"/>
    <w:rsid w:val="00DB4DB6"/>
    <w:rsid w:val="00DB51DF"/>
    <w:rsid w:val="00DC19EA"/>
    <w:rsid w:val="00DE2691"/>
    <w:rsid w:val="00F6053C"/>
    <w:rsid w:val="00FD3C05"/>
    <w:rsid w:val="00FE64BC"/>
    <w:rsid w:val="2C5E20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 w:type="character" w:customStyle="1" w:styleId="7">
    <w:name w:val="页眉 Char"/>
    <w:basedOn w:val="5"/>
    <w:link w:val="3"/>
    <w:semiHidden/>
    <w:qFormat/>
    <w:uiPriority w:val="99"/>
    <w:rPr>
      <w:sz w:val="18"/>
      <w:szCs w:val="18"/>
    </w:rPr>
  </w:style>
  <w:style w:type="character" w:customStyle="1" w:styleId="8">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4999</Words>
  <Characters>5427</Characters>
  <Lines>39</Lines>
  <Paragraphs>11</Paragraphs>
  <TotalTime>26</TotalTime>
  <ScaleCrop>false</ScaleCrop>
  <LinksUpToDate>false</LinksUpToDate>
  <CharactersWithSpaces>5470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2023-04-21T07:13:00Z</dcterms:created>
  <dc:creator>xb21cn</dc:creator>
  <cp:lastModifiedBy>Administrator</cp:lastModifiedBy>
  <cp:lastPrinted>2021-05-20T07:45:00Z</cp:lastPrinted>
  <dcterms:modified xsi:type="dcterms:W3CDTF">2023-04-24T03:16:02Z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AFC7F8338C404B2C8069645E715B504E</vt:lpwstr>
  </property>
</Properties>
</file>