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eastAsia="仿宋_GB2312"/>
          <w:sz w:val="32"/>
        </w:rPr>
      </w:pPr>
      <w:bookmarkStart w:id="8" w:name="_GoBack"/>
      <w:bookmarkEnd w:id="8"/>
    </w:p>
    <w:p>
      <w:pPr>
        <w:spacing w:line="700" w:lineRule="exact"/>
        <w:jc w:val="center"/>
        <w:rPr>
          <w:rFonts w:hint="eastAsia" w:ascii="宋体" w:hAnsi="宋体" w:eastAsia="宋体" w:cs="宋体"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sz w:val="72"/>
          <w:szCs w:val="72"/>
        </w:rPr>
      </w:pPr>
      <w:r>
        <w:rPr>
          <w:rFonts w:hint="eastAsia" w:ascii="宋体" w:hAnsi="宋体" w:eastAsia="宋体" w:cs="宋体"/>
          <w:sz w:val="72"/>
          <w:szCs w:val="72"/>
        </w:rPr>
        <w:t>20</w:t>
      </w:r>
      <w:r>
        <w:rPr>
          <w:rFonts w:hint="eastAsia" w:ascii="宋体" w:hAnsi="宋体" w:eastAsia="宋体" w:cs="宋体"/>
          <w:sz w:val="72"/>
          <w:szCs w:val="72"/>
          <w:lang w:val="en-US" w:eastAsia="zh-CN"/>
        </w:rPr>
        <w:t>2</w:t>
      </w:r>
      <w:r>
        <w:rPr>
          <w:rFonts w:hint="eastAsia" w:ascii="宋体" w:hAnsi="宋体" w:cs="宋体"/>
          <w:sz w:val="72"/>
          <w:szCs w:val="72"/>
          <w:lang w:val="en-US" w:eastAsia="zh-CN"/>
        </w:rPr>
        <w:t>2</w:t>
      </w:r>
      <w:r>
        <w:rPr>
          <w:rFonts w:hint="eastAsia" w:ascii="宋体" w:hAnsi="宋体" w:eastAsia="宋体" w:cs="宋体"/>
          <w:sz w:val="72"/>
          <w:szCs w:val="72"/>
        </w:rPr>
        <w:t>年度部门整体支出</w:t>
      </w:r>
    </w:p>
    <w:p>
      <w:pPr>
        <w:jc w:val="both"/>
        <w:rPr>
          <w:rFonts w:hint="eastAsia" w:ascii="方正小标宋_GBK" w:eastAsia="方正小标宋_GBK"/>
          <w:sz w:val="48"/>
          <w:szCs w:val="48"/>
        </w:rPr>
      </w:pPr>
    </w:p>
    <w:p>
      <w:pPr>
        <w:jc w:val="both"/>
        <w:rPr>
          <w:rFonts w:hint="eastAsia" w:ascii="方正小标宋_GBK" w:eastAsia="方正小标宋_GBK"/>
          <w:sz w:val="48"/>
          <w:szCs w:val="48"/>
        </w:rPr>
      </w:pPr>
    </w:p>
    <w:p>
      <w:pPr>
        <w:ind w:firstLine="4155" w:firstLineChars="500"/>
        <w:jc w:val="both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绩</w:t>
      </w:r>
    </w:p>
    <w:p>
      <w:pPr>
        <w:ind w:firstLine="4155" w:firstLineChars="500"/>
        <w:jc w:val="both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效</w:t>
      </w:r>
    </w:p>
    <w:p>
      <w:pPr>
        <w:jc w:val="center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84"/>
          <w:szCs w:val="84"/>
        </w:rPr>
        <w:t>自</w:t>
      </w:r>
    </w:p>
    <w:p>
      <w:pPr>
        <w:jc w:val="center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84"/>
          <w:szCs w:val="84"/>
        </w:rPr>
        <w:t>评</w:t>
      </w:r>
    </w:p>
    <w:p>
      <w:pPr>
        <w:jc w:val="center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84"/>
          <w:szCs w:val="84"/>
        </w:rPr>
        <w:t>报</w:t>
      </w:r>
    </w:p>
    <w:p>
      <w:pPr>
        <w:jc w:val="center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</w:rPr>
        <w:t>告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ind w:firstLine="862" w:firstLineChars="20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衡山县残疾人联合会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pStyle w:val="17"/>
        <w:widowControl/>
        <w:numPr>
          <w:ilvl w:val="0"/>
          <w:numId w:val="1"/>
        </w:numPr>
        <w:spacing w:line="600" w:lineRule="exact"/>
        <w:ind w:left="0" w:leftChars="0"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部门、单位基本情况</w:t>
      </w:r>
    </w:p>
    <w:p>
      <w:pPr>
        <w:widowControl/>
        <w:numPr>
          <w:ilvl w:val="0"/>
          <w:numId w:val="2"/>
        </w:numPr>
        <w:ind w:firstLine="778" w:firstLineChars="250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部门主要职责</w:t>
      </w:r>
    </w:p>
    <w:p>
      <w:pPr>
        <w:widowControl/>
        <w:numPr>
          <w:ilvl w:val="0"/>
          <w:numId w:val="0"/>
        </w:numPr>
        <w:ind w:firstLine="622" w:firstLineChars="200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根据《残疾人保障法》等有关规定，县残联履行“代表、服务、管理”职能。其主要职责是：</w:t>
      </w:r>
    </w:p>
    <w:p>
      <w:pPr>
        <w:widowControl/>
        <w:ind w:firstLine="610" w:firstLineChars="196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主要职责：一是听取残疾人意见，反映残疾人需求，维护残疾人权益，为残疾人服务。二是团结教育残疾人遵守法律，履行应尽的义务，发扬乐观进取精神，自尊、自信、自强、自立，为社会主义建设贡献力量。三是弘扬人道主义精神，宣传残疾人事业，受政府委托发展残疾人事业、管理残疾人，动员社会理解、尊重、关心、帮助残疾人。四是协同有关部门开展残疾人康复、教育、劳动就业、扶贫、文化、体育、用品用具供应、福利、社会服务、无障碍设施和残疾预防工作，创造良好的环境和条件，扶助残疾人平等参与社会生活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是承担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政府残疾人工作委员会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的日常工作，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做好综合、组织、协调和服务。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是承办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委、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人民政府交办的其他事项。</w:t>
      </w:r>
    </w:p>
    <w:p>
      <w:pPr>
        <w:widowControl/>
        <w:ind w:firstLine="610" w:firstLineChars="196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（二）机构设置及人员编制情况</w:t>
      </w:r>
    </w:p>
    <w:p>
      <w:pPr>
        <w:pStyle w:val="17"/>
        <w:widowControl/>
        <w:numPr>
          <w:ilvl w:val="0"/>
          <w:numId w:val="0"/>
        </w:numPr>
        <w:spacing w:line="600" w:lineRule="exact"/>
        <w:ind w:firstLine="6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衡山县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残疾人联合会内设办公室、康复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股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、教育就业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股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证件管理股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财务股等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股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室。有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属二级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机构衡山县残疾人康复服务中心和衡山县残疾人劳动就业服务所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财务均未独立核算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核定</w:t>
      </w:r>
      <w:bookmarkStart w:id="0" w:name="AGENCY_NAME_TITLE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衡山县残疾人联合会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编制数合计</w:t>
      </w:r>
      <w:bookmarkStart w:id="1" w:name="JBQK_BZS_TOTAL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名，行政编制数</w:t>
      </w:r>
      <w:bookmarkStart w:id="2" w:name="JBQK_XZBZ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名，事业编制数</w:t>
      </w:r>
      <w:bookmarkStart w:id="3" w:name="JBQK_SYBZ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10</w:t>
      </w:r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名,工勤人员编制数</w:t>
      </w:r>
      <w:bookmarkStart w:id="4" w:name="JBQK_GQRYBZ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bookmarkEnd w:id="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名。现有在职在岗在编职工</w:t>
      </w:r>
      <w:bookmarkStart w:id="5" w:name="JBQK_XYZGZBZGR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12</w:t>
      </w:r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人，离退休</w:t>
      </w:r>
      <w:bookmarkStart w:id="6" w:name="JBQK_LTXR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聘人员</w:t>
      </w:r>
      <w:bookmarkStart w:id="7" w:name="JBQK_LSGR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</w:t>
      </w:r>
    </w:p>
    <w:p>
      <w:pPr>
        <w:numPr>
          <w:ilvl w:val="0"/>
          <w:numId w:val="3"/>
        </w:numPr>
        <w:spacing w:line="590" w:lineRule="exact"/>
        <w:ind w:left="56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预算支出及绩效情况</w:t>
      </w:r>
    </w:p>
    <w:p>
      <w:pPr>
        <w:numPr>
          <w:ilvl w:val="0"/>
          <w:numId w:val="4"/>
        </w:numPr>
        <w:spacing w:line="590" w:lineRule="exact"/>
        <w:ind w:left="560" w:left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部门预决算情况</w:t>
      </w:r>
    </w:p>
    <w:p>
      <w:pPr>
        <w:numPr>
          <w:ilvl w:val="0"/>
          <w:numId w:val="0"/>
        </w:numPr>
        <w:spacing w:line="59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1.部门预算情况</w:t>
      </w:r>
    </w:p>
    <w:p>
      <w:pPr>
        <w:spacing w:line="590" w:lineRule="exact"/>
        <w:ind w:firstLine="62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年年初</w:t>
      </w:r>
      <w:r>
        <w:rPr>
          <w:rFonts w:hint="eastAsia" w:ascii="仿宋" w:hAnsi="仿宋" w:eastAsia="仿宋"/>
          <w:sz w:val="32"/>
          <w:szCs w:val="32"/>
          <w:lang w:eastAsia="zh-CN"/>
        </w:rPr>
        <w:t>预算安排收入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110.26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其中一般公共财政拨款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110.26万元；2022年年初预算安排支出110.26万元，其中：基本支出101.26万元，项目支出9万元。</w:t>
      </w:r>
    </w:p>
    <w:p>
      <w:pPr>
        <w:numPr>
          <w:ilvl w:val="0"/>
          <w:numId w:val="5"/>
        </w:numPr>
        <w:spacing w:line="590" w:lineRule="exact"/>
        <w:ind w:firstLine="622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部门决算情况</w:t>
      </w:r>
    </w:p>
    <w:p>
      <w:pPr>
        <w:numPr>
          <w:ilvl w:val="0"/>
          <w:numId w:val="0"/>
        </w:numPr>
        <w:spacing w:line="590" w:lineRule="exact"/>
        <w:ind w:firstLine="62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022年决算总收入949.4万元，较预算增加839.14万元，总支出937.32万元，其中：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基本支出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198.8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%；项目支出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738.5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差异产生的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：上级残联年初工作任务未下达，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年中追加安排部分财政拨款预算，支出相应增加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56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/>
          <w:sz w:val="32"/>
          <w:szCs w:val="32"/>
        </w:rPr>
        <w:t>“三公”经费</w:t>
      </w:r>
      <w:r>
        <w:rPr>
          <w:rFonts w:hint="eastAsia" w:ascii="楷体" w:hAnsi="楷体" w:eastAsia="楷体"/>
          <w:sz w:val="32"/>
          <w:szCs w:val="32"/>
          <w:lang w:eastAsia="zh-CN"/>
        </w:rPr>
        <w:t>执行情况</w:t>
      </w:r>
    </w:p>
    <w:p>
      <w:pPr>
        <w:spacing w:line="590" w:lineRule="exact"/>
        <w:ind w:firstLine="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年“三公”经费预算数为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万元，其中，公务接待费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。继续认真贯彻落实中央八项规定、省委省政府相关规定和《湖南省公务用车制度改革总体方案》，厉行节约。</w:t>
      </w:r>
    </w:p>
    <w:p>
      <w:pPr>
        <w:spacing w:line="590" w:lineRule="exact"/>
        <w:ind w:firstLine="5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4.政府采购执行情况</w:t>
      </w:r>
    </w:p>
    <w:p>
      <w:pPr>
        <w:spacing w:line="590" w:lineRule="exact"/>
        <w:ind w:firstLine="55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年度政府采购支出总额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641.8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万元，其中：政府采购货物支出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47.7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政府采购工程（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EPC）329.6万元、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政府采购服务支出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265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/>
          <w:kern w:val="0"/>
          <w:sz w:val="32"/>
          <w:szCs w:val="32"/>
        </w:rPr>
        <w:t>其中：授予小微企业合同金额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641.8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万元，占政府采购支出总额的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6"/>
        </w:numPr>
        <w:spacing w:line="590" w:lineRule="exact"/>
        <w:ind w:firstLine="550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资产管理情况</w:t>
      </w:r>
    </w:p>
    <w:p>
      <w:pPr>
        <w:spacing w:line="360" w:lineRule="auto"/>
        <w:ind w:left="0" w:firstLine="622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截至 2022 年 12月31日，我单位资产总额 978.5 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负债总额 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净资产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52.3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2022年12月31日，固定资产账面原值107.48万元，在用资产107.48万元，资产使用率100%。</w:t>
      </w:r>
    </w:p>
    <w:p>
      <w:pPr>
        <w:numPr>
          <w:ilvl w:val="0"/>
          <w:numId w:val="4"/>
        </w:numPr>
        <w:spacing w:line="590" w:lineRule="exact"/>
        <w:ind w:left="56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资金使用及绩效情况</w:t>
      </w:r>
    </w:p>
    <w:p>
      <w:pPr>
        <w:pStyle w:val="2"/>
        <w:numPr>
          <w:ilvl w:val="0"/>
          <w:numId w:val="7"/>
        </w:numPr>
        <w:ind w:firstLine="622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整体绩效目标完成情况</w:t>
      </w:r>
    </w:p>
    <w:p>
      <w:pPr>
        <w:pStyle w:val="2"/>
        <w:numPr>
          <w:ilvl w:val="0"/>
          <w:numId w:val="8"/>
        </w:numPr>
        <w:ind w:firstLine="622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我会本着公开、公平、公正的原则，严格按照上级文件精神执行，严肃执行专项管理分配制度和财务监督制度，杜绝了以权谋私、优亲厚友、雁过拔毛、挤占和挪用专项资金现象的发生。</w:t>
      </w:r>
    </w:p>
    <w:p>
      <w:pPr>
        <w:pStyle w:val="2"/>
        <w:numPr>
          <w:ilvl w:val="0"/>
          <w:numId w:val="0"/>
        </w:numPr>
        <w:ind w:firstLine="622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（2）严格按流程办事、执行资金制度、项目公开。省级项目和资金下达后，由下至上逐级申报审批，手续完备、资料齐全，明确专人负责，实行责任追究制度，有公示要求的项目资金，按公示流程在相关网站公开；有政府集中采购要求的，实行按政府集中采购。</w:t>
      </w:r>
    </w:p>
    <w:p>
      <w:pPr>
        <w:pStyle w:val="2"/>
        <w:numPr>
          <w:ilvl w:val="0"/>
          <w:numId w:val="0"/>
        </w:numPr>
        <w:ind w:firstLine="622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（3）残疾人专项资金项目在2022年底已完成绩效目标。项目申报规范，绩效目标合理，绩效指标明确。</w:t>
      </w:r>
    </w:p>
    <w:p>
      <w:pPr>
        <w:pStyle w:val="2"/>
        <w:numPr>
          <w:ilvl w:val="0"/>
          <w:numId w:val="0"/>
        </w:numPr>
        <w:ind w:firstLine="622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2022年度整体情况，我单位100%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完成年度工作考核的各项工作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指标和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工作指标中涵盖的经济效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益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和社会效益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22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2.项目绩效目标完成情况</w:t>
      </w:r>
    </w:p>
    <w:p>
      <w:pPr>
        <w:widowControl/>
        <w:numPr>
          <w:ilvl w:val="0"/>
          <w:numId w:val="0"/>
        </w:numPr>
        <w:tabs>
          <w:tab w:val="left" w:pos="658"/>
        </w:tabs>
        <w:ind w:left="710"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（1）困难残疾人家庭无障碍改造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完成省重点民生实事项目“困难残疾人家庭无障碍改造”任务100户。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（2）超额完成0-14岁残疾儿童康复救助任务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2022年我县残疾儿童康复救助任务数26人·208月。截至12月底各机构在训69人·602.8月，其中智力残疾儿童37人、孤独症儿童17人、脑瘫儿童在训9人，听力儿童在训6人，完成率289.8%。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（3）残疾人精准康复服务</w:t>
      </w:r>
    </w:p>
    <w:p>
      <w:pPr>
        <w:spacing w:line="590" w:lineRule="exact"/>
        <w:ind w:firstLine="62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持证残疾人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12102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人，精准康复系统显示有需求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人，辅具需求1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人，适配辅具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1073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人；精神病免费发药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人，住院补助64人；假肢装配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完成精准康复服务管理系统录入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3908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人，服务率达到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93.03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%，辅具适配率完成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90.87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%，已超额完成任务。</w:t>
      </w:r>
    </w:p>
    <w:p>
      <w:pPr>
        <w:numPr>
          <w:ilvl w:val="0"/>
          <w:numId w:val="0"/>
        </w:numPr>
        <w:spacing w:line="590" w:lineRule="exact"/>
        <w:ind w:firstLine="62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三、存在的主要问题及下一步改进措施</w:t>
      </w:r>
    </w:p>
    <w:p>
      <w:pPr>
        <w:numPr>
          <w:ilvl w:val="0"/>
          <w:numId w:val="0"/>
        </w:numPr>
        <w:spacing w:line="590" w:lineRule="exact"/>
        <w:ind w:firstLine="62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（一）存在的主要问题</w:t>
      </w:r>
    </w:p>
    <w:p>
      <w:pPr>
        <w:pStyle w:val="2"/>
        <w:ind w:firstLine="62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一是随着社会经济的快速发展，物价的不断上涨及残疾人需求的不断提升，相关服务费用也在不断上涨，现行的资金标准及预算安排尚不能满足残疾人的迫切需求；二是专项资金监管制度有待进一步加强。</w:t>
      </w:r>
    </w:p>
    <w:p>
      <w:pPr>
        <w:numPr>
          <w:ilvl w:val="0"/>
          <w:numId w:val="4"/>
        </w:numPr>
        <w:ind w:left="56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下一步改进措施</w:t>
      </w:r>
    </w:p>
    <w:p>
      <w:pPr>
        <w:pStyle w:val="2"/>
        <w:numPr>
          <w:ilvl w:val="0"/>
          <w:numId w:val="0"/>
        </w:numPr>
        <w:ind w:firstLine="62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针对残疾人服务项目提标扩面，加大资金扶持力度；进一步建立和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规范财政资金管理、使用制度，强化绩效目标管理和责任意识，切实提高财政资金的使用效益。</w:t>
      </w:r>
    </w:p>
    <w:p>
      <w:pPr>
        <w:spacing w:line="590" w:lineRule="exact"/>
        <w:ind w:firstLine="62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spacing w:line="590" w:lineRule="exact"/>
        <w:ind w:firstLine="56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（一）、“三公”经费预算</w:t>
      </w:r>
    </w:p>
    <w:p>
      <w:pPr>
        <w:spacing w:line="590" w:lineRule="exact"/>
        <w:ind w:firstLine="54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“三公”经费预算</w:t>
      </w:r>
    </w:p>
    <w:p>
      <w:pPr>
        <w:spacing w:line="59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　　2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年“三公”经费预算数为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万元，其中，公务接待费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。继续认真贯彻落实中央八项规定、省委省政府相关规定和《湖南省公务用车制度改革总体方案》，厉行节约。</w:t>
      </w:r>
    </w:p>
    <w:p>
      <w:pPr>
        <w:widowControl/>
        <w:spacing w:line="600" w:lineRule="exact"/>
        <w:ind w:firstLine="622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2022年度预算支出绩效自评表</w:t>
      </w:r>
    </w:p>
    <w:p>
      <w:pPr>
        <w:rPr>
          <w:rFonts w:eastAsia="仿宋_GB2312"/>
          <w:kern w:val="0"/>
          <w:sz w:val="22"/>
          <w:szCs w:val="22"/>
        </w:rPr>
      </w:pPr>
      <w:r>
        <w:rPr>
          <w:rFonts w:eastAsia="方正小标宋_GBK"/>
          <w:kern w:val="0"/>
          <w:sz w:val="32"/>
          <w:szCs w:val="32"/>
        </w:rPr>
        <w:br w:type="page"/>
      </w:r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D88C6"/>
    <w:multiLevelType w:val="singleLevel"/>
    <w:tmpl w:val="AF1D88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B6AC02"/>
    <w:multiLevelType w:val="singleLevel"/>
    <w:tmpl w:val="BFB6AC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95C4DD6"/>
    <w:multiLevelType w:val="singleLevel"/>
    <w:tmpl w:val="F95C4DD6"/>
    <w:lvl w:ilvl="0" w:tentative="0">
      <w:start w:val="2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3">
    <w:nsid w:val="2019DDF5"/>
    <w:multiLevelType w:val="singleLevel"/>
    <w:tmpl w:val="2019DD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0FA9FC1"/>
    <w:multiLevelType w:val="singleLevel"/>
    <w:tmpl w:val="60FA9FC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94762C2"/>
    <w:multiLevelType w:val="singleLevel"/>
    <w:tmpl w:val="694762C2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16B1241"/>
    <w:multiLevelType w:val="singleLevel"/>
    <w:tmpl w:val="716B12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49946D5"/>
    <w:multiLevelType w:val="singleLevel"/>
    <w:tmpl w:val="749946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TI3Nzc0OTkyZGZjN2VhMjU2MTY3Mjg5MGMxYjYifQ=="/>
  </w:docVars>
  <w:rsids>
    <w:rsidRoot w:val="00CC3008"/>
    <w:rsid w:val="0003350F"/>
    <w:rsid w:val="000C2790"/>
    <w:rsid w:val="00191481"/>
    <w:rsid w:val="00223AA5"/>
    <w:rsid w:val="003209DE"/>
    <w:rsid w:val="003963BE"/>
    <w:rsid w:val="00651D89"/>
    <w:rsid w:val="007961C3"/>
    <w:rsid w:val="009D4A2F"/>
    <w:rsid w:val="00AF3825"/>
    <w:rsid w:val="00BA4F96"/>
    <w:rsid w:val="00C43FE7"/>
    <w:rsid w:val="00CC3008"/>
    <w:rsid w:val="00DC6F3D"/>
    <w:rsid w:val="00E25E12"/>
    <w:rsid w:val="00ED2940"/>
    <w:rsid w:val="00EF2DF2"/>
    <w:rsid w:val="04846602"/>
    <w:rsid w:val="07DB726F"/>
    <w:rsid w:val="096B5405"/>
    <w:rsid w:val="0D83453F"/>
    <w:rsid w:val="0F203DE0"/>
    <w:rsid w:val="0F7306C4"/>
    <w:rsid w:val="11C766C7"/>
    <w:rsid w:val="13985EC3"/>
    <w:rsid w:val="14FC4358"/>
    <w:rsid w:val="15711E45"/>
    <w:rsid w:val="17D077E9"/>
    <w:rsid w:val="17F266B9"/>
    <w:rsid w:val="18453D9B"/>
    <w:rsid w:val="19925334"/>
    <w:rsid w:val="1B0C7089"/>
    <w:rsid w:val="1D6C2C56"/>
    <w:rsid w:val="1DFE7ACC"/>
    <w:rsid w:val="27752EF5"/>
    <w:rsid w:val="29943FF5"/>
    <w:rsid w:val="2DE67786"/>
    <w:rsid w:val="303845C1"/>
    <w:rsid w:val="31CB5DD1"/>
    <w:rsid w:val="34DD2D3E"/>
    <w:rsid w:val="3C7020F5"/>
    <w:rsid w:val="3F0A5837"/>
    <w:rsid w:val="3F0C5EA0"/>
    <w:rsid w:val="4696680A"/>
    <w:rsid w:val="48D641BB"/>
    <w:rsid w:val="491B34A5"/>
    <w:rsid w:val="4B74183B"/>
    <w:rsid w:val="4D724297"/>
    <w:rsid w:val="4F846A62"/>
    <w:rsid w:val="50D266F0"/>
    <w:rsid w:val="5A360F6C"/>
    <w:rsid w:val="5F0649ED"/>
    <w:rsid w:val="60484B86"/>
    <w:rsid w:val="63972DD1"/>
    <w:rsid w:val="7147097F"/>
    <w:rsid w:val="77BF31CA"/>
    <w:rsid w:val="7CF315C9"/>
    <w:rsid w:val="7CF63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semiHidden="0" w:name="annotation text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0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iPriority w:val="99"/>
    <w:pPr>
      <w:jc w:val="left"/>
    </w:pPr>
  </w:style>
  <w:style w:type="paragraph" w:styleId="4">
    <w:name w:val="Body Text"/>
    <w:basedOn w:val="1"/>
    <w:link w:val="13"/>
    <w:uiPriority w:val="99"/>
    <w:rPr>
      <w:sz w:val="32"/>
    </w:rPr>
  </w:style>
  <w:style w:type="paragraph" w:styleId="5">
    <w:name w:val="Balloon Text"/>
    <w:basedOn w:val="1"/>
    <w:link w:val="14"/>
    <w:semiHidden/>
    <w:locked/>
    <w:uiPriority w:val="99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qFormat/>
    <w:locked/>
    <w:uiPriority w:val="0"/>
    <w:rPr>
      <w:color w:val="0000FF"/>
      <w:u w:val="single"/>
    </w:rPr>
  </w:style>
  <w:style w:type="character" w:styleId="11">
    <w:name w:val="annotation reference"/>
    <w:basedOn w:val="8"/>
    <w:uiPriority w:val="99"/>
    <w:rPr>
      <w:rFonts w:cs="Times New Roman"/>
      <w:sz w:val="21"/>
      <w:szCs w:val="21"/>
    </w:rPr>
  </w:style>
  <w:style w:type="character" w:customStyle="1" w:styleId="12">
    <w:name w:val="Comment Text Char"/>
    <w:basedOn w:val="8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3">
    <w:name w:val="Body Text Char"/>
    <w:basedOn w:val="8"/>
    <w:link w:val="4"/>
    <w:semiHidden/>
    <w:locked/>
    <w:uiPriority w:val="99"/>
    <w:rPr>
      <w:rFonts w:cs="Times New Roman"/>
      <w:sz w:val="24"/>
      <w:szCs w:val="24"/>
    </w:rPr>
  </w:style>
  <w:style w:type="character" w:customStyle="1" w:styleId="14">
    <w:name w:val="Balloon Text Char"/>
    <w:basedOn w:val="8"/>
    <w:link w:val="5"/>
    <w:semiHidden/>
    <w:uiPriority w:val="99"/>
    <w:rPr>
      <w:sz w:val="16"/>
      <w:szCs w:val="0"/>
    </w:rPr>
  </w:style>
  <w:style w:type="character" w:customStyle="1" w:styleId="15">
    <w:name w:val="Footer Char"/>
    <w:basedOn w:val="8"/>
    <w:link w:val="6"/>
    <w:semiHidden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3285</Words>
  <Characters>3667</Characters>
  <Lines>0</Lines>
  <Paragraphs>0</Paragraphs>
  <TotalTime>81</TotalTime>
  <ScaleCrop>false</ScaleCrop>
  <LinksUpToDate>false</LinksUpToDate>
  <CharactersWithSpaces>4055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*^_^*</cp:lastModifiedBy>
  <cp:lastPrinted>2022-07-21T03:11:41Z</cp:lastPrinted>
  <dcterms:modified xsi:type="dcterms:W3CDTF">2023-08-21T07:05:34Z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6B4A3DE5E03B47B3B033E31166313C47_13</vt:lpwstr>
  </property>
</Properties>
</file>