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1" w:firstLineChars="100"/>
        <w:jc w:val="both"/>
        <w:rPr>
          <w:rFonts w:hint="eastAsia" w:ascii="方正粗黑宋简体" w:hAnsi="方正粗黑宋简体" w:eastAsia="方正粗黑宋简体" w:cs="方正粗黑宋简体"/>
          <w:sz w:val="48"/>
          <w:szCs w:val="48"/>
        </w:rPr>
      </w:pPr>
    </w:p>
    <w:p>
      <w:pPr>
        <w:ind w:firstLine="471" w:firstLineChars="100"/>
        <w:jc w:val="both"/>
        <w:rPr>
          <w:rFonts w:hint="eastAsia" w:ascii="方正粗黑宋简体" w:hAnsi="方正粗黑宋简体" w:eastAsia="方正粗黑宋简体" w:cs="方正粗黑宋简体"/>
          <w:sz w:val="48"/>
          <w:szCs w:val="48"/>
        </w:rPr>
      </w:pPr>
    </w:p>
    <w:p>
      <w:pPr>
        <w:ind w:firstLine="942" w:firstLineChars="200"/>
        <w:jc w:val="both"/>
        <w:rPr>
          <w:rFonts w:hint="eastAsia" w:ascii="方正粗黑宋简体" w:hAnsi="方正粗黑宋简体" w:eastAsia="方正粗黑宋简体" w:cs="方正粗黑宋简体"/>
          <w:sz w:val="48"/>
          <w:szCs w:val="48"/>
          <w:lang w:eastAsia="zh-CN"/>
        </w:rPr>
      </w:pPr>
      <w:r>
        <w:rPr>
          <w:rFonts w:hint="eastAsia" w:ascii="方正粗黑宋简体" w:hAnsi="方正粗黑宋简体" w:eastAsia="方正粗黑宋简体" w:cs="方正粗黑宋简体"/>
          <w:sz w:val="48"/>
          <w:szCs w:val="48"/>
        </w:rPr>
        <w:t>20</w:t>
      </w:r>
      <w:r>
        <w:rPr>
          <w:rFonts w:hint="eastAsia" w:ascii="方正粗黑宋简体" w:hAnsi="方正粗黑宋简体" w:eastAsia="方正粗黑宋简体" w:cs="方正粗黑宋简体"/>
          <w:sz w:val="48"/>
          <w:szCs w:val="48"/>
          <w:lang w:val="en-US" w:eastAsia="zh-CN"/>
        </w:rPr>
        <w:t>23</w:t>
      </w:r>
      <w:r>
        <w:rPr>
          <w:rFonts w:hint="eastAsia" w:ascii="方正粗黑宋简体" w:hAnsi="方正粗黑宋简体" w:eastAsia="方正粗黑宋简体" w:cs="方正粗黑宋简体"/>
          <w:sz w:val="48"/>
          <w:szCs w:val="48"/>
        </w:rPr>
        <w:t>年度</w:t>
      </w:r>
      <w:r>
        <w:rPr>
          <w:rFonts w:hint="eastAsia" w:ascii="方正粗黑宋简体" w:hAnsi="方正粗黑宋简体" w:eastAsia="方正粗黑宋简体" w:cs="方正粗黑宋简体"/>
          <w:sz w:val="48"/>
          <w:szCs w:val="48"/>
          <w:lang w:eastAsia="zh-CN"/>
        </w:rPr>
        <w:t>衡山县公安局交通警察大队</w:t>
      </w:r>
    </w:p>
    <w:p>
      <w:pPr>
        <w:ind w:firstLine="1884" w:firstLineChars="400"/>
        <w:jc w:val="both"/>
        <w:rPr>
          <w:rFonts w:hint="eastAsia" w:ascii="方正粗黑宋简体" w:hAnsi="方正粗黑宋简体" w:eastAsia="方正粗黑宋简体" w:cs="方正粗黑宋简体"/>
          <w:sz w:val="48"/>
          <w:szCs w:val="48"/>
        </w:rPr>
      </w:pPr>
      <w:r>
        <w:rPr>
          <w:rFonts w:hint="eastAsia" w:ascii="方正粗黑宋简体" w:hAnsi="方正粗黑宋简体" w:eastAsia="方正粗黑宋简体" w:cs="方正粗黑宋简体"/>
          <w:sz w:val="48"/>
          <w:szCs w:val="48"/>
        </w:rPr>
        <w:t>部门整体支出绩效自评报告</w:t>
      </w:r>
    </w:p>
    <w:p>
      <w:pPr>
        <w:jc w:val="center"/>
        <w:rPr>
          <w:rFonts w:ascii="楷体_GB2312" w:eastAsia="楷体_GB2312"/>
          <w:b/>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ind w:firstLine="1293" w:firstLineChars="300"/>
        <w:jc w:val="both"/>
        <w:rPr>
          <w:rFonts w:hint="eastAsia" w:ascii="黑体" w:eastAsia="黑体"/>
          <w:sz w:val="44"/>
          <w:szCs w:val="44"/>
          <w:lang w:eastAsia="zh-CN"/>
        </w:rPr>
      </w:pPr>
    </w:p>
    <w:p>
      <w:pPr>
        <w:ind w:firstLine="1293" w:firstLineChars="300"/>
        <w:jc w:val="both"/>
        <w:rPr>
          <w:rFonts w:hint="eastAsia" w:ascii="黑体" w:eastAsia="黑体"/>
          <w:color w:val="0000FF"/>
          <w:sz w:val="44"/>
          <w:szCs w:val="44"/>
          <w:u w:val="single"/>
          <w:lang w:val="en-US" w:eastAsia="zh-CN"/>
        </w:rPr>
      </w:pPr>
      <w:r>
        <w:rPr>
          <w:rFonts w:hint="eastAsia" w:ascii="黑体" w:eastAsia="黑体"/>
          <w:sz w:val="44"/>
          <w:szCs w:val="44"/>
          <w:lang w:eastAsia="zh-CN"/>
        </w:rPr>
        <w:t>部门（</w:t>
      </w:r>
      <w:r>
        <w:rPr>
          <w:rFonts w:hint="eastAsia" w:ascii="黑体" w:eastAsia="黑体"/>
          <w:sz w:val="44"/>
          <w:szCs w:val="44"/>
        </w:rPr>
        <w:t>单位</w:t>
      </w:r>
      <w:r>
        <w:rPr>
          <w:rFonts w:hint="eastAsia" w:ascii="黑体" w:eastAsia="黑体"/>
          <w:sz w:val="44"/>
          <w:szCs w:val="44"/>
          <w:lang w:eastAsia="zh-CN"/>
        </w:rPr>
        <w:t>）</w:t>
      </w:r>
      <w:r>
        <w:rPr>
          <w:rFonts w:hint="eastAsia" w:ascii="黑体" w:eastAsia="黑体"/>
          <w:sz w:val="44"/>
          <w:szCs w:val="44"/>
        </w:rPr>
        <w:t>名称</w:t>
      </w:r>
      <w:r>
        <w:rPr>
          <w:rFonts w:hint="eastAsia" w:ascii="黑体" w:eastAsia="黑体"/>
          <w:sz w:val="44"/>
          <w:szCs w:val="44"/>
          <w:lang w:val="en-US" w:eastAsia="zh-CN"/>
        </w:rPr>
        <w:t xml:space="preserve">  </w:t>
      </w:r>
      <w:r>
        <w:rPr>
          <w:rFonts w:hint="eastAsia" w:ascii="黑体" w:eastAsia="黑体"/>
          <w:sz w:val="44"/>
          <w:szCs w:val="44"/>
          <w:u w:val="single"/>
        </w:rPr>
        <w:t>（盖章）</w:t>
      </w:r>
      <w:r>
        <w:rPr>
          <w:rFonts w:hint="eastAsia" w:ascii="黑体" w:eastAsia="黑体"/>
          <w:color w:val="0000FF"/>
          <w:sz w:val="44"/>
          <w:szCs w:val="44"/>
          <w:u w:val="single"/>
          <w:lang w:val="en-US" w:eastAsia="zh-CN"/>
        </w:rPr>
        <w:t xml:space="preserve">     </w:t>
      </w:r>
    </w:p>
    <w:p>
      <w:pPr>
        <w:ind w:firstLine="862" w:firstLineChars="200"/>
        <w:jc w:val="both"/>
        <w:rPr>
          <w:rFonts w:hint="default" w:ascii="黑体" w:eastAsia="黑体"/>
          <w:color w:val="0000FF"/>
          <w:sz w:val="44"/>
          <w:szCs w:val="44"/>
          <w:u w:val="single"/>
          <w:lang w:val="en-US" w:eastAsia="zh-CN"/>
        </w:rPr>
      </w:pPr>
    </w:p>
    <w:p>
      <w:pPr>
        <w:ind w:firstLine="3421" w:firstLineChars="1100"/>
        <w:jc w:val="both"/>
        <w:rPr>
          <w:rFonts w:hint="default" w:ascii="黑体" w:eastAsia="黑体"/>
          <w:sz w:val="32"/>
          <w:szCs w:val="32"/>
          <w:lang w:val="en-US" w:eastAsia="zh-CN"/>
        </w:rPr>
      </w:pPr>
      <w:r>
        <w:rPr>
          <w:rFonts w:hint="eastAsia" w:ascii="黑体" w:eastAsia="黑体"/>
          <w:sz w:val="32"/>
          <w:szCs w:val="32"/>
          <w:lang w:val="en-US" w:eastAsia="zh-CN"/>
        </w:rPr>
        <w:t>2024年6月18日</w:t>
      </w:r>
    </w:p>
    <w:p>
      <w:pPr>
        <w:jc w:val="center"/>
        <w:rPr>
          <w:rFonts w:ascii="黑体" w:eastAsia="黑体"/>
          <w:sz w:val="32"/>
          <w:szCs w:val="32"/>
        </w:rPr>
      </w:pPr>
    </w:p>
    <w:p>
      <w:pPr>
        <w:jc w:val="center"/>
        <w:rPr>
          <w:rFonts w:ascii="黑体" w:eastAsia="黑体"/>
          <w:sz w:val="32"/>
          <w:szCs w:val="32"/>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ind w:firstLine="622" w:firstLineChars="200"/>
        <w:textAlignment w:val="auto"/>
        <w:rPr>
          <w:rFonts w:hint="eastAsia" w:ascii="黑体" w:hAnsi="黑体" w:eastAsia="黑体"/>
          <w:sz w:val="32"/>
          <w:szCs w:val="32"/>
        </w:rPr>
      </w:pPr>
      <w:r>
        <w:rPr>
          <w:rFonts w:hint="eastAsia" w:ascii="黑体" w:hAnsi="黑体" w:eastAsia="黑体"/>
          <w:sz w:val="32"/>
          <w:szCs w:val="32"/>
          <w:lang w:eastAsia="zh-CN"/>
        </w:rPr>
        <w:t>一、部门</w:t>
      </w:r>
      <w:r>
        <w:rPr>
          <w:rFonts w:hint="eastAsia" w:ascii="黑体" w:hAnsi="黑体" w:eastAsia="黑体"/>
          <w:sz w:val="32"/>
          <w:szCs w:val="32"/>
        </w:rPr>
        <w:t>基本情况</w:t>
      </w:r>
    </w:p>
    <w:p>
      <w:pPr>
        <w:pStyle w:val="7"/>
        <w:keepNext w:val="0"/>
        <w:keepLines w:val="0"/>
        <w:pageBreakBefore w:val="0"/>
        <w:widowControl/>
        <w:numPr>
          <w:ilvl w:val="0"/>
          <w:numId w:val="1"/>
        </w:numPr>
        <w:kinsoku/>
        <w:wordWrap/>
        <w:overflowPunct/>
        <w:topLinePunct w:val="0"/>
        <w:autoSpaceDE/>
        <w:autoSpaceDN/>
        <w:bidi w:val="0"/>
        <w:adjustRightInd/>
        <w:snapToGrid/>
        <w:spacing w:line="240" w:lineRule="auto"/>
        <w:ind w:firstLine="582" w:firstLineChars="200"/>
        <w:textAlignment w:val="auto"/>
        <w:rPr>
          <w:rFonts w:hint="eastAsia" w:ascii="仿宋" w:hAnsi="仿宋" w:eastAsia="仿宋" w:cs="仿宋"/>
          <w:i w:val="0"/>
          <w:caps w:val="0"/>
          <w:color w:val="auto"/>
          <w:spacing w:val="0"/>
          <w:sz w:val="30"/>
          <w:szCs w:val="30"/>
          <w:u w:val="none"/>
          <w:shd w:val="clear" w:fill="FFFFFF"/>
          <w:lang w:eastAsia="zh-CN"/>
        </w:rPr>
      </w:pPr>
      <w:r>
        <w:rPr>
          <w:rFonts w:hint="eastAsia" w:ascii="仿宋" w:hAnsi="仿宋" w:eastAsia="仿宋" w:cs="仿宋"/>
          <w:i w:val="0"/>
          <w:caps w:val="0"/>
          <w:color w:val="auto"/>
          <w:spacing w:val="0"/>
          <w:sz w:val="30"/>
          <w:szCs w:val="30"/>
          <w:u w:val="none"/>
          <w:shd w:val="clear" w:fill="FFFFFF"/>
          <w:lang w:eastAsia="zh-CN"/>
        </w:rPr>
        <w:t>机构、人员情况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000000"/>
          <w:sz w:val="30"/>
          <w:szCs w:val="30"/>
        </w:rPr>
      </w:pPr>
      <w:r>
        <w:rPr>
          <w:rFonts w:ascii="微软雅黑" w:hAnsi="微软雅黑"/>
          <w:color w:val="000000"/>
          <w:sz w:val="30"/>
          <w:szCs w:val="30"/>
        </w:rPr>
        <w:t>　</w:t>
      </w:r>
      <w:r>
        <w:rPr>
          <w:rFonts w:hint="eastAsia"/>
          <w:color w:val="000000"/>
          <w:sz w:val="30"/>
          <w:szCs w:val="30"/>
          <w:lang w:val="en-US" w:eastAsia="zh-CN"/>
        </w:rPr>
        <w:t xml:space="preserve"> </w:t>
      </w:r>
      <w:r>
        <w:rPr>
          <w:rFonts w:hint="eastAsia" w:ascii="仿宋" w:hAnsi="仿宋" w:eastAsia="仿宋" w:cs="仿宋"/>
          <w:color w:val="000000"/>
          <w:sz w:val="30"/>
          <w:szCs w:val="30"/>
          <w:lang w:eastAsia="zh-CN"/>
        </w:rPr>
        <w:t>衡山县公安局</w:t>
      </w:r>
      <w:r>
        <w:rPr>
          <w:rFonts w:hint="eastAsia" w:ascii="仿宋" w:hAnsi="仿宋" w:eastAsia="仿宋" w:cs="仿宋"/>
          <w:color w:val="000000"/>
          <w:sz w:val="30"/>
          <w:szCs w:val="30"/>
        </w:rPr>
        <w:t>交</w:t>
      </w:r>
      <w:r>
        <w:rPr>
          <w:rFonts w:hint="eastAsia" w:ascii="仿宋" w:hAnsi="仿宋" w:eastAsia="仿宋" w:cs="仿宋"/>
          <w:color w:val="000000"/>
          <w:sz w:val="30"/>
          <w:szCs w:val="30"/>
          <w:lang w:eastAsia="zh-CN"/>
        </w:rPr>
        <w:t>通</w:t>
      </w:r>
      <w:r>
        <w:rPr>
          <w:rFonts w:hint="eastAsia" w:ascii="仿宋" w:hAnsi="仿宋" w:eastAsia="仿宋" w:cs="仿宋"/>
          <w:color w:val="000000"/>
          <w:sz w:val="30"/>
          <w:szCs w:val="30"/>
        </w:rPr>
        <w:t>警</w:t>
      </w:r>
      <w:r>
        <w:rPr>
          <w:rFonts w:hint="eastAsia" w:ascii="仿宋" w:hAnsi="仿宋" w:eastAsia="仿宋" w:cs="仿宋"/>
          <w:color w:val="000000"/>
          <w:sz w:val="30"/>
          <w:szCs w:val="30"/>
          <w:lang w:eastAsia="zh-CN"/>
        </w:rPr>
        <w:t>察</w:t>
      </w:r>
      <w:r>
        <w:rPr>
          <w:rFonts w:hint="eastAsia" w:ascii="仿宋" w:hAnsi="仿宋" w:eastAsia="仿宋" w:cs="仿宋"/>
          <w:color w:val="000000"/>
          <w:sz w:val="30"/>
          <w:szCs w:val="30"/>
        </w:rPr>
        <w:t>大队是正科级全额拨款单位，有二级预算单位0个，至20</w:t>
      </w:r>
      <w:r>
        <w:rPr>
          <w:rFonts w:hint="eastAsia" w:ascii="仿宋" w:hAnsi="仿宋" w:eastAsia="仿宋" w:cs="仿宋"/>
          <w:color w:val="000000"/>
          <w:sz w:val="30"/>
          <w:szCs w:val="30"/>
          <w:lang w:val="en-US" w:eastAsia="zh-CN"/>
        </w:rPr>
        <w:t>23</w:t>
      </w:r>
      <w:r>
        <w:rPr>
          <w:rFonts w:hint="eastAsia" w:ascii="仿宋" w:hAnsi="仿宋" w:eastAsia="仿宋" w:cs="仿宋"/>
          <w:color w:val="000000"/>
          <w:sz w:val="30"/>
          <w:szCs w:val="30"/>
        </w:rPr>
        <w:t>年1</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月，共有编制</w:t>
      </w:r>
      <w:r>
        <w:rPr>
          <w:rFonts w:hint="eastAsia" w:ascii="仿宋" w:hAnsi="仿宋" w:eastAsia="仿宋" w:cs="仿宋"/>
          <w:color w:val="000000"/>
          <w:sz w:val="30"/>
          <w:szCs w:val="30"/>
          <w:lang w:val="en-US" w:eastAsia="zh-CN"/>
        </w:rPr>
        <w:t>60</w:t>
      </w:r>
      <w:r>
        <w:rPr>
          <w:rFonts w:hint="eastAsia" w:ascii="仿宋" w:hAnsi="仿宋" w:eastAsia="仿宋" w:cs="仿宋"/>
          <w:color w:val="000000"/>
          <w:sz w:val="30"/>
          <w:szCs w:val="30"/>
        </w:rPr>
        <w:t>名，实有人数</w:t>
      </w:r>
      <w:r>
        <w:rPr>
          <w:rFonts w:hint="eastAsia" w:ascii="仿宋" w:hAnsi="仿宋" w:eastAsia="仿宋" w:cs="仿宋"/>
          <w:color w:val="000000"/>
          <w:sz w:val="30"/>
          <w:szCs w:val="30"/>
          <w:lang w:val="en-US" w:eastAsia="zh-CN"/>
        </w:rPr>
        <w:t>70</w:t>
      </w:r>
      <w:r>
        <w:rPr>
          <w:rFonts w:hint="eastAsia" w:ascii="仿宋" w:hAnsi="仿宋" w:eastAsia="仿宋" w:cs="仿宋"/>
          <w:color w:val="000000"/>
          <w:sz w:val="30"/>
          <w:szCs w:val="30"/>
        </w:rPr>
        <w:t>人，其中财政供养在职</w:t>
      </w:r>
      <w:r>
        <w:rPr>
          <w:rFonts w:hint="eastAsia" w:ascii="仿宋" w:hAnsi="仿宋" w:eastAsia="仿宋" w:cs="仿宋"/>
          <w:color w:val="000000"/>
          <w:sz w:val="30"/>
          <w:szCs w:val="30"/>
          <w:lang w:val="en-US" w:eastAsia="zh-CN"/>
        </w:rPr>
        <w:t>60</w:t>
      </w:r>
      <w:r>
        <w:rPr>
          <w:rFonts w:hint="eastAsia" w:ascii="仿宋" w:hAnsi="仿宋" w:eastAsia="仿宋" w:cs="仿宋"/>
          <w:color w:val="000000"/>
          <w:sz w:val="30"/>
          <w:szCs w:val="30"/>
        </w:rPr>
        <w:t>人，离退休</w:t>
      </w:r>
      <w:r>
        <w:rPr>
          <w:rFonts w:hint="eastAsia" w:ascii="仿宋" w:hAnsi="仿宋" w:eastAsia="仿宋" w:cs="仿宋"/>
          <w:color w:val="000000"/>
          <w:sz w:val="30"/>
          <w:szCs w:val="30"/>
          <w:lang w:val="en-US" w:eastAsia="zh-CN"/>
        </w:rPr>
        <w:t>10</w:t>
      </w:r>
      <w:r>
        <w:rPr>
          <w:rFonts w:hint="eastAsia" w:ascii="仿宋" w:hAnsi="仿宋" w:eastAsia="仿宋" w:cs="仿宋"/>
          <w:color w:val="000000"/>
          <w:sz w:val="30"/>
          <w:szCs w:val="30"/>
        </w:rPr>
        <w:t>人；现有</w:t>
      </w:r>
      <w:r>
        <w:rPr>
          <w:rFonts w:hint="eastAsia" w:ascii="仿宋" w:hAnsi="仿宋" w:eastAsia="仿宋" w:cs="仿宋"/>
          <w:color w:val="000000"/>
          <w:sz w:val="30"/>
          <w:szCs w:val="30"/>
          <w:lang w:eastAsia="zh-CN"/>
        </w:rPr>
        <w:t>执法</w:t>
      </w:r>
      <w:r>
        <w:rPr>
          <w:rFonts w:hint="eastAsia" w:ascii="仿宋" w:hAnsi="仿宋" w:eastAsia="仿宋" w:cs="仿宋"/>
          <w:color w:val="000000"/>
          <w:sz w:val="30"/>
          <w:szCs w:val="30"/>
        </w:rPr>
        <w:t>车辆11台。</w:t>
      </w:r>
    </w:p>
    <w:p>
      <w:pPr>
        <w:pStyle w:val="7"/>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582" w:firstLineChars="200"/>
        <w:textAlignment w:val="auto"/>
        <w:rPr>
          <w:rFonts w:hint="eastAsia" w:ascii="仿宋" w:hAnsi="仿宋" w:eastAsia="仿宋" w:cs="仿宋"/>
          <w:i w:val="0"/>
          <w:caps w:val="0"/>
          <w:color w:val="auto"/>
          <w:spacing w:val="0"/>
          <w:sz w:val="30"/>
          <w:szCs w:val="30"/>
          <w:shd w:val="clear" w:fill="FFFFFF"/>
          <w:lang w:val="en-US" w:eastAsia="zh-CN"/>
        </w:rPr>
      </w:pPr>
      <w:r>
        <w:rPr>
          <w:rFonts w:hint="eastAsia" w:ascii="仿宋" w:hAnsi="仿宋" w:eastAsia="仿宋" w:cs="仿宋"/>
          <w:i w:val="0"/>
          <w:caps w:val="0"/>
          <w:color w:val="auto"/>
          <w:spacing w:val="0"/>
          <w:sz w:val="30"/>
          <w:szCs w:val="30"/>
          <w:shd w:val="clear" w:fill="FFFFFF"/>
          <w:lang w:val="en-US" w:eastAsia="zh-CN"/>
        </w:rPr>
        <w:t>主要工作职能</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负责辖区道路交通安全管理工作；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负责处理辖区发生的道路交通事故；</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负责辖区交通违法行为查处；</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负责五类车辆及驾驶人管理，车辆注册、过户、驾驶人考试、审验、转籍等业务 ；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582" w:firstLineChars="200"/>
        <w:jc w:val="left"/>
        <w:textAlignment w:val="auto"/>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（三）整体收入支出情况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全年收入总计</w:t>
      </w:r>
      <w:r>
        <w:rPr>
          <w:rFonts w:hint="eastAsia" w:ascii="仿宋" w:hAnsi="仿宋" w:eastAsia="仿宋" w:cs="仿宋"/>
          <w:color w:val="000000"/>
          <w:sz w:val="30"/>
          <w:szCs w:val="30"/>
          <w:lang w:val="en-US" w:eastAsia="zh-CN"/>
        </w:rPr>
        <w:t>3019.78</w:t>
      </w:r>
      <w:r>
        <w:rPr>
          <w:rFonts w:hint="eastAsia" w:ascii="仿宋" w:hAnsi="仿宋" w:eastAsia="仿宋" w:cs="仿宋"/>
          <w:color w:val="000000"/>
          <w:sz w:val="30"/>
          <w:szCs w:val="30"/>
        </w:rPr>
        <w:t>万元，其中：</w:t>
      </w:r>
      <w:r>
        <w:rPr>
          <w:rFonts w:hint="eastAsia" w:ascii="仿宋" w:hAnsi="仿宋" w:eastAsia="仿宋" w:cs="仿宋"/>
          <w:color w:val="000000"/>
          <w:sz w:val="30"/>
          <w:szCs w:val="30"/>
          <w:lang w:eastAsia="zh-CN"/>
        </w:rPr>
        <w:t>一般公共预算</w:t>
      </w:r>
      <w:r>
        <w:rPr>
          <w:rFonts w:hint="eastAsia" w:ascii="仿宋" w:hAnsi="仿宋" w:eastAsia="仿宋" w:cs="仿宋"/>
          <w:color w:val="000000"/>
          <w:sz w:val="30"/>
          <w:szCs w:val="30"/>
        </w:rPr>
        <w:t>拨款</w:t>
      </w:r>
      <w:r>
        <w:rPr>
          <w:rFonts w:hint="eastAsia" w:ascii="仿宋" w:hAnsi="仿宋" w:eastAsia="仿宋" w:cs="仿宋"/>
          <w:color w:val="000000"/>
          <w:sz w:val="30"/>
          <w:szCs w:val="30"/>
          <w:lang w:val="en-US" w:eastAsia="zh-CN"/>
        </w:rPr>
        <w:t>3019.78</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。上年度结余结转</w:t>
      </w:r>
      <w:r>
        <w:rPr>
          <w:rFonts w:hint="eastAsia" w:ascii="仿宋" w:hAnsi="仿宋" w:eastAsia="仿宋" w:cs="仿宋"/>
          <w:color w:val="000000"/>
          <w:sz w:val="30"/>
          <w:szCs w:val="30"/>
          <w:lang w:val="en-US" w:eastAsia="zh-CN"/>
        </w:rPr>
        <w:t>12.83万</w:t>
      </w:r>
      <w:r>
        <w:rPr>
          <w:rFonts w:hint="eastAsia" w:ascii="仿宋" w:hAnsi="仿宋" w:eastAsia="仿宋" w:cs="仿宋"/>
          <w:color w:val="000000"/>
          <w:sz w:val="30"/>
          <w:szCs w:val="30"/>
          <w:lang w:eastAsia="zh-CN"/>
        </w:rPr>
        <w:t>元，本年度结余结转</w:t>
      </w:r>
      <w:r>
        <w:rPr>
          <w:rFonts w:hint="eastAsia" w:ascii="仿宋" w:hAnsi="仿宋" w:eastAsia="仿宋" w:cs="仿宋"/>
          <w:color w:val="000000"/>
          <w:sz w:val="30"/>
          <w:szCs w:val="30"/>
          <w:lang w:val="en-US" w:eastAsia="zh-CN"/>
        </w:rPr>
        <w:t>41.84万</w:t>
      </w:r>
      <w:r>
        <w:rPr>
          <w:rFonts w:hint="eastAsia" w:ascii="仿宋" w:hAnsi="仿宋" w:eastAsia="仿宋" w:cs="仿宋"/>
          <w:color w:val="000000"/>
          <w:sz w:val="30"/>
          <w:szCs w:val="30"/>
          <w:lang w:eastAsia="zh-CN"/>
        </w:rPr>
        <w:t>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全年支出总计2</w:t>
      </w:r>
      <w:r>
        <w:rPr>
          <w:rFonts w:hint="eastAsia" w:ascii="仿宋" w:hAnsi="仿宋" w:eastAsia="仿宋" w:cs="仿宋"/>
          <w:color w:val="000000"/>
          <w:sz w:val="30"/>
          <w:szCs w:val="30"/>
          <w:lang w:val="en-US" w:eastAsia="zh-CN"/>
        </w:rPr>
        <w:t>990.77</w:t>
      </w:r>
      <w:r>
        <w:rPr>
          <w:rFonts w:hint="eastAsia" w:ascii="仿宋" w:hAnsi="仿宋" w:eastAsia="仿宋" w:cs="仿宋"/>
          <w:color w:val="000000"/>
          <w:sz w:val="30"/>
          <w:szCs w:val="30"/>
        </w:rPr>
        <w:t>万元，其中基本支出</w:t>
      </w:r>
      <w:r>
        <w:rPr>
          <w:rFonts w:hint="eastAsia" w:ascii="仿宋" w:hAnsi="仿宋" w:eastAsia="仿宋" w:cs="仿宋"/>
          <w:color w:val="000000"/>
          <w:sz w:val="30"/>
          <w:szCs w:val="30"/>
          <w:lang w:val="en-US" w:eastAsia="zh-CN"/>
        </w:rPr>
        <w:t>1205.44</w:t>
      </w:r>
      <w:r>
        <w:rPr>
          <w:rFonts w:hint="eastAsia" w:ascii="仿宋" w:hAnsi="仿宋" w:eastAsia="仿宋" w:cs="仿宋"/>
          <w:color w:val="000000"/>
          <w:sz w:val="30"/>
          <w:szCs w:val="30"/>
        </w:rPr>
        <w:t>万元（工资福利支出</w:t>
      </w:r>
      <w:r>
        <w:rPr>
          <w:rFonts w:hint="eastAsia" w:ascii="仿宋" w:hAnsi="仿宋" w:eastAsia="仿宋" w:cs="仿宋"/>
          <w:color w:val="000000"/>
          <w:sz w:val="30"/>
          <w:szCs w:val="30"/>
          <w:lang w:val="en-US" w:eastAsia="zh-CN"/>
        </w:rPr>
        <w:t>907.37</w:t>
      </w:r>
      <w:r>
        <w:rPr>
          <w:rFonts w:hint="eastAsia" w:ascii="仿宋" w:hAnsi="仿宋" w:eastAsia="仿宋" w:cs="仿宋"/>
          <w:color w:val="000000"/>
          <w:sz w:val="30"/>
          <w:szCs w:val="30"/>
        </w:rPr>
        <w:t>万元、一般商品和服务支出</w:t>
      </w:r>
      <w:r>
        <w:rPr>
          <w:rFonts w:hint="eastAsia" w:ascii="仿宋" w:hAnsi="仿宋" w:eastAsia="仿宋" w:cs="仿宋"/>
          <w:color w:val="000000"/>
          <w:sz w:val="30"/>
          <w:szCs w:val="30"/>
          <w:lang w:val="en-US" w:eastAsia="zh-CN"/>
        </w:rPr>
        <w:t>286.65</w:t>
      </w:r>
      <w:r>
        <w:rPr>
          <w:rFonts w:hint="eastAsia" w:ascii="仿宋" w:hAnsi="仿宋" w:eastAsia="仿宋" w:cs="仿宋"/>
          <w:color w:val="000000"/>
          <w:sz w:val="30"/>
          <w:szCs w:val="30"/>
        </w:rPr>
        <w:t>万元、对个人和家庭的补助</w:t>
      </w:r>
      <w:r>
        <w:rPr>
          <w:rFonts w:hint="eastAsia" w:ascii="仿宋" w:hAnsi="仿宋" w:eastAsia="仿宋" w:cs="仿宋"/>
          <w:color w:val="000000"/>
          <w:sz w:val="30"/>
          <w:szCs w:val="30"/>
          <w:lang w:val="en-US" w:eastAsia="zh-CN"/>
        </w:rPr>
        <w:t>11.42</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、项目支出</w:t>
      </w:r>
      <w:r>
        <w:rPr>
          <w:rFonts w:hint="eastAsia" w:ascii="仿宋" w:hAnsi="仿宋" w:eastAsia="仿宋" w:cs="仿宋"/>
          <w:color w:val="000000"/>
          <w:sz w:val="30"/>
          <w:szCs w:val="30"/>
          <w:lang w:val="en-US" w:eastAsia="zh-CN"/>
        </w:rPr>
        <w:t>1785.33</w:t>
      </w:r>
      <w:r>
        <w:rPr>
          <w:rFonts w:hint="eastAsia" w:ascii="仿宋" w:hAnsi="仿宋" w:eastAsia="仿宋" w:cs="仿宋"/>
          <w:color w:val="000000"/>
          <w:sz w:val="30"/>
          <w:szCs w:val="30"/>
        </w:rPr>
        <w:t>万元。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240" w:lineRule="auto"/>
        <w:ind w:firstLine="582"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（四）</w:t>
      </w:r>
      <w:r>
        <w:rPr>
          <w:rFonts w:hint="eastAsia" w:ascii="仿宋" w:hAnsi="仿宋" w:eastAsia="仿宋" w:cs="仿宋"/>
          <w:b w:val="0"/>
          <w:bCs w:val="0"/>
          <w:sz w:val="30"/>
          <w:szCs w:val="30"/>
        </w:rPr>
        <w:t>部门内部控制及厉行节约制度建设情况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240" w:lineRule="auto"/>
        <w:ind w:firstLine="582"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加强内部控制。我单位历来重视单位内部管理制度建设及监督，加强财务管理，强化财务监督，增强法纪观念，遵守规章制度。为保证财务管理工作规范有序进行，20</w:t>
      </w:r>
      <w:r>
        <w:rPr>
          <w:rFonts w:hint="eastAsia" w:ascii="仿宋" w:hAnsi="仿宋" w:eastAsia="仿宋" w:cs="仿宋"/>
          <w:sz w:val="30"/>
          <w:szCs w:val="30"/>
          <w:lang w:val="en-US" w:eastAsia="zh-CN"/>
        </w:rPr>
        <w:t>23</w:t>
      </w:r>
      <w:r>
        <w:rPr>
          <w:rFonts w:hint="eastAsia" w:ascii="仿宋" w:hAnsi="仿宋" w:eastAsia="仿宋" w:cs="仿宋"/>
          <w:sz w:val="30"/>
          <w:szCs w:val="30"/>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开支金额在一</w:t>
      </w:r>
      <w:r>
        <w:rPr>
          <w:rFonts w:hint="eastAsia" w:ascii="仿宋" w:hAnsi="仿宋" w:eastAsia="仿宋" w:cs="仿宋"/>
          <w:sz w:val="30"/>
          <w:szCs w:val="30"/>
          <w:lang w:eastAsia="zh-CN"/>
        </w:rPr>
        <w:t>千</w:t>
      </w:r>
      <w:r>
        <w:rPr>
          <w:rFonts w:hint="eastAsia" w:ascii="仿宋" w:hAnsi="仿宋" w:eastAsia="仿宋" w:cs="仿宋"/>
          <w:sz w:val="30"/>
          <w:szCs w:val="30"/>
        </w:rPr>
        <w:t>元以下的由分管财务的领导直接把关签批；开支金额在三万元以下、一万元以上的需出示专题报告，经单位主要领导把关在报告上签署意见后，再履行“一单五签”的程序；非日常开支在三万元以上的，专题报告需经会议研究通过。分管财务的领导经手的费用开支，由主要领导签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82"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强化制度执行。切实做好厉行节约工作，全面落实各项管理制度要求，努力降低行政成本。严格公务接待费、差旅费、会议费和培训费审核审批程序，实行限额把关、一支笔审批制度，做到一事一公函、一事一审批、一事一结账，会议费和培训费严格按年初计划和制度规定的标准执行。各项费用严格履行“一单五签”程序，“三公”经费较好地控制在预算范围之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82"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（五）“三公”经费支出情况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82"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color w:val="000000"/>
          <w:sz w:val="30"/>
          <w:szCs w:val="30"/>
        </w:rPr>
        <w:t>衡山县公安局交通警察大队一般预算</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三公</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rPr>
        <w:t>经费</w:t>
      </w:r>
      <w:r>
        <w:rPr>
          <w:rFonts w:hint="eastAsia" w:ascii="仿宋" w:hAnsi="仿宋" w:eastAsia="仿宋" w:cs="仿宋"/>
          <w:color w:val="000000"/>
          <w:sz w:val="30"/>
          <w:szCs w:val="30"/>
          <w:lang w:val="en-US" w:eastAsia="zh-CN"/>
        </w:rPr>
        <w:t>2023年预算</w:t>
      </w:r>
      <w:r>
        <w:rPr>
          <w:rFonts w:hint="eastAsia" w:ascii="仿宋" w:hAnsi="仿宋" w:eastAsia="仿宋" w:cs="仿宋"/>
          <w:color w:val="000000"/>
          <w:sz w:val="30"/>
          <w:szCs w:val="30"/>
        </w:rPr>
        <w:t>数为</w:t>
      </w:r>
      <w:r>
        <w:rPr>
          <w:rFonts w:hint="eastAsia" w:ascii="仿宋" w:hAnsi="仿宋" w:eastAsia="仿宋" w:cs="仿宋"/>
          <w:color w:val="000000"/>
          <w:sz w:val="30"/>
          <w:szCs w:val="30"/>
          <w:lang w:val="en-US" w:eastAsia="zh-CN"/>
        </w:rPr>
        <w:t>23</w:t>
      </w:r>
      <w:r>
        <w:rPr>
          <w:rFonts w:hint="eastAsia" w:ascii="仿宋" w:hAnsi="仿宋" w:eastAsia="仿宋" w:cs="仿宋"/>
          <w:color w:val="000000"/>
          <w:sz w:val="30"/>
          <w:szCs w:val="30"/>
        </w:rPr>
        <w:t>万元，其中公务接待费</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万元，公务车购置维护费</w:t>
      </w:r>
      <w:r>
        <w:rPr>
          <w:rFonts w:hint="eastAsia" w:ascii="仿宋" w:hAnsi="仿宋" w:eastAsia="仿宋" w:cs="仿宋"/>
          <w:color w:val="000000"/>
          <w:sz w:val="30"/>
          <w:szCs w:val="30"/>
          <w:lang w:val="en-US" w:eastAsia="zh-CN"/>
        </w:rPr>
        <w:t>19</w:t>
      </w:r>
      <w:r>
        <w:rPr>
          <w:rFonts w:hint="eastAsia" w:ascii="仿宋" w:hAnsi="仿宋" w:eastAsia="仿宋" w:cs="仿宋"/>
          <w:color w:val="000000"/>
          <w:sz w:val="30"/>
          <w:szCs w:val="30"/>
        </w:rPr>
        <w:t>万元。20</w:t>
      </w:r>
      <w:r>
        <w:rPr>
          <w:rFonts w:hint="eastAsia" w:ascii="仿宋" w:hAnsi="仿宋" w:eastAsia="仿宋" w:cs="仿宋"/>
          <w:color w:val="000000"/>
          <w:sz w:val="30"/>
          <w:szCs w:val="30"/>
          <w:lang w:val="en-US" w:eastAsia="zh-CN"/>
        </w:rPr>
        <w:t>23</w:t>
      </w:r>
      <w:r>
        <w:rPr>
          <w:rFonts w:hint="eastAsia" w:ascii="仿宋" w:hAnsi="仿宋" w:eastAsia="仿宋" w:cs="仿宋"/>
          <w:color w:val="000000"/>
          <w:sz w:val="30"/>
          <w:szCs w:val="30"/>
        </w:rPr>
        <w:t>年三公经费</w:t>
      </w:r>
      <w:r>
        <w:rPr>
          <w:rFonts w:hint="eastAsia" w:ascii="仿宋" w:hAnsi="仿宋" w:eastAsia="仿宋" w:cs="仿宋"/>
          <w:color w:val="000000"/>
          <w:sz w:val="30"/>
          <w:szCs w:val="30"/>
          <w:lang w:eastAsia="zh-CN"/>
        </w:rPr>
        <w:t>支出数</w:t>
      </w:r>
      <w:r>
        <w:rPr>
          <w:rFonts w:hint="eastAsia" w:ascii="仿宋" w:hAnsi="仿宋" w:eastAsia="仿宋" w:cs="仿宋"/>
          <w:color w:val="000000"/>
          <w:sz w:val="30"/>
          <w:szCs w:val="30"/>
          <w:lang w:val="en-US" w:eastAsia="zh-CN"/>
        </w:rPr>
        <w:t>17.1万元，其中公务接待费0.73万元，公务车购置费0万元，公务车运行维护费16.37万元</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严格按三公经费预算支出，没有超出预算。</w:t>
      </w:r>
    </w:p>
    <w:p>
      <w:pPr>
        <w:pStyle w:val="7"/>
        <w:keepNext w:val="0"/>
        <w:keepLines w:val="0"/>
        <w:pageBreakBefore w:val="0"/>
        <w:widowControl/>
        <w:numPr>
          <w:ilvl w:val="0"/>
          <w:numId w:val="0"/>
        </w:numPr>
        <w:tabs>
          <w:tab w:val="left" w:pos="3821"/>
        </w:tabs>
        <w:kinsoku/>
        <w:wordWrap/>
        <w:overflowPunct/>
        <w:topLinePunct w:val="0"/>
        <w:autoSpaceDE/>
        <w:autoSpaceDN/>
        <w:bidi w:val="0"/>
        <w:snapToGrid/>
        <w:spacing w:line="240" w:lineRule="auto"/>
        <w:ind w:firstLine="622"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二、一般公共预算支出情况</w:t>
      </w:r>
    </w:p>
    <w:p>
      <w:pPr>
        <w:pStyle w:val="7"/>
        <w:keepNext w:val="0"/>
        <w:keepLines w:val="0"/>
        <w:pageBreakBefore w:val="0"/>
        <w:widowControl/>
        <w:numPr>
          <w:ilvl w:val="0"/>
          <w:numId w:val="0"/>
        </w:numPr>
        <w:tabs>
          <w:tab w:val="left" w:pos="3821"/>
        </w:tabs>
        <w:kinsoku/>
        <w:wordWrap/>
        <w:overflowPunct/>
        <w:topLinePunct w:val="0"/>
        <w:autoSpaceDE/>
        <w:autoSpaceDN/>
        <w:bidi w:val="0"/>
        <w:snapToGrid/>
        <w:spacing w:line="240" w:lineRule="auto"/>
        <w:ind w:firstLine="622"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基本支出情</w:t>
      </w:r>
      <w:r>
        <w:rPr>
          <w:rFonts w:hint="eastAsia" w:ascii="仿宋" w:hAnsi="仿宋" w:eastAsia="仿宋" w:cs="仿宋"/>
          <w:b w:val="0"/>
          <w:bCs w:val="0"/>
          <w:sz w:val="32"/>
          <w:szCs w:val="32"/>
          <w:lang w:eastAsia="zh-CN"/>
        </w:rPr>
        <w:t>况</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0"/>
          <w:szCs w:val="30"/>
          <w:lang w:val="en-US" w:eastAsia="zh-CN"/>
        </w:rPr>
        <w:t>2023年部门决算基本支出总计12054396.18元，工资福利支出9073678.88元，其中基本工资2961597.00元、津贴补贴2261018.00元、奖金1182411.00元、伙食补助费28580.00元、机关单位养老保险989242.40元、职工基本医疗保险442933.82元、公务员医疗保险缴费5400.00元，其他社会保障缴费24843.66元、住房公积金1177653.00元；商品服务支出2830377.30元，其中办公费167268.80元、水费22712.00元、电费3410.00元、邮电费15067.00元、物业管理费262000.00元、差旅费28031.00元、维修维护费84126.00元、租赁费91600.00元、会议费0.00元、培训费6240.00元、公务接待费7300.00元、专用材料费303311.10元、专用燃料费11500.00元、劳务费40264.00元、委托业务费365797.40元、工会经费350000.00元、福利费322669.00元、公务车运行维护费163700.00元、其他交通费用489140.00元、其他商品服务支出96241.00元；对个人和家庭补助支出114201.00元，其中生活补助81601.00元、其他对个人和家庭补助326000.00元；资本性支出36139.00元，其中办公设备购置36139元。</w:t>
      </w:r>
    </w:p>
    <w:p>
      <w:pPr>
        <w:pStyle w:val="7"/>
        <w:keepNext w:val="0"/>
        <w:keepLines w:val="0"/>
        <w:pageBreakBefore w:val="0"/>
        <w:widowControl/>
        <w:kinsoku/>
        <w:wordWrap/>
        <w:overflowPunct/>
        <w:topLinePunct w:val="0"/>
        <w:autoSpaceDE/>
        <w:autoSpaceDN/>
        <w:bidi w:val="0"/>
        <w:snapToGrid/>
        <w:spacing w:line="240" w:lineRule="auto"/>
        <w:ind w:firstLine="622"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项目支出情况</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default" w:ascii="仿宋_GB2312" w:hAnsi="黑体" w:eastAsia="仿宋_GB2312"/>
          <w:sz w:val="30"/>
          <w:szCs w:val="30"/>
          <w:lang w:val="en-US" w:eastAsia="zh-CN"/>
        </w:rPr>
      </w:pPr>
      <w:r>
        <w:rPr>
          <w:rFonts w:hint="eastAsia" w:ascii="仿宋_GB2312" w:hAnsi="黑体" w:eastAsia="仿宋_GB2312"/>
          <w:sz w:val="30"/>
          <w:szCs w:val="30"/>
          <w:lang w:val="en-US" w:eastAsia="zh-CN"/>
        </w:rPr>
        <w:t>1、2023年年初预算专项资金分配安排和使用管理情况</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1）2023年项目支出年初预算1003万元，项目资金分配安排包括上级政法转移支付办案业务费66万元、上级政法转移支付同级装备经费57万元、省编人员经费10万元；业务经费30万元；非税收入拨款840万元（含店门中队维修改造166万元、白果中队附属工程项目99万元、警务通49.28万元、开云大道信号灯及电子警察安装项目80万元、交警大楼外墙修缮74.4万元、人民警察法定工作日之外加班补贴51.12万元、人民警察值勤岗位津贴79.2万元、本级办案装备经费214万元、护栏维护费3万元、顽瘴痼疾工作经费24万元）。</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（2）专项资金使用和管理情况</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2023年工作经费专项资金年初预算10030000元，本年项目支出财政拨款17853297.76元，调整预算数17853297.76元；决算项目支出17853297.76元，其中工资福利支出1186445.00元、商品服务支出11913587.74元、对个人和家庭补助支出670011.00元、资本性支出4083254.02元。项目资金执行完成率100%。</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2、其他专项资金项目支出情况</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default" w:ascii="仿宋_GB2312" w:hAnsi="黑体" w:eastAsia="仿宋_GB2312"/>
          <w:sz w:val="30"/>
          <w:szCs w:val="30"/>
          <w:lang w:val="en-US" w:eastAsia="zh-CN"/>
        </w:rPr>
      </w:pPr>
      <w:r>
        <w:rPr>
          <w:rFonts w:hint="eastAsia" w:ascii="仿宋_GB2312" w:hAnsi="黑体" w:eastAsia="仿宋_GB2312"/>
          <w:sz w:val="30"/>
          <w:szCs w:val="30"/>
          <w:lang w:val="en-US" w:eastAsia="zh-CN"/>
        </w:rPr>
        <w:t>上级老旧小区改造项目，本年项目支出财政拨款2066885元，资本性支出（基本建设）1360184.55.00元，项目资金执行完成率66%；上级其他保障性安居工程项目拨款465632.21元，资本性支出（基本建设）11690元。项目资金执行完成率2.5%。本级协辅警工资及运转支出490.5万元，其他公安支出490.5万元，项目资金执行完成率100%。</w:t>
      </w:r>
    </w:p>
    <w:p>
      <w:pPr>
        <w:keepNext w:val="0"/>
        <w:keepLines w:val="0"/>
        <w:pageBreakBefore w:val="0"/>
        <w:widowControl/>
        <w:numPr>
          <w:ilvl w:val="0"/>
          <w:numId w:val="0"/>
        </w:numPr>
        <w:kinsoku/>
        <w:wordWrap/>
        <w:overflowPunct/>
        <w:topLinePunct w:val="0"/>
        <w:autoSpaceDE/>
        <w:autoSpaceDN/>
        <w:bidi w:val="0"/>
        <w:snapToGrid/>
        <w:spacing w:line="240" w:lineRule="auto"/>
        <w:ind w:firstLine="622"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三、政府性基金预算支出情况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2023年政府性基金预算支出1106344.7元，其中土地开发支出44578元，其他国有土地使用权出让收入安排的支出875286.70元，农村基础设施建设支出186480元。项目资金执行率100%。</w:t>
      </w:r>
    </w:p>
    <w:p>
      <w:pPr>
        <w:keepNext w:val="0"/>
        <w:keepLines w:val="0"/>
        <w:pageBreakBefore w:val="0"/>
        <w:widowControl/>
        <w:kinsoku/>
        <w:wordWrap/>
        <w:overflowPunct/>
        <w:topLinePunct w:val="0"/>
        <w:autoSpaceDE/>
        <w:autoSpaceDN/>
        <w:bidi w:val="0"/>
        <w:snapToGrid/>
        <w:spacing w:line="240" w:lineRule="auto"/>
        <w:ind w:firstLine="622" w:firstLineChars="200"/>
        <w:jc w:val="left"/>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部门整体支出绩效情况</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sz w:val="30"/>
          <w:szCs w:val="30"/>
          <w:shd w:val="clear" w:fill="FFFFFF"/>
          <w:lang w:eastAsia="zh-CN"/>
        </w:rPr>
      </w:pPr>
      <w:r>
        <w:rPr>
          <w:rFonts w:ascii="仿宋" w:hAnsi="仿宋" w:eastAsia="仿宋" w:cs="仿宋"/>
          <w:sz w:val="30"/>
          <w:szCs w:val="30"/>
          <w:shd w:val="clear" w:fill="FFFFFF"/>
        </w:rPr>
        <w:t>20</w:t>
      </w:r>
      <w:r>
        <w:rPr>
          <w:rFonts w:hint="eastAsia" w:ascii="仿宋" w:hAnsi="仿宋" w:eastAsia="仿宋" w:cs="仿宋"/>
          <w:sz w:val="30"/>
          <w:szCs w:val="30"/>
          <w:shd w:val="clear" w:fill="FFFFFF"/>
          <w:lang w:val="en-US" w:eastAsia="zh-CN"/>
        </w:rPr>
        <w:t>23</w:t>
      </w:r>
      <w:r>
        <w:rPr>
          <w:rFonts w:hint="eastAsia" w:ascii="仿宋" w:hAnsi="仿宋" w:eastAsia="仿宋" w:cs="仿宋"/>
          <w:sz w:val="30"/>
          <w:szCs w:val="30"/>
          <w:shd w:val="clear" w:fill="FFFFFF"/>
        </w:rPr>
        <w:t>年，我单位积极履职，强化管理，较好的完成了年度工作目标。通过加强预算收支管理，不断建立健全内部管理制度，梳理内部管理流程，部门整体支出管理水平得到提升。根据部门整体支出绩效评价指标体系，我单位20</w:t>
      </w:r>
      <w:r>
        <w:rPr>
          <w:rFonts w:hint="eastAsia" w:ascii="仿宋" w:hAnsi="仿宋" w:eastAsia="仿宋" w:cs="仿宋"/>
          <w:sz w:val="30"/>
          <w:szCs w:val="30"/>
          <w:shd w:val="clear" w:fill="FFFFFF"/>
          <w:lang w:val="en-US" w:eastAsia="zh-CN"/>
        </w:rPr>
        <w:t>23</w:t>
      </w:r>
      <w:r>
        <w:rPr>
          <w:rFonts w:hint="eastAsia" w:ascii="仿宋" w:hAnsi="仿宋" w:eastAsia="仿宋" w:cs="仿宋"/>
          <w:sz w:val="30"/>
          <w:szCs w:val="30"/>
          <w:shd w:val="clear" w:fill="FFFFFF"/>
        </w:rPr>
        <w:t>年度评价得分为</w:t>
      </w:r>
      <w:r>
        <w:rPr>
          <w:rFonts w:hint="eastAsia" w:ascii="仿宋" w:hAnsi="仿宋" w:eastAsia="仿宋" w:cs="仿宋"/>
          <w:sz w:val="30"/>
          <w:szCs w:val="30"/>
          <w:shd w:val="clear" w:fill="FFFFFF"/>
          <w:lang w:val="en-US" w:eastAsia="zh-CN"/>
        </w:rPr>
        <w:t xml:space="preserve"> 95.5</w:t>
      </w:r>
      <w:r>
        <w:rPr>
          <w:rFonts w:hint="eastAsia" w:ascii="仿宋" w:hAnsi="仿宋" w:eastAsia="仿宋" w:cs="仿宋"/>
          <w:sz w:val="30"/>
          <w:szCs w:val="30"/>
          <w:shd w:val="clear" w:fill="FFFFFF"/>
        </w:rPr>
        <w:t>分。部门整体支出绩效</w:t>
      </w:r>
      <w:r>
        <w:rPr>
          <w:rFonts w:hint="eastAsia" w:ascii="仿宋" w:hAnsi="仿宋" w:eastAsia="仿宋" w:cs="仿宋"/>
          <w:sz w:val="30"/>
          <w:szCs w:val="30"/>
          <w:shd w:val="clear" w:fill="FFFFFF"/>
          <w:lang w:eastAsia="zh-CN"/>
        </w:rPr>
        <w:t>情况如下：</w:t>
      </w:r>
    </w:p>
    <w:tbl>
      <w:tblPr>
        <w:tblStyle w:val="4"/>
        <w:tblW w:w="9029" w:type="dxa"/>
        <w:jc w:val="center"/>
        <w:tblInd w:w="-99" w:type="dxa"/>
        <w:tblLayout w:type="fixed"/>
        <w:tblCellMar>
          <w:top w:w="0" w:type="dxa"/>
          <w:left w:w="108" w:type="dxa"/>
          <w:bottom w:w="0" w:type="dxa"/>
          <w:right w:w="108" w:type="dxa"/>
        </w:tblCellMar>
      </w:tblPr>
      <w:tblGrid>
        <w:gridCol w:w="808"/>
        <w:gridCol w:w="677"/>
        <w:gridCol w:w="1014"/>
        <w:gridCol w:w="483"/>
        <w:gridCol w:w="2436"/>
        <w:gridCol w:w="2494"/>
        <w:gridCol w:w="1117"/>
      </w:tblGrid>
      <w:tr>
        <w:tblPrEx>
          <w:tblLayout w:type="fixed"/>
          <w:tblCellMar>
            <w:top w:w="0" w:type="dxa"/>
            <w:left w:w="108" w:type="dxa"/>
            <w:bottom w:w="0" w:type="dxa"/>
            <w:right w:w="108"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kern w:val="0"/>
                <w:sz w:val="20"/>
                <w:szCs w:val="20"/>
              </w:rPr>
            </w:pPr>
            <w:r>
              <w:rPr>
                <w:rFonts w:hint="eastAsia" w:ascii="黑体" w:eastAsia="黑体"/>
                <w:kern w:val="0"/>
                <w:sz w:val="20"/>
                <w:szCs w:val="20"/>
              </w:rPr>
              <w:t>三级</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80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投入</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预算配置</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924"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jc w:val="center"/>
        </w:trPr>
        <w:tc>
          <w:tcPr>
            <w:tcW w:w="808"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预算执行</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73"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default" w:eastAsia="宋体"/>
                <w:kern w:val="0"/>
                <w:sz w:val="24"/>
                <w:lang w:val="en-US" w:eastAsia="zh-CN"/>
              </w:rPr>
            </w:pPr>
            <w:r>
              <w:rPr>
                <w:rFonts w:hint="eastAsia"/>
                <w:kern w:val="0"/>
                <w:sz w:val="24"/>
              </w:rPr>
              <w:t>　</w:t>
            </w:r>
            <w:r>
              <w:rPr>
                <w:rFonts w:hint="eastAsia"/>
                <w:kern w:val="0"/>
                <w:sz w:val="24"/>
                <w:lang w:val="en-US" w:eastAsia="zh-CN"/>
              </w:rPr>
              <w:t>3.5</w:t>
            </w:r>
          </w:p>
        </w:tc>
      </w:tr>
      <w:tr>
        <w:tblPrEx>
          <w:tblLayout w:type="fixed"/>
          <w:tblCellMar>
            <w:top w:w="0" w:type="dxa"/>
            <w:left w:w="108" w:type="dxa"/>
            <w:bottom w:w="0" w:type="dxa"/>
            <w:right w:w="108" w:type="dxa"/>
          </w:tblCellMar>
        </w:tblPrEx>
        <w:trPr>
          <w:trHeight w:val="1325"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42"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738"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预算管理</w:t>
            </w: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1223"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trHeight w:val="1184"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4</w:t>
            </w:r>
          </w:p>
        </w:tc>
      </w:tr>
      <w:tr>
        <w:tblPrEx>
          <w:tblLayout w:type="fixed"/>
          <w:tblCellMar>
            <w:top w:w="0" w:type="dxa"/>
            <w:left w:w="108" w:type="dxa"/>
            <w:bottom w:w="0" w:type="dxa"/>
            <w:right w:w="108" w:type="dxa"/>
          </w:tblCellMar>
        </w:tblPrEx>
        <w:trPr>
          <w:trHeight w:val="2666" w:hRule="atLeast"/>
          <w:jc w:val="center"/>
        </w:trPr>
        <w:tc>
          <w:tcPr>
            <w:tcW w:w="808" w:type="dxa"/>
            <w:vMerge w:val="continue"/>
            <w:tcBorders>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trHeight w:val="90" w:hRule="atLeast"/>
          <w:jc w:val="center"/>
        </w:trPr>
        <w:tc>
          <w:tcPr>
            <w:tcW w:w="808" w:type="dxa"/>
            <w:vMerge w:val="restart"/>
            <w:tcBorders>
              <w:top w:val="nil"/>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预算管理</w:t>
            </w:r>
          </w:p>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756" w:hRule="atLeast"/>
          <w:jc w:val="center"/>
        </w:trPr>
        <w:tc>
          <w:tcPr>
            <w:tcW w:w="808"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777" w:hRule="atLeast"/>
          <w:jc w:val="center"/>
        </w:trPr>
        <w:tc>
          <w:tcPr>
            <w:tcW w:w="80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hint="eastAsia" w:eastAsia="仿宋_GB2312"/>
                <w:kern w:val="0"/>
                <w:sz w:val="20"/>
                <w:szCs w:val="20"/>
              </w:rPr>
            </w:pPr>
            <w:r>
              <w:rPr>
                <w:rFonts w:hint="eastAsia" w:eastAsia="仿宋_GB2312"/>
                <w:kern w:val="0"/>
                <w:sz w:val="20"/>
                <w:szCs w:val="20"/>
              </w:rPr>
              <w:t>产出</w:t>
            </w: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及效率</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职责履行</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w:t>
            </w:r>
            <w:r>
              <w:rPr>
                <w:rFonts w:hint="eastAsia" w:eastAsia="仿宋_GB2312"/>
                <w:kern w:val="0"/>
                <w:sz w:val="20"/>
                <w:szCs w:val="20"/>
                <w:lang w:val="en-US" w:eastAsia="zh-CN"/>
              </w:rPr>
              <w:t>22</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hint="default" w:eastAsia="仿宋_GB2312"/>
                <w:kern w:val="0"/>
                <w:sz w:val="20"/>
                <w:szCs w:val="20"/>
                <w:lang w:val="en-US" w:eastAsia="zh-CN"/>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jc w:val="center"/>
        </w:trPr>
        <w:tc>
          <w:tcPr>
            <w:tcW w:w="8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default" w:eastAsia="宋体"/>
                <w:kern w:val="0"/>
                <w:sz w:val="24"/>
                <w:lang w:val="en-US" w:eastAsia="zh-CN"/>
              </w:rPr>
            </w:pPr>
            <w:r>
              <w:rPr>
                <w:rFonts w:hint="eastAsia"/>
                <w:kern w:val="0"/>
                <w:sz w:val="24"/>
              </w:rPr>
              <w:t>　</w:t>
            </w:r>
          </w:p>
        </w:tc>
      </w:tr>
      <w:tr>
        <w:tblPrEx>
          <w:tblLayout w:type="fixed"/>
          <w:tblCellMar>
            <w:top w:w="0" w:type="dxa"/>
            <w:left w:w="108" w:type="dxa"/>
            <w:bottom w:w="0" w:type="dxa"/>
            <w:right w:w="108" w:type="dxa"/>
          </w:tblCellMar>
        </w:tblPrEx>
        <w:trPr>
          <w:trHeight w:val="904" w:hRule="atLeast"/>
          <w:jc w:val="center"/>
        </w:trPr>
        <w:tc>
          <w:tcPr>
            <w:tcW w:w="8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11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Layout w:type="fixed"/>
          <w:tblCellMar>
            <w:top w:w="0" w:type="dxa"/>
            <w:left w:w="108" w:type="dxa"/>
            <w:bottom w:w="0" w:type="dxa"/>
            <w:right w:w="108" w:type="dxa"/>
          </w:tblCellMar>
        </w:tblPrEx>
        <w:trPr>
          <w:trHeight w:val="1629" w:hRule="atLeast"/>
          <w:jc w:val="center"/>
        </w:trPr>
        <w:tc>
          <w:tcPr>
            <w:tcW w:w="8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1255" w:hRule="atLeast"/>
          <w:jc w:val="center"/>
        </w:trPr>
        <w:tc>
          <w:tcPr>
            <w:tcW w:w="8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Pr>
        <w:keepNext w:val="0"/>
        <w:keepLines w:val="0"/>
        <w:pageBreakBefore w:val="0"/>
        <w:widowControl/>
        <w:numPr>
          <w:ilvl w:val="0"/>
          <w:numId w:val="0"/>
        </w:numPr>
        <w:kinsoku/>
        <w:wordWrap/>
        <w:overflowPunct/>
        <w:topLinePunct w:val="0"/>
        <w:autoSpaceDE/>
        <w:autoSpaceDN/>
        <w:bidi w:val="0"/>
        <w:snapToGrid/>
        <w:spacing w:line="240" w:lineRule="auto"/>
        <w:ind w:firstLine="622" w:firstLineChars="200"/>
        <w:jc w:val="left"/>
        <w:textAlignment w:val="auto"/>
        <w:rPr>
          <w:rFonts w:hint="eastAsia" w:eastAsia="仿宋"/>
          <w:bCs/>
          <w:kern w:val="0"/>
          <w:sz w:val="30"/>
          <w:szCs w:val="30"/>
          <w:lang w:eastAsia="zh-CN"/>
        </w:rPr>
      </w:pPr>
      <w:r>
        <w:rPr>
          <w:rFonts w:hint="eastAsia" w:ascii="黑体" w:hAnsi="黑体" w:eastAsia="黑体"/>
          <w:sz w:val="32"/>
          <w:szCs w:val="32"/>
          <w:lang w:eastAsia="zh-CN"/>
        </w:rPr>
        <w:t>五、</w:t>
      </w:r>
      <w:r>
        <w:rPr>
          <w:rFonts w:hint="eastAsia" w:ascii="黑体" w:hAnsi="黑体" w:eastAsia="黑体"/>
          <w:sz w:val="32"/>
          <w:szCs w:val="32"/>
        </w:rPr>
        <w:t>存在的主要问题及</w:t>
      </w:r>
      <w:r>
        <w:rPr>
          <w:rFonts w:hint="eastAsia" w:ascii="黑体" w:hAnsi="黑体" w:eastAsia="黑体"/>
          <w:sz w:val="32"/>
          <w:szCs w:val="32"/>
          <w:lang w:eastAsia="zh-CN"/>
        </w:rPr>
        <w:t>原因分析</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582" w:firstLineChars="200"/>
        <w:textAlignment w:val="auto"/>
        <w:rPr>
          <w:rFonts w:hint="eastAsia" w:eastAsia="仿宋"/>
          <w:bCs/>
          <w:kern w:val="0"/>
          <w:sz w:val="30"/>
          <w:szCs w:val="30"/>
          <w:lang w:eastAsia="zh-CN"/>
        </w:rPr>
      </w:pPr>
      <w:r>
        <w:rPr>
          <w:rFonts w:hint="eastAsia" w:eastAsia="仿宋"/>
          <w:bCs/>
          <w:kern w:val="0"/>
          <w:sz w:val="30"/>
          <w:szCs w:val="30"/>
          <w:lang w:val="en-US" w:eastAsia="zh-CN"/>
        </w:rPr>
        <w:t>1、</w:t>
      </w:r>
      <w:r>
        <w:rPr>
          <w:rFonts w:hint="eastAsia" w:eastAsia="仿宋"/>
          <w:bCs/>
          <w:kern w:val="0"/>
          <w:sz w:val="30"/>
          <w:szCs w:val="30"/>
        </w:rPr>
        <w:t>年初预算编制不够完善，预算执行力度有待加强</w:t>
      </w:r>
      <w:r>
        <w:rPr>
          <w:rFonts w:hint="eastAsia" w:eastAsia="仿宋"/>
          <w:bCs/>
          <w:kern w:val="0"/>
          <w:sz w:val="30"/>
          <w:szCs w:val="30"/>
          <w:lang w:eastAsia="zh-CN"/>
        </w:rPr>
        <w:t>；</w:t>
      </w:r>
    </w:p>
    <w:p>
      <w:pPr>
        <w:keepNext w:val="0"/>
        <w:keepLines w:val="0"/>
        <w:pageBreakBefore w:val="0"/>
        <w:kinsoku/>
        <w:wordWrap/>
        <w:overflowPunct/>
        <w:topLinePunct w:val="0"/>
        <w:autoSpaceDE/>
        <w:autoSpaceDN/>
        <w:bidi w:val="0"/>
        <w:adjustRightInd w:val="0"/>
        <w:snapToGrid/>
        <w:spacing w:line="240" w:lineRule="auto"/>
        <w:ind w:firstLine="582" w:firstLineChars="200"/>
        <w:textAlignment w:val="auto"/>
        <w:rPr>
          <w:rFonts w:hint="eastAsia" w:eastAsia="仿宋"/>
          <w:bCs/>
          <w:kern w:val="0"/>
          <w:sz w:val="30"/>
          <w:szCs w:val="30"/>
          <w:lang w:eastAsia="zh-CN"/>
        </w:rPr>
      </w:pPr>
      <w:r>
        <w:rPr>
          <w:rFonts w:hint="eastAsia" w:eastAsia="仿宋"/>
          <w:bCs/>
          <w:kern w:val="0"/>
          <w:sz w:val="30"/>
          <w:szCs w:val="30"/>
          <w:lang w:val="en-US" w:eastAsia="zh-CN"/>
        </w:rPr>
        <w:t>2、</w:t>
      </w:r>
      <w:r>
        <w:rPr>
          <w:rFonts w:hint="eastAsia" w:eastAsia="仿宋"/>
          <w:bCs/>
          <w:kern w:val="0"/>
          <w:sz w:val="30"/>
          <w:szCs w:val="30"/>
        </w:rPr>
        <w:t>绩效考核机制有待进一步加强</w:t>
      </w:r>
      <w:r>
        <w:rPr>
          <w:rFonts w:hint="eastAsia" w:eastAsia="仿宋"/>
          <w:bCs/>
          <w:kern w:val="0"/>
          <w:sz w:val="30"/>
          <w:szCs w:val="30"/>
          <w:lang w:eastAsia="zh-CN"/>
        </w:rPr>
        <w:t>；</w:t>
      </w:r>
    </w:p>
    <w:p>
      <w:pPr>
        <w:keepNext w:val="0"/>
        <w:keepLines w:val="0"/>
        <w:pageBreakBefore w:val="0"/>
        <w:kinsoku/>
        <w:wordWrap/>
        <w:overflowPunct/>
        <w:topLinePunct w:val="0"/>
        <w:autoSpaceDE/>
        <w:autoSpaceDN/>
        <w:bidi w:val="0"/>
        <w:adjustRightInd w:val="0"/>
        <w:snapToGrid/>
        <w:spacing w:line="240" w:lineRule="auto"/>
        <w:ind w:firstLine="582" w:firstLineChars="200"/>
        <w:textAlignment w:val="auto"/>
        <w:rPr>
          <w:rFonts w:hint="eastAsia" w:eastAsia="仿宋"/>
          <w:bCs/>
          <w:kern w:val="0"/>
          <w:sz w:val="30"/>
          <w:szCs w:val="30"/>
          <w:lang w:eastAsia="zh-CN"/>
        </w:rPr>
      </w:pPr>
      <w:r>
        <w:rPr>
          <w:rFonts w:hint="eastAsia" w:eastAsia="仿宋"/>
          <w:bCs/>
          <w:kern w:val="0"/>
          <w:sz w:val="30"/>
          <w:szCs w:val="30"/>
          <w:lang w:val="en-US" w:eastAsia="zh-CN"/>
        </w:rPr>
        <w:t>3、</w:t>
      </w:r>
      <w:r>
        <w:rPr>
          <w:rFonts w:hint="eastAsia" w:eastAsia="仿宋"/>
          <w:bCs/>
          <w:kern w:val="0"/>
          <w:sz w:val="30"/>
          <w:szCs w:val="30"/>
        </w:rPr>
        <w:t>财务管理存在部分不规范的情况</w:t>
      </w:r>
      <w:r>
        <w:rPr>
          <w:rFonts w:hint="eastAsia" w:eastAsia="仿宋"/>
          <w:bCs/>
          <w:kern w:val="0"/>
          <w:sz w:val="30"/>
          <w:szCs w:val="30"/>
          <w:lang w:eastAsia="zh-CN"/>
        </w:rPr>
        <w:t>；</w:t>
      </w:r>
    </w:p>
    <w:p>
      <w:pPr>
        <w:keepNext w:val="0"/>
        <w:keepLines w:val="0"/>
        <w:pageBreakBefore w:val="0"/>
        <w:kinsoku/>
        <w:wordWrap/>
        <w:overflowPunct/>
        <w:topLinePunct w:val="0"/>
        <w:autoSpaceDE/>
        <w:autoSpaceDN/>
        <w:bidi w:val="0"/>
        <w:adjustRightInd w:val="0"/>
        <w:snapToGrid/>
        <w:spacing w:line="240" w:lineRule="auto"/>
        <w:ind w:firstLine="582" w:firstLineChars="200"/>
        <w:textAlignment w:val="auto"/>
        <w:rPr>
          <w:rFonts w:hint="eastAsia" w:eastAsia="仿宋"/>
          <w:bCs/>
          <w:kern w:val="0"/>
          <w:sz w:val="30"/>
          <w:szCs w:val="30"/>
          <w:lang w:eastAsia="zh-CN"/>
        </w:rPr>
      </w:pPr>
      <w:r>
        <w:rPr>
          <w:rFonts w:hint="eastAsia" w:eastAsia="仿宋"/>
          <w:bCs/>
          <w:kern w:val="0"/>
          <w:sz w:val="30"/>
          <w:szCs w:val="30"/>
          <w:lang w:val="en-US" w:eastAsia="zh-CN"/>
        </w:rPr>
        <w:t>4、</w:t>
      </w:r>
      <w:r>
        <w:rPr>
          <w:rFonts w:hint="eastAsia" w:eastAsia="仿宋"/>
          <w:bCs/>
          <w:kern w:val="0"/>
          <w:sz w:val="30"/>
          <w:szCs w:val="30"/>
        </w:rPr>
        <w:t>制度建设不够齐全，固定资产管理有待加强</w:t>
      </w:r>
      <w:r>
        <w:rPr>
          <w:rFonts w:hint="eastAsia" w:eastAsia="仿宋"/>
          <w:bCs/>
          <w:kern w:val="0"/>
          <w:sz w:val="30"/>
          <w:szCs w:val="30"/>
          <w:lang w:eastAsia="zh-CN"/>
        </w:rPr>
        <w:t>；</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eastAsia="仿宋"/>
          <w:bCs/>
          <w:kern w:val="0"/>
          <w:sz w:val="30"/>
          <w:szCs w:val="30"/>
          <w:lang w:eastAsia="zh-CN"/>
        </w:rPr>
      </w:pPr>
      <w:r>
        <w:rPr>
          <w:rFonts w:hint="eastAsia" w:eastAsia="仿宋"/>
          <w:bCs/>
          <w:kern w:val="0"/>
          <w:sz w:val="30"/>
          <w:szCs w:val="30"/>
          <w:lang w:val="en-US" w:eastAsia="zh-CN"/>
        </w:rPr>
        <w:t>5、</w:t>
      </w:r>
      <w:r>
        <w:rPr>
          <w:rFonts w:hint="eastAsia" w:eastAsia="仿宋"/>
          <w:bCs/>
          <w:kern w:val="0"/>
          <w:sz w:val="30"/>
          <w:szCs w:val="30"/>
        </w:rPr>
        <w:t>项目管理存在不规范的情况</w:t>
      </w:r>
      <w:r>
        <w:rPr>
          <w:rFonts w:hint="eastAsia" w:eastAsia="仿宋"/>
          <w:bCs/>
          <w:kern w:val="0"/>
          <w:sz w:val="30"/>
          <w:szCs w:val="30"/>
          <w:lang w:eastAsia="zh-CN"/>
        </w:rPr>
        <w:t>。</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六、下一步改进措施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82" w:firstLineChars="200"/>
        <w:jc w:val="left"/>
        <w:textAlignment w:val="auto"/>
        <w:rPr>
          <w:rFonts w:hint="eastAsia" w:ascii="仿宋" w:hAnsi="仿宋" w:eastAsia="仿宋" w:cs="仿宋"/>
          <w:sz w:val="30"/>
          <w:szCs w:val="30"/>
          <w:shd w:val="clear" w:fill="FFFFFF"/>
        </w:rPr>
      </w:pPr>
      <w:r>
        <w:rPr>
          <w:rFonts w:ascii="仿宋" w:hAnsi="仿宋" w:eastAsia="仿宋" w:cs="仿宋"/>
          <w:sz w:val="30"/>
          <w:szCs w:val="30"/>
          <w:shd w:val="clear" w:fill="FFFFFF"/>
        </w:rPr>
        <w:t>1</w:t>
      </w:r>
      <w:r>
        <w:rPr>
          <w:rFonts w:hint="eastAsia" w:ascii="仿宋" w:hAnsi="仿宋" w:eastAsia="仿宋" w:cs="仿宋"/>
          <w:sz w:val="30"/>
          <w:szCs w:val="30"/>
          <w:shd w:val="clear" w:fill="FFFFFF"/>
        </w:rPr>
        <w:t>、细化预算编制工作，认真做好预算的编制。进一步加强单位内部机构各股室的预算管理意识，严格按照预算编制的相关制度和要求进行预算编制。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82" w:firstLineChars="200"/>
        <w:jc w:val="left"/>
        <w:textAlignment w:val="auto"/>
        <w:rPr>
          <w:rFonts w:hint="default" w:ascii="Times New Roman" w:hAnsi="Times New Roman" w:cs="Times New Roman"/>
          <w:sz w:val="30"/>
          <w:szCs w:val="30"/>
        </w:rPr>
      </w:pPr>
      <w:r>
        <w:rPr>
          <w:rFonts w:hint="eastAsia" w:ascii="仿宋" w:hAnsi="仿宋" w:eastAsia="仿宋" w:cs="仿宋"/>
          <w:sz w:val="30"/>
          <w:szCs w:val="30"/>
          <w:shd w:val="clear"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82" w:firstLineChars="200"/>
        <w:jc w:val="both"/>
        <w:textAlignment w:val="auto"/>
        <w:rPr>
          <w:rFonts w:hint="default" w:ascii="Times New Roman" w:hAnsi="Times New Roman" w:cs="Times New Roman"/>
          <w:sz w:val="30"/>
          <w:szCs w:val="30"/>
        </w:rPr>
      </w:pPr>
      <w:r>
        <w:rPr>
          <w:rFonts w:hint="eastAsia" w:ascii="仿宋" w:hAnsi="仿宋" w:eastAsia="仿宋" w:cs="仿宋"/>
          <w:sz w:val="30"/>
          <w:szCs w:val="30"/>
          <w:shd w:val="clear"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82" w:firstLineChars="200"/>
        <w:jc w:val="both"/>
        <w:textAlignment w:val="auto"/>
        <w:rPr>
          <w:rFonts w:hint="eastAsia" w:ascii="Times New Roman" w:hAnsi="Times New Roman" w:eastAsia="仿宋" w:cs="Times New Roman"/>
          <w:sz w:val="30"/>
          <w:szCs w:val="30"/>
          <w:lang w:eastAsia="zh-CN"/>
        </w:rPr>
      </w:pPr>
      <w:r>
        <w:rPr>
          <w:rFonts w:hint="eastAsia" w:ascii="仿宋" w:hAnsi="仿宋" w:eastAsia="仿宋" w:cs="仿宋"/>
          <w:sz w:val="30"/>
          <w:szCs w:val="30"/>
          <w:shd w:val="clear" w:fill="FFFFFF"/>
        </w:rPr>
        <w:t>4、对相关人员加强培训，特别是针对《预算法》、《行政事业单位会计制度》等学习培训，规范部门预算收支核算，切实提高部门预算收支管理水平</w:t>
      </w:r>
      <w:r>
        <w:rPr>
          <w:rFonts w:hint="eastAsia" w:ascii="仿宋" w:hAnsi="仿宋" w:eastAsia="仿宋" w:cs="仿宋"/>
          <w:sz w:val="30"/>
          <w:szCs w:val="30"/>
          <w:shd w:val="clear" w:fill="FFFFFF"/>
          <w:lang w:eastAsia="zh-CN"/>
        </w:rPr>
        <w:t>。</w:t>
      </w:r>
    </w:p>
    <w:p>
      <w:pPr>
        <w:keepNext w:val="0"/>
        <w:keepLines w:val="0"/>
        <w:pageBreakBefore w:val="0"/>
        <w:widowControl/>
        <w:numPr>
          <w:ilvl w:val="0"/>
          <w:numId w:val="0"/>
        </w:numPr>
        <w:kinsoku/>
        <w:wordWrap/>
        <w:overflowPunct/>
        <w:topLinePunct w:val="0"/>
        <w:autoSpaceDE/>
        <w:autoSpaceDN/>
        <w:bidi w:val="0"/>
        <w:snapToGrid/>
        <w:spacing w:line="240" w:lineRule="auto"/>
        <w:ind w:firstLine="622" w:firstLineChars="200"/>
        <w:jc w:val="left"/>
        <w:textAlignment w:val="auto"/>
        <w:rPr>
          <w:rFonts w:hint="eastAsia" w:ascii="黑体" w:hAnsi="黑体" w:eastAsia="黑体"/>
          <w:sz w:val="32"/>
          <w:szCs w:val="32"/>
        </w:rPr>
      </w:pPr>
      <w:r>
        <w:rPr>
          <w:rFonts w:hint="eastAsia" w:ascii="黑体" w:hAnsi="黑体" w:eastAsia="黑体"/>
          <w:sz w:val="32"/>
          <w:szCs w:val="32"/>
          <w:lang w:eastAsia="zh-CN"/>
        </w:rPr>
        <w:t>七、部门整体支出及</w:t>
      </w:r>
      <w:r>
        <w:rPr>
          <w:rFonts w:hint="eastAsia" w:ascii="黑体" w:hAnsi="黑体" w:eastAsia="黑体"/>
          <w:sz w:val="32"/>
          <w:szCs w:val="32"/>
        </w:rPr>
        <w:t>绩效自评结果拟应用和公开情况</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eastAsia="zh-CN"/>
        </w:rPr>
        <w:t>绩效自评结果得分</w:t>
      </w:r>
      <w:r>
        <w:rPr>
          <w:rFonts w:hint="eastAsia" w:ascii="仿宋" w:hAnsi="仿宋" w:eastAsia="仿宋" w:cs="仿宋"/>
          <w:sz w:val="30"/>
          <w:szCs w:val="30"/>
          <w:lang w:val="en-US" w:eastAsia="zh-CN"/>
        </w:rPr>
        <w:t>95.5分，详细情况在衡山县政府门户网站公示。</w:t>
      </w:r>
    </w:p>
    <w:p>
      <w:pPr>
        <w:keepNext w:val="0"/>
        <w:keepLines w:val="0"/>
        <w:pageBreakBefore w:val="0"/>
        <w:widowControl/>
        <w:kinsoku/>
        <w:wordWrap/>
        <w:overflowPunct/>
        <w:topLinePunct w:val="0"/>
        <w:autoSpaceDE/>
        <w:autoSpaceDN/>
        <w:bidi w:val="0"/>
        <w:snapToGrid/>
        <w:spacing w:line="240" w:lineRule="auto"/>
        <w:ind w:firstLine="622" w:firstLineChars="200"/>
        <w:jc w:val="left"/>
        <w:textAlignment w:val="auto"/>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、其他需要说明的情况</w:t>
      </w:r>
    </w:p>
    <w:p>
      <w:pPr>
        <w:keepNext w:val="0"/>
        <w:keepLines w:val="0"/>
        <w:pageBreakBefore w:val="0"/>
        <w:widowControl/>
        <w:kinsoku/>
        <w:wordWrap/>
        <w:overflowPunct/>
        <w:topLinePunct w:val="0"/>
        <w:autoSpaceDE/>
        <w:autoSpaceDN/>
        <w:bidi w:val="0"/>
        <w:snapToGrid/>
        <w:spacing w:line="240" w:lineRule="auto"/>
        <w:ind w:firstLine="1244" w:firstLineChars="4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无</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部门整体支出绩效评价基础数据表</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附件2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部门整体支出绩效</w:t>
      </w:r>
      <w:r>
        <w:rPr>
          <w:rFonts w:hint="eastAsia" w:ascii="仿宋" w:hAnsi="仿宋" w:eastAsia="仿宋" w:cs="仿宋"/>
          <w:sz w:val="30"/>
          <w:szCs w:val="30"/>
          <w:lang w:eastAsia="zh-CN"/>
        </w:rPr>
        <w:t>自评表</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附件3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项目支出绩效</w:t>
      </w:r>
      <w:r>
        <w:rPr>
          <w:rFonts w:hint="eastAsia" w:ascii="仿宋" w:hAnsi="仿宋" w:eastAsia="仿宋" w:cs="仿宋"/>
          <w:sz w:val="30"/>
          <w:szCs w:val="30"/>
        </w:rPr>
        <w:t>自评表</w:t>
      </w:r>
      <w:r>
        <w:rPr>
          <w:rFonts w:hint="eastAsia" w:ascii="仿宋" w:hAnsi="仿宋" w:eastAsia="仿宋" w:cs="仿宋"/>
          <w:sz w:val="30"/>
          <w:szCs w:val="30"/>
          <w:lang w:eastAsia="zh-CN"/>
        </w:rPr>
        <w:t>（每个一级项目一张表）</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附件4  政府性基金预算支出情况表</w:t>
      </w:r>
    </w:p>
    <w:p/>
    <w:sectPr>
      <w:footerReference r:id="rId3" w:type="default"/>
      <w:footerReference r:id="rId4" w:type="even"/>
      <w:pgSz w:w="11906" w:h="16838"/>
      <w:pgMar w:top="1389" w:right="1287" w:bottom="1327" w:left="1281" w:header="851" w:footer="1020" w:gutter="0"/>
      <w:cols w:space="0" w:num="1"/>
      <w:rtlGutter w:val="0"/>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10</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D981E"/>
    <w:multiLevelType w:val="singleLevel"/>
    <w:tmpl w:val="5FED98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jIwZDI4MDA2MWZhZThiYjU3OWU3N2IxM2I0NjMifQ=="/>
  </w:docVars>
  <w:rsids>
    <w:rsidRoot w:val="10227538"/>
    <w:rsid w:val="10227538"/>
    <w:rsid w:val="1BD833DD"/>
    <w:rsid w:val="1CBA575E"/>
    <w:rsid w:val="216A53FE"/>
    <w:rsid w:val="3322255E"/>
    <w:rsid w:val="41FF0840"/>
    <w:rsid w:val="4E6103D4"/>
    <w:rsid w:val="6BB97B2C"/>
    <w:rsid w:val="77883F18"/>
    <w:rsid w:val="7DE7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6">
    <w:name w:val="page number"/>
    <w:basedOn w:val="5"/>
    <w:qFormat/>
    <w:uiPriority w:val="99"/>
    <w:rPr>
      <w:rFonts w:cs="Times New Roman"/>
    </w:rPr>
  </w:style>
  <w:style w:type="paragraph" w:styleId="7">
    <w:name w:val="List Paragraph"/>
    <w:basedOn w:val="1"/>
    <w:qFormat/>
    <w:uiPriority w:val="99"/>
    <w:pPr>
      <w:ind w:firstLine="420" w:firstLineChars="200"/>
    </w:p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2024-05-27T03:01:00Z</dcterms:created>
  <dc:creator>经纬天地</dc:creator>
  <cp:lastModifiedBy>Administrator</cp:lastModifiedBy>
  <cp:lastPrinted>2024-06-18T09:24:06Z</cp:lastPrinted>
  <dcterms:modified xsi:type="dcterms:W3CDTF">2024-06-18T09:24:39Z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FD92E161D03C49F48481A9921C2C8D1D_11</vt:lpwstr>
  </property>
</Properties>
</file>