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40" w:line="360" w:lineRule="auto"/>
        <w:jc w:val="center"/>
        <w:rPr>
          <w:rFonts w:ascii="仿宋" w:hAnsi="仿宋" w:eastAsia="仿宋" w:cs="黑体"/>
          <w:color w:val="auto"/>
          <w:spacing w:val="8"/>
          <w:sz w:val="32"/>
          <w:szCs w:val="32"/>
        </w:rPr>
      </w:pPr>
    </w:p>
    <w:p>
      <w:pPr>
        <w:spacing w:line="360" w:lineRule="auto"/>
        <w:jc w:val="center"/>
        <w:rPr>
          <w:rFonts w:ascii="黑体" w:hAnsi="黑体" w:eastAsia="黑体"/>
          <w:sz w:val="48"/>
          <w:szCs w:val="48"/>
        </w:rPr>
      </w:pPr>
      <w:r>
        <w:rPr>
          <w:rFonts w:ascii="黑体" w:hAnsi="黑体" w:eastAsia="黑体"/>
          <w:sz w:val="48"/>
          <w:szCs w:val="48"/>
        </w:rPr>
        <w:t>20</w:t>
      </w:r>
      <w:r>
        <w:rPr>
          <w:rFonts w:hint="eastAsia" w:ascii="黑体" w:hAnsi="黑体" w:eastAsia="黑体"/>
          <w:sz w:val="48"/>
          <w:szCs w:val="48"/>
        </w:rPr>
        <w:t>23年度部门整体支出绩效自评报告</w:t>
      </w: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jc w:val="center"/>
        <w:rPr>
          <w:rFonts w:ascii="仿宋" w:hAnsi="仿宋" w:eastAsia="仿宋"/>
          <w:sz w:val="32"/>
          <w:szCs w:val="32"/>
        </w:rPr>
      </w:pPr>
    </w:p>
    <w:p>
      <w:pPr>
        <w:spacing w:line="360" w:lineRule="auto"/>
        <w:jc w:val="center"/>
        <w:rPr>
          <w:rFonts w:ascii="仿宋" w:hAnsi="仿宋" w:eastAsia="仿宋"/>
          <w:sz w:val="32"/>
          <w:szCs w:val="32"/>
        </w:rPr>
      </w:pPr>
      <w:r>
        <w:rPr>
          <w:rFonts w:hint="eastAsia" w:ascii="仿宋" w:hAnsi="仿宋" w:eastAsia="仿宋"/>
          <w:sz w:val="32"/>
          <w:szCs w:val="32"/>
        </w:rPr>
        <w:t>单位名称（盖章）：衡山县水利局</w:t>
      </w:r>
    </w:p>
    <w:p>
      <w:pPr>
        <w:spacing w:line="360" w:lineRule="auto"/>
        <w:rPr>
          <w:rFonts w:ascii="仿宋" w:hAnsi="仿宋" w:eastAsia="仿宋"/>
          <w:sz w:val="32"/>
          <w:szCs w:val="32"/>
        </w:rPr>
      </w:pPr>
    </w:p>
    <w:p>
      <w:pPr>
        <w:widowControl w:val="0"/>
        <w:kinsoku/>
        <w:adjustRightInd/>
        <w:snapToGrid/>
        <w:spacing w:line="360" w:lineRule="auto"/>
        <w:ind w:firstLine="643" w:firstLineChars="200"/>
        <w:jc w:val="both"/>
        <w:outlineLvl w:val="0"/>
        <w:rPr>
          <w:rFonts w:ascii="仿宋" w:hAnsi="仿宋" w:eastAsia="仿宋" w:cs="黑体"/>
          <w:snapToGrid/>
          <w:color w:val="auto"/>
          <w:kern w:val="21"/>
          <w:sz w:val="32"/>
          <w:szCs w:val="32"/>
        </w:rPr>
      </w:pPr>
      <w:r>
        <w:rPr>
          <w:rFonts w:hint="eastAsia" w:ascii="仿宋" w:hAnsi="仿宋" w:eastAsia="仿宋" w:cs="黑体"/>
          <w:b/>
          <w:bCs/>
          <w:snapToGrid/>
          <w:color w:val="auto"/>
          <w:kern w:val="21"/>
          <w:sz w:val="32"/>
          <w:szCs w:val="32"/>
        </w:rPr>
        <w:t>一、单位基本情况</w:t>
      </w:r>
    </w:p>
    <w:p>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(一)部门主要职责</w:t>
      </w:r>
    </w:p>
    <w:p>
      <w:pPr>
        <w:widowControl w:val="0"/>
        <w:kinsoku/>
        <w:adjustRightInd/>
        <w:snapToGrid/>
        <w:spacing w:line="360" w:lineRule="auto"/>
        <w:ind w:firstLine="643" w:firstLineChars="200"/>
        <w:jc w:val="both"/>
        <w:rPr>
          <w:rFonts w:ascii="仿宋" w:hAnsi="仿宋" w:eastAsia="仿宋"/>
          <w:b/>
          <w:snapToGrid/>
          <w:color w:val="auto"/>
          <w:kern w:val="21"/>
          <w:sz w:val="32"/>
          <w:szCs w:val="32"/>
        </w:rPr>
      </w:pPr>
      <w:r>
        <w:rPr>
          <w:rFonts w:hint="eastAsia" w:ascii="仿宋" w:hAnsi="仿宋" w:eastAsia="仿宋"/>
          <w:b/>
          <w:snapToGrid/>
          <w:color w:val="auto"/>
          <w:kern w:val="21"/>
          <w:sz w:val="32"/>
          <w:szCs w:val="32"/>
        </w:rPr>
        <w:t>1、机构情况：</w:t>
      </w:r>
    </w:p>
    <w:p>
      <w:pPr>
        <w:spacing w:line="360" w:lineRule="auto"/>
        <w:ind w:firstLine="594"/>
        <w:rPr>
          <w:rFonts w:ascii="仿宋" w:hAnsi="仿宋" w:eastAsia="仿宋"/>
          <w:sz w:val="32"/>
          <w:szCs w:val="32"/>
        </w:rPr>
      </w:pPr>
      <w:r>
        <w:rPr>
          <w:rFonts w:hint="eastAsia" w:ascii="仿宋" w:hAnsi="仿宋" w:eastAsia="仿宋"/>
          <w:sz w:val="32"/>
          <w:szCs w:val="32"/>
        </w:rPr>
        <w:t>衡山县水利局为参照公务员管理正科级公益一类全额拨款行政事业单位，负责人：罗光辉，机构地址：衡山县开云镇滨江南路8号，统一社会信用代11430423006278425L。</w:t>
      </w:r>
    </w:p>
    <w:p>
      <w:pPr>
        <w:spacing w:line="360" w:lineRule="auto"/>
        <w:ind w:firstLine="660"/>
        <w:rPr>
          <w:rFonts w:ascii="仿宋" w:hAnsi="仿宋" w:eastAsia="仿宋" w:cs="仿宋_GB2312"/>
          <w:sz w:val="32"/>
          <w:szCs w:val="32"/>
        </w:rPr>
      </w:pPr>
      <w:r>
        <w:rPr>
          <w:rFonts w:hint="eastAsia" w:ascii="仿宋" w:hAnsi="仿宋" w:eastAsia="仿宋" w:cs="仿宋_GB2312"/>
          <w:sz w:val="32"/>
          <w:szCs w:val="32"/>
        </w:rPr>
        <w:t>县水利局机关行政编制</w:t>
      </w:r>
      <w:r>
        <w:rPr>
          <w:rFonts w:ascii="仿宋" w:hAnsi="仿宋" w:eastAsia="仿宋" w:cs="仿宋_GB2312"/>
          <w:sz w:val="32"/>
          <w:szCs w:val="32"/>
        </w:rPr>
        <w:t>1</w:t>
      </w:r>
      <w:r>
        <w:rPr>
          <w:rFonts w:hint="eastAsia" w:ascii="仿宋" w:hAnsi="仿宋" w:eastAsia="仿宋" w:cs="仿宋_GB2312"/>
          <w:sz w:val="32"/>
          <w:szCs w:val="32"/>
        </w:rPr>
        <w:t>7名。设局长</w:t>
      </w:r>
      <w:r>
        <w:rPr>
          <w:rFonts w:ascii="仿宋" w:hAnsi="仿宋" w:eastAsia="仿宋" w:cs="仿宋_GB2312"/>
          <w:sz w:val="32"/>
          <w:szCs w:val="32"/>
        </w:rPr>
        <w:t>1</w:t>
      </w:r>
      <w:r>
        <w:rPr>
          <w:rFonts w:hint="eastAsia" w:ascii="仿宋" w:hAnsi="仿宋" w:eastAsia="仿宋" w:cs="仿宋_GB2312"/>
          <w:sz w:val="32"/>
          <w:szCs w:val="32"/>
        </w:rPr>
        <w:t>名，副局长3名，</w:t>
      </w:r>
      <w:r>
        <w:rPr>
          <w:rFonts w:hint="eastAsia" w:ascii="仿宋" w:hAnsi="仿宋" w:eastAsia="仿宋"/>
          <w:sz w:val="32"/>
          <w:szCs w:val="32"/>
        </w:rPr>
        <w:t>总工程师</w:t>
      </w:r>
      <w:r>
        <w:rPr>
          <w:rFonts w:ascii="仿宋" w:hAnsi="仿宋" w:eastAsia="仿宋"/>
          <w:sz w:val="32"/>
          <w:szCs w:val="32"/>
        </w:rPr>
        <w:t>1</w:t>
      </w:r>
      <w:r>
        <w:rPr>
          <w:rFonts w:hint="eastAsia" w:ascii="仿宋" w:hAnsi="仿宋" w:eastAsia="仿宋"/>
          <w:sz w:val="32"/>
          <w:szCs w:val="32"/>
        </w:rPr>
        <w:t>名，股（室）负责人</w:t>
      </w:r>
      <w:r>
        <w:rPr>
          <w:rFonts w:ascii="仿宋" w:hAnsi="仿宋" w:eastAsia="仿宋"/>
          <w:sz w:val="32"/>
          <w:szCs w:val="32"/>
        </w:rPr>
        <w:t>9</w:t>
      </w:r>
      <w:r>
        <w:rPr>
          <w:rFonts w:hint="eastAsia" w:ascii="仿宋" w:hAnsi="仿宋" w:eastAsia="仿宋"/>
          <w:sz w:val="32"/>
          <w:szCs w:val="32"/>
        </w:rPr>
        <w:t>名。</w:t>
      </w:r>
    </w:p>
    <w:p>
      <w:pPr>
        <w:spacing w:line="360" w:lineRule="auto"/>
        <w:ind w:firstLine="312" w:firstLineChars="100"/>
        <w:rPr>
          <w:rFonts w:ascii="仿宋" w:hAnsi="仿宋" w:eastAsia="仿宋"/>
          <w:sz w:val="32"/>
          <w:szCs w:val="32"/>
        </w:rPr>
      </w:pPr>
      <w:r>
        <w:rPr>
          <w:rFonts w:hint="eastAsia" w:ascii="仿宋" w:hAnsi="仿宋" w:eastAsia="仿宋" w:cs="仿宋_GB2312"/>
          <w:spacing w:val="-4"/>
          <w:sz w:val="32"/>
          <w:szCs w:val="32"/>
        </w:rPr>
        <w:t xml:space="preserve">  </w:t>
      </w:r>
      <w:r>
        <w:rPr>
          <w:rFonts w:hint="eastAsia" w:ascii="仿宋" w:hAnsi="仿宋" w:eastAsia="仿宋"/>
          <w:sz w:val="32"/>
          <w:szCs w:val="32"/>
        </w:rPr>
        <w:t>1、办公室。负责文电、机要、档案等机关日常运转工作；承担政务信息、</w:t>
      </w:r>
      <w:r>
        <w:rPr>
          <w:rFonts w:hint="eastAsia" w:ascii="仿宋" w:hAnsi="仿宋" w:eastAsia="仿宋"/>
          <w:spacing w:val="-2"/>
          <w:sz w:val="32"/>
          <w:szCs w:val="32"/>
        </w:rPr>
        <w:t>保密、信访、县人大代表建议与县政协委员提案的办理工作；负责机关内部规章制度建设；负责局机关行政后勤管理和社会综合治理工作；负责水利水电综合统计工作；协助水旱灾害防御中心做好相关日常工作。</w:t>
      </w:r>
    </w:p>
    <w:p>
      <w:pPr>
        <w:spacing w:line="360" w:lineRule="auto"/>
        <w:ind w:firstLine="640" w:firstLineChars="200"/>
        <w:rPr>
          <w:rFonts w:ascii="仿宋" w:hAnsi="仿宋" w:eastAsia="仿宋"/>
          <w:sz w:val="32"/>
          <w:szCs w:val="32"/>
        </w:rPr>
      </w:pPr>
      <w:r>
        <w:rPr>
          <w:rFonts w:hint="eastAsia" w:ascii="仿宋" w:hAnsi="仿宋" w:eastAsia="仿宋"/>
          <w:sz w:val="32"/>
          <w:szCs w:val="32"/>
        </w:rPr>
        <w:t>2、计划财务股。负责指导全县水利行业的财务、会计管理工作；编制水利部门预算；研究提出有关水利的价格、信贷、财务等经济调节意见；</w:t>
      </w:r>
      <w:r>
        <w:rPr>
          <w:rFonts w:hint="eastAsia" w:ascii="仿宋" w:hAnsi="仿宋" w:eastAsia="仿宋"/>
          <w:spacing w:val="-2"/>
          <w:sz w:val="32"/>
          <w:szCs w:val="32"/>
        </w:rPr>
        <w:t>承担县水利资金的监督管理工作；负责移民扶助金的拨付与管理工作；归口管理局系统国有资产；负责局机关财务工作，指导和监管局属单位的财务内审工作；负责局行政事业性收费统一管理；负责编制年度预算计划和财务决算报表。</w:t>
      </w:r>
    </w:p>
    <w:p>
      <w:pPr>
        <w:spacing w:line="360" w:lineRule="auto"/>
        <w:ind w:firstLine="640" w:firstLineChars="200"/>
        <w:rPr>
          <w:rFonts w:ascii="仿宋" w:hAnsi="仿宋" w:eastAsia="仿宋"/>
          <w:sz w:val="32"/>
          <w:szCs w:val="32"/>
        </w:rPr>
      </w:pPr>
      <w:r>
        <w:rPr>
          <w:rFonts w:hint="eastAsia" w:ascii="仿宋" w:hAnsi="仿宋" w:eastAsia="仿宋"/>
          <w:sz w:val="32"/>
          <w:szCs w:val="32"/>
        </w:rPr>
        <w:t>3、人事科教股。负责局机关及下属单位的机构编制、人事、劳动工资、离退休人员、计生、保险福利工作；负责局机关和局属单位的工人技术等级考核有关工作；协助上级有关部门做好干部考察、晋升工作；负责水利行业有关的职业技能鉴定；负责局机关及下属单位职工教育工作。负责全县水利科技工作；组织实施全县水利科学技术发展规划；组织全县本行业职工教育培训；承办水利科学研究与技术推广应用工作，归口管理全县水利科技项目的立项审查工作，负责科技成果的审查、申报与评奖工作；负责水利科技资料管理；指导、承办全县水利系统专业技术干部的职称评聘和继续培训工作；指导全县水利队伍建设。</w:t>
      </w:r>
    </w:p>
    <w:p>
      <w:pPr>
        <w:spacing w:line="360" w:lineRule="auto"/>
        <w:ind w:firstLine="608" w:firstLineChars="200"/>
        <w:rPr>
          <w:rFonts w:ascii="仿宋" w:hAnsi="仿宋" w:eastAsia="仿宋"/>
          <w:sz w:val="32"/>
          <w:szCs w:val="32"/>
        </w:rPr>
      </w:pPr>
      <w:r>
        <w:rPr>
          <w:rFonts w:hint="eastAsia" w:ascii="仿宋" w:hAnsi="仿宋" w:eastAsia="仿宋"/>
          <w:spacing w:val="-8"/>
          <w:sz w:val="32"/>
          <w:szCs w:val="32"/>
        </w:rPr>
        <w:t>4、政策法规股（加挂水资源股和衡山县节约用水办公室牌子）。</w:t>
      </w:r>
      <w:r>
        <w:rPr>
          <w:rFonts w:hint="eastAsia" w:ascii="仿宋" w:hAnsi="仿宋" w:eastAsia="仿宋"/>
          <w:sz w:val="32"/>
          <w:szCs w:val="32"/>
        </w:rPr>
        <w:t>负责水利法律、法规和条例的贯彻实施；拟订水利法制建设规划；负责全县水资源统一管理和保护；负责全县水政监察和水行政执法工作；协调跨乡（镇）间水事纠纷；承办水利局行政诉讼、行政复议和行业普法宣传教育工作；承担实施最严格水资源管理制度相关工作，组织实施取水许可、水资源论证等制度，指导开展水资源有偿使用工作；指导水量分配工作并监督实施，指导河道、水库等生态流量水量管理；组织编制水资源保护规划，指导饮用水水源保护有关工作；按规定组织开展水资源调查、评价和水资源承载能力监测预警有关工作，组织编制并发布县级水资源公报。拟订节约用水政策，组织编制并协调实施节约用水规划，组织指导计划用水、节约用水工作；组织实施用水总量控制、用水效率控制、计划用水和定额管理制度。指导和推动节水型社会建设工作；指导水资源调度工作并监督实施；负责河道采砂的统一管理和监督，根据河道采砂规划、河势稳定和堤防安全要求，确定禁采区和禁采期，并予以公告。</w:t>
      </w:r>
    </w:p>
    <w:p>
      <w:pPr>
        <w:spacing w:line="360" w:lineRule="auto"/>
        <w:ind w:firstLine="640" w:firstLineChars="200"/>
        <w:rPr>
          <w:rFonts w:ascii="仿宋" w:hAnsi="仿宋" w:eastAsia="仿宋"/>
          <w:sz w:val="32"/>
          <w:szCs w:val="32"/>
        </w:rPr>
      </w:pPr>
      <w:r>
        <w:rPr>
          <w:rFonts w:hint="eastAsia" w:ascii="仿宋" w:hAnsi="仿宋" w:eastAsia="仿宋"/>
          <w:sz w:val="32"/>
          <w:szCs w:val="32"/>
        </w:rPr>
        <w:t>5、工程股。负责提出全县水利中、长期发展规划、年度投资建议计划，组织编制重大水利综合规划、专业规划和专项规划，指导全县水利规划编制工作；负责小型水利工程的项目建议书、可行性研究报告、初步设计、开工报告的审批和中型水利工程除险加固项目的初步设计初审上报工作；负责全县水利综合统计工作，水利工程建设、运行管理业务指导工作；负责全县水利工程建设规范管理；指导实施水利工程建设质量工作，组织参与重大水利安全事故的调查处理工作。</w:t>
      </w:r>
    </w:p>
    <w:p>
      <w:pPr>
        <w:spacing w:line="360" w:lineRule="auto"/>
        <w:ind w:firstLine="640" w:firstLineChars="200"/>
        <w:rPr>
          <w:rFonts w:ascii="仿宋" w:hAnsi="仿宋" w:eastAsia="仿宋"/>
          <w:sz w:val="32"/>
          <w:szCs w:val="32"/>
        </w:rPr>
      </w:pPr>
      <w:r>
        <w:rPr>
          <w:rFonts w:hint="eastAsia" w:ascii="仿宋" w:hAnsi="仿宋" w:eastAsia="仿宋"/>
          <w:sz w:val="32"/>
          <w:szCs w:val="32"/>
        </w:rPr>
        <w:t>6、安全生产股。负责指导全县水利行业安全生产工作，组织水利安全生产宣传教育培训工作，负责全县水利系统安全生产监管工作；拟订水利安全生产工作的有关政策和措施；组织开展安全生产检查，对存在安全生产隐患的单位下达整改通知并监督落实；负责组织局属水利工程管理单位、局内设机构、直属机构以及乡镇水利站的安全生产考核工作，提出年度考核表彰奖励方案；组织或参与安全生产事故的调查处理工作。</w:t>
      </w:r>
    </w:p>
    <w:p>
      <w:pPr>
        <w:spacing w:line="360" w:lineRule="auto"/>
        <w:ind w:firstLine="640" w:firstLineChars="200"/>
        <w:rPr>
          <w:rFonts w:ascii="仿宋" w:hAnsi="仿宋" w:eastAsia="仿宋"/>
          <w:sz w:val="32"/>
          <w:szCs w:val="32"/>
        </w:rPr>
      </w:pPr>
      <w:r>
        <w:rPr>
          <w:rFonts w:hint="eastAsia" w:ascii="仿宋" w:hAnsi="仿宋" w:eastAsia="仿宋"/>
          <w:sz w:val="32"/>
          <w:szCs w:val="32"/>
        </w:rPr>
        <w:t>7、工程质量监督股。负责指导全县水利工程质量监督工作，负责水利系统工程建设项目的质量监督；负责组织开展水利工程建设稽察工作，承担县水利工程建设稽察办公室的日常工作；参与水利工程建设项目和水利建设市场的监督管理工作，承担水利建设市场主体信用信息系统建设及管理工作；指导县级水利建设市场信用平台的工作；承担水利工程造价管理工作。</w:t>
      </w:r>
    </w:p>
    <w:p>
      <w:pPr>
        <w:spacing w:line="360" w:lineRule="auto"/>
        <w:ind w:firstLine="640" w:firstLineChars="200"/>
        <w:rPr>
          <w:rFonts w:ascii="仿宋" w:hAnsi="仿宋" w:eastAsia="仿宋"/>
          <w:sz w:val="32"/>
          <w:szCs w:val="32"/>
        </w:rPr>
      </w:pPr>
      <w:r>
        <w:rPr>
          <w:rFonts w:hint="eastAsia" w:ascii="仿宋" w:hAnsi="仿宋" w:eastAsia="仿宋"/>
          <w:sz w:val="32"/>
          <w:szCs w:val="32"/>
        </w:rPr>
        <w:t>8、行政审批服务股。负责本单位对企业和个人办理行政许可、行政确认、行政征收、行政给付、其他职权（核准、备案、年检）等行政审批和管理服务事项的受理、审核或审批和送达；负责组织协调行政审批和管理服务事项的调研论证；负责有关行政审批和管理服务事项的政策咨询、政务公开工作；负责与本单位承担行政审批和管理服务事项事中事后监管职能股室的沟通协调，并做到信息共享；负责行政审批和管理服务事项办理资料归档和信息统计工作；负责与县行政审批服务局的协调联络，接受县行政审批服务局的监督指导。</w:t>
      </w:r>
    </w:p>
    <w:p>
      <w:pPr>
        <w:spacing w:line="360" w:lineRule="auto"/>
        <w:ind w:firstLine="640" w:firstLineChars="200"/>
        <w:rPr>
          <w:rFonts w:ascii="仿宋" w:hAnsi="仿宋" w:eastAsia="仿宋"/>
          <w:sz w:val="32"/>
          <w:szCs w:val="32"/>
        </w:rPr>
      </w:pPr>
      <w:r>
        <w:rPr>
          <w:rFonts w:hint="eastAsia" w:ascii="仿宋" w:hAnsi="仿宋" w:eastAsia="仿宋"/>
          <w:sz w:val="32"/>
          <w:szCs w:val="32"/>
        </w:rPr>
        <w:t>9、水库移民管理股。贯彻执行国家、省、市移民工作方针、政策，负责审核全县移民工作措施，经批准后组织实施；适应现行经济和社会需要，抓好开发性移民工作；按照管理权限参与编制移民安置发展规划，组织实施年度安置、开发计划，按规定做好工程项目监管工作；拟订移民资金管理办法；负责移民开发有关的统计工作；负责协调处理三峡库区迁入移民有关工作，指导其生活安置、生产和开发工作；协助乡镇人民政府做好库区、移民安置区的社会稳定工作；负责县直有关部门和乡镇人民政府有关移民工作协调，会同县直有关部门做好移民对口帮扶工作。</w:t>
      </w:r>
    </w:p>
    <w:p>
      <w:pPr>
        <w:widowControl w:val="0"/>
        <w:kinsoku/>
        <w:adjustRightInd/>
        <w:snapToGrid/>
        <w:spacing w:line="360" w:lineRule="auto"/>
        <w:ind w:firstLine="643" w:firstLineChars="200"/>
        <w:jc w:val="both"/>
        <w:rPr>
          <w:rFonts w:ascii="仿宋" w:hAnsi="仿宋" w:eastAsia="仿宋"/>
          <w:b/>
          <w:snapToGrid/>
          <w:color w:val="auto"/>
          <w:kern w:val="21"/>
          <w:sz w:val="32"/>
          <w:szCs w:val="32"/>
        </w:rPr>
      </w:pPr>
      <w:r>
        <w:rPr>
          <w:rFonts w:hint="eastAsia" w:ascii="仿宋" w:hAnsi="仿宋" w:eastAsia="仿宋"/>
          <w:b/>
          <w:snapToGrid/>
          <w:color w:val="auto"/>
          <w:kern w:val="21"/>
          <w:sz w:val="32"/>
          <w:szCs w:val="32"/>
        </w:rPr>
        <w:t>2、主要职能</w:t>
      </w:r>
    </w:p>
    <w:p>
      <w:pPr>
        <w:widowControl w:val="0"/>
        <w:kinsoku/>
        <w:adjustRightInd/>
        <w:snapToGrid/>
        <w:spacing w:line="360" w:lineRule="auto"/>
        <w:ind w:firstLine="640" w:firstLineChars="200"/>
        <w:jc w:val="both"/>
        <w:rPr>
          <w:rFonts w:ascii="仿宋" w:hAnsi="仿宋" w:eastAsia="仿宋"/>
          <w:b/>
          <w:snapToGrid/>
          <w:color w:val="auto"/>
          <w:kern w:val="21"/>
          <w:sz w:val="32"/>
          <w:szCs w:val="32"/>
        </w:rPr>
      </w:pPr>
      <w:r>
        <w:rPr>
          <w:rFonts w:hint="eastAsia" w:ascii="仿宋" w:hAnsi="仿宋" w:eastAsia="仿宋"/>
          <w:sz w:val="32"/>
          <w:szCs w:val="32"/>
        </w:rPr>
        <w:t>（一）负责保障全县水资源的合理开发利用，拟订县级水利政策和规划；组织编制县级水资源规划、县确定的重要江河流域综合规划、防洪规划等重大水利规划。</w:t>
      </w:r>
    </w:p>
    <w:p>
      <w:pPr>
        <w:spacing w:line="360" w:lineRule="auto"/>
        <w:ind w:firstLine="640"/>
        <w:rPr>
          <w:rFonts w:ascii="仿宋" w:hAnsi="仿宋" w:eastAsia="仿宋"/>
          <w:sz w:val="32"/>
          <w:szCs w:val="32"/>
        </w:rPr>
      </w:pPr>
      <w:r>
        <w:rPr>
          <w:rFonts w:hint="eastAsia" w:ascii="仿宋" w:hAnsi="仿宋" w:eastAsia="仿宋"/>
          <w:sz w:val="32"/>
          <w:szCs w:val="32"/>
        </w:rPr>
        <w:t>（二）负责生活、生产经营和生态环境用水的统筹和保障。组织实施最严格水资源管理制度，实施水资源的统一监督管理，拟订全县水中长期供求规划、水量分配方案并监督实施。负责全县流域、区域的水资源调度，组织实施取水许可、水资源论证和防洪论证制度，指导开展水资源有偿使用工作，指导全县水利行业供水和乡镇供水工作。</w:t>
      </w:r>
    </w:p>
    <w:p>
      <w:pPr>
        <w:spacing w:line="360" w:lineRule="auto"/>
        <w:ind w:firstLine="640" w:firstLineChars="200"/>
        <w:rPr>
          <w:rFonts w:ascii="仿宋" w:hAnsi="仿宋" w:eastAsia="仿宋"/>
          <w:sz w:val="32"/>
          <w:szCs w:val="32"/>
        </w:rPr>
      </w:pPr>
      <w:r>
        <w:rPr>
          <w:rFonts w:hint="eastAsia" w:ascii="仿宋" w:hAnsi="仿宋" w:eastAsia="仿宋"/>
          <w:sz w:val="32"/>
          <w:szCs w:val="32"/>
        </w:rPr>
        <w:t>（三）按规定制定水利工程建设和运行管理有关制度并组织实施，负责提出水利固定资产投资规模、方向和县财政性资金安排的建议，按县政府规定权限审批、核准规划内和年度计划规模内固定资产投资项目，提出县水利资金安排建议并负责项目实施。</w:t>
      </w:r>
    </w:p>
    <w:p>
      <w:pPr>
        <w:spacing w:line="360" w:lineRule="auto"/>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（四）负责水资源保护工作。组织编制并实施水资源保护规划，</w:t>
      </w:r>
      <w:r>
        <w:rPr>
          <w:rFonts w:hint="eastAsia" w:ascii="仿宋" w:hAnsi="仿宋" w:eastAsia="仿宋"/>
          <w:spacing w:val="-8"/>
          <w:sz w:val="32"/>
          <w:szCs w:val="32"/>
        </w:rPr>
        <w:t>指导饮用水水源保护工作，指导地下水开发利用、地下水资源管理保护。</w:t>
      </w:r>
    </w:p>
    <w:p>
      <w:pPr>
        <w:spacing w:line="360" w:lineRule="auto"/>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（五）负责节约用水工作。拟订节约用水政策，组织编制全县节约用水规划并监督实施，组织拟订有关标准。组织实施用水总量控制等管理制度，指导和推动节水型社会建设工作。</w:t>
      </w:r>
    </w:p>
    <w:p>
      <w:pPr>
        <w:spacing w:line="360" w:lineRule="auto"/>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（六）指导水利设施、水域及其岸线的管理、保护与综合利用。指导江河、水库及河口、滩涂的治理、开发和保护。指导河湖水生态保护与修复、河湖生态流量水量管理以及河湖水系连通工作。</w:t>
      </w:r>
    </w:p>
    <w:p>
      <w:pPr>
        <w:spacing w:line="360" w:lineRule="auto"/>
        <w:ind w:firstLine="640"/>
        <w:rPr>
          <w:rFonts w:ascii="仿宋" w:hAnsi="仿宋" w:eastAsia="仿宋"/>
          <w:sz w:val="32"/>
          <w:szCs w:val="32"/>
        </w:rPr>
      </w:pPr>
      <w:r>
        <w:rPr>
          <w:rFonts w:hint="eastAsia" w:ascii="仿宋" w:hAnsi="仿宋" w:eastAsia="仿宋"/>
          <w:sz w:val="32"/>
          <w:szCs w:val="32"/>
        </w:rPr>
        <w:t>（七）指导监督水利工程建设与运行管理。组织指导水利基础设施网络建设和运行管理。指导水利建设市场的监督管理，组织实施水利工程建设的监督。</w:t>
      </w:r>
    </w:p>
    <w:p>
      <w:pPr>
        <w:spacing w:line="360" w:lineRule="auto"/>
        <w:ind w:firstLine="640"/>
        <w:rPr>
          <w:rFonts w:ascii="仿宋" w:hAnsi="仿宋" w:eastAsia="仿宋"/>
          <w:sz w:val="32"/>
          <w:szCs w:val="32"/>
        </w:rPr>
      </w:pPr>
      <w:r>
        <w:rPr>
          <w:rFonts w:hint="eastAsia" w:ascii="仿宋" w:hAnsi="仿宋" w:eastAsia="仿宋"/>
          <w:sz w:val="32"/>
          <w:szCs w:val="32"/>
        </w:rPr>
        <w:t>（八）负责水土保持工作。拟订水土保持规划并监督实施，组织实施水土流失的综合防治、监测预报并定期公告，负责开发建设项目水土保持监督管理工作，指导重点水土保持建设项目的实施。</w:t>
      </w:r>
    </w:p>
    <w:p>
      <w:pPr>
        <w:spacing w:line="360" w:lineRule="auto"/>
        <w:ind w:firstLine="640"/>
        <w:rPr>
          <w:rFonts w:ascii="仿宋" w:hAnsi="仿宋" w:eastAsia="仿宋"/>
          <w:sz w:val="32"/>
          <w:szCs w:val="32"/>
        </w:rPr>
      </w:pPr>
      <w:r>
        <w:rPr>
          <w:rFonts w:hint="eastAsia" w:ascii="仿宋" w:hAnsi="仿宋" w:eastAsia="仿宋"/>
          <w:sz w:val="32"/>
          <w:szCs w:val="32"/>
        </w:rPr>
        <w:t>（九）指导农村水利工作。组织指导中型灌排工程建设与改造，指导农村饮水安全工程建设与管理工作，指导节水灌溉有关工作，指导农村水利改革创新和社会化服务体系建设。指导农村水能资源开发、小水电改造和农村水电电气化工作。研究拟定全县农村饮水工作方针政策、发展战略、中长期规划和年度计划，拟订有关地方性管理办法并监督实施。宣传贯彻执行国家或行业的有关法律、法规和政策，宣传保护饮用水源和供水设施相关知识。</w:t>
      </w:r>
    </w:p>
    <w:p>
      <w:pPr>
        <w:spacing w:line="360" w:lineRule="auto"/>
        <w:ind w:firstLine="640" w:firstLineChars="200"/>
        <w:rPr>
          <w:rFonts w:ascii="仿宋" w:hAnsi="仿宋" w:eastAsia="仿宋"/>
          <w:sz w:val="32"/>
          <w:szCs w:val="32"/>
        </w:rPr>
      </w:pPr>
      <w:r>
        <w:rPr>
          <w:rFonts w:hint="eastAsia" w:ascii="仿宋" w:hAnsi="仿宋" w:eastAsia="仿宋"/>
          <w:sz w:val="32"/>
          <w:szCs w:val="32"/>
        </w:rPr>
        <w:t>（十）</w:t>
      </w:r>
      <w:r>
        <w:rPr>
          <w:rFonts w:hint="eastAsia" w:ascii="仿宋" w:hAnsi="仿宋" w:eastAsia="仿宋"/>
          <w:bCs/>
          <w:sz w:val="32"/>
          <w:szCs w:val="32"/>
        </w:rPr>
        <w:t>指导水利工程移民管理工作。</w:t>
      </w:r>
      <w:r>
        <w:rPr>
          <w:rFonts w:hint="eastAsia" w:ascii="仿宋" w:hAnsi="仿宋" w:eastAsia="仿宋"/>
          <w:sz w:val="32"/>
          <w:szCs w:val="32"/>
        </w:rPr>
        <w:t>拟订水利工程移民有关政策并监督实施，组织实施水利工程移民安置验收、监督评估等制度。指导监督水库移民后期扶持政策的实施，协调推动水库移民对口支援等工作。</w:t>
      </w:r>
    </w:p>
    <w:p>
      <w:pPr>
        <w:spacing w:line="360" w:lineRule="auto"/>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（十一）指导县水利行业的国有资产监管工作，承担全县水利资金和下属单位国有资产的监督管理工作；指导水利经济和水利风景区建设与管理工作。</w:t>
      </w:r>
    </w:p>
    <w:p>
      <w:pPr>
        <w:spacing w:line="360" w:lineRule="auto"/>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十二）负责重大涉水违法事件的查处，协调部门间和乡（镇）间的水事纠纷，组织、指导水政监察和执法。组织指导水库、水电站大坝、农村水电站等水利工程设施的安全监管，负责对本行政区域内河道采砂的统一管理和监督，根据河道采砂规划、河势稳定和堤防安全要求，确定禁采区和禁采期，并予以公告。</w:t>
      </w:r>
    </w:p>
    <w:p>
      <w:pPr>
        <w:spacing w:line="360" w:lineRule="auto"/>
        <w:ind w:firstLine="632" w:firstLineChars="200"/>
        <w:rPr>
          <w:rFonts w:ascii="仿宋" w:hAnsi="仿宋" w:eastAsia="仿宋"/>
          <w:spacing w:val="-2"/>
          <w:sz w:val="32"/>
          <w:szCs w:val="32"/>
        </w:rPr>
      </w:pPr>
      <w:r>
        <w:rPr>
          <w:rFonts w:hint="eastAsia" w:ascii="仿宋" w:hAnsi="仿宋" w:eastAsia="仿宋"/>
          <w:spacing w:val="-2"/>
          <w:sz w:val="32"/>
          <w:szCs w:val="32"/>
        </w:rPr>
        <w:t>（十三）开展水利科技工作，指导和监督实施水利行业的技术标准、规程规范并监督实施，组织开展水利行业质量监督工作。</w:t>
      </w:r>
    </w:p>
    <w:p>
      <w:pPr>
        <w:spacing w:line="360" w:lineRule="auto"/>
        <w:ind w:firstLine="640"/>
        <w:rPr>
          <w:rFonts w:ascii="仿宋" w:hAnsi="仿宋" w:eastAsia="仿宋"/>
          <w:sz w:val="32"/>
          <w:szCs w:val="32"/>
        </w:rPr>
      </w:pPr>
      <w:r>
        <w:rPr>
          <w:rFonts w:hint="eastAsia" w:ascii="仿宋" w:hAnsi="仿宋" w:eastAsia="仿宋"/>
          <w:sz w:val="32"/>
          <w:szCs w:val="32"/>
        </w:rPr>
        <w:t>（十四）负责县城防洪工程规划的编制、修订工作；负责城区防洪工程建设的管理工作。</w:t>
      </w:r>
    </w:p>
    <w:p>
      <w:pPr>
        <w:spacing w:line="360" w:lineRule="auto"/>
        <w:ind w:firstLine="640" w:firstLineChars="200"/>
        <w:rPr>
          <w:rFonts w:ascii="仿宋" w:hAnsi="仿宋" w:eastAsia="仿宋"/>
          <w:sz w:val="32"/>
          <w:szCs w:val="32"/>
        </w:rPr>
      </w:pPr>
      <w:r>
        <w:rPr>
          <w:rFonts w:hint="eastAsia" w:ascii="仿宋" w:hAnsi="仿宋" w:eastAsia="仿宋"/>
          <w:sz w:val="32"/>
          <w:szCs w:val="32"/>
        </w:rPr>
        <w:t>（十五）负责落实综合防灾减灾规划相关要求，组织编制洪水干旱灾害防治规划和防护标准并指导实施。承担水情旱情监测</w:t>
      </w:r>
      <w:r>
        <w:rPr>
          <w:rFonts w:hint="eastAsia" w:ascii="仿宋" w:hAnsi="仿宋" w:eastAsia="仿宋"/>
          <w:bCs/>
          <w:sz w:val="32"/>
          <w:szCs w:val="32"/>
        </w:rPr>
        <w:t>预报</w:t>
      </w:r>
      <w:r>
        <w:rPr>
          <w:rFonts w:hint="eastAsia" w:ascii="仿宋" w:hAnsi="仿宋" w:eastAsia="仿宋"/>
          <w:sz w:val="32"/>
          <w:szCs w:val="32"/>
        </w:rPr>
        <w:t>工作。组织编制重要河流、水库和重要水工程的防御洪水抗御旱灾调度及应急水量调度方案，按程序报批并组织实施。承担防御洪水应急抢险的技术支撑工作。承担台风防御期间重要水工程调度工作。</w:t>
      </w:r>
    </w:p>
    <w:p>
      <w:pPr>
        <w:spacing w:line="360" w:lineRule="auto"/>
        <w:ind w:firstLine="640" w:firstLineChars="200"/>
        <w:rPr>
          <w:rFonts w:ascii="仿宋" w:hAnsi="仿宋" w:eastAsia="仿宋"/>
          <w:sz w:val="32"/>
          <w:szCs w:val="32"/>
        </w:rPr>
      </w:pPr>
      <w:r>
        <w:rPr>
          <w:rFonts w:hint="eastAsia" w:ascii="仿宋" w:hAnsi="仿宋" w:eastAsia="仿宋"/>
          <w:bCs/>
          <w:sz w:val="32"/>
          <w:szCs w:val="32"/>
        </w:rPr>
        <w:t>（十六）承担县河长制工作委员会的日常工作。</w:t>
      </w:r>
      <w:r>
        <w:rPr>
          <w:rFonts w:hint="eastAsia" w:ascii="仿宋" w:hAnsi="仿宋" w:eastAsia="仿宋"/>
          <w:sz w:val="32"/>
          <w:szCs w:val="32"/>
        </w:rPr>
        <w:t>贯彻落实国家、省、市、县关于河长制工作的决策部署，</w:t>
      </w:r>
      <w:r>
        <w:rPr>
          <w:rFonts w:hint="eastAsia" w:ascii="仿宋" w:hAnsi="仿宋" w:eastAsia="仿宋"/>
          <w:sz w:val="32"/>
          <w:szCs w:val="32"/>
          <w:shd w:val="clear" w:color="auto" w:fill="FFFFFF"/>
        </w:rPr>
        <w:t>推进水生态文明建设，恢复河道水域岸线生态功能。</w:t>
      </w:r>
      <w:r>
        <w:rPr>
          <w:rFonts w:hint="eastAsia" w:ascii="仿宋" w:hAnsi="仿宋" w:eastAsia="仿宋"/>
          <w:sz w:val="32"/>
          <w:szCs w:val="32"/>
        </w:rPr>
        <w:t>负责协调督办河长制工作委员会成员单位的工作，承担河长制工作的综合考核工作，参与统筹协调河长制工作委员会其他重大事项。指导各乡镇河长制工作。</w:t>
      </w:r>
    </w:p>
    <w:p>
      <w:pPr>
        <w:spacing w:line="360" w:lineRule="auto"/>
        <w:ind w:firstLine="640"/>
        <w:rPr>
          <w:rFonts w:ascii="仿宋" w:hAnsi="仿宋" w:eastAsia="仿宋" w:cs="宋体"/>
          <w:spacing w:val="-4"/>
          <w:sz w:val="32"/>
          <w:szCs w:val="32"/>
        </w:rPr>
      </w:pPr>
      <w:r>
        <w:rPr>
          <w:rFonts w:hint="eastAsia" w:ascii="仿宋" w:hAnsi="仿宋" w:eastAsia="仿宋"/>
          <w:sz w:val="32"/>
          <w:szCs w:val="32"/>
        </w:rPr>
        <w:t>（十七）</w:t>
      </w:r>
      <w:r>
        <w:rPr>
          <w:rFonts w:hint="eastAsia" w:ascii="仿宋" w:hAnsi="仿宋" w:eastAsia="仿宋" w:cs="宋体"/>
          <w:spacing w:val="-4"/>
          <w:sz w:val="32"/>
          <w:szCs w:val="32"/>
        </w:rPr>
        <w:t>负责本行业、领域的应急管理工作，对本行业、领域的安全生产工作实施监督管理。</w:t>
      </w:r>
    </w:p>
    <w:p>
      <w:pPr>
        <w:spacing w:line="360" w:lineRule="auto"/>
        <w:ind w:firstLine="640" w:firstLineChars="200"/>
        <w:rPr>
          <w:rFonts w:ascii="仿宋" w:hAnsi="仿宋" w:eastAsia="仿宋"/>
          <w:sz w:val="32"/>
          <w:szCs w:val="32"/>
        </w:rPr>
      </w:pPr>
      <w:r>
        <w:rPr>
          <w:rFonts w:hint="eastAsia" w:ascii="仿宋" w:hAnsi="仿宋" w:eastAsia="仿宋"/>
          <w:sz w:val="32"/>
          <w:szCs w:val="32"/>
        </w:rPr>
        <w:t>（十八）完成县委、县政府交办的其他任务。</w:t>
      </w:r>
    </w:p>
    <w:p>
      <w:pPr>
        <w:spacing w:line="360" w:lineRule="auto"/>
        <w:ind w:firstLine="640" w:firstLineChars="200"/>
        <w:rPr>
          <w:rFonts w:ascii="仿宋" w:hAnsi="仿宋" w:eastAsia="仿宋" w:cs="仿宋_GB2312"/>
          <w:spacing w:val="-4"/>
          <w:sz w:val="32"/>
          <w:szCs w:val="32"/>
        </w:rPr>
      </w:pPr>
      <w:r>
        <w:rPr>
          <w:rFonts w:hint="eastAsia" w:ascii="仿宋" w:hAnsi="仿宋" w:eastAsia="仿宋"/>
          <w:bCs/>
          <w:sz w:val="32"/>
          <w:szCs w:val="32"/>
        </w:rPr>
        <w:t>（十九）职能转变。</w:t>
      </w:r>
      <w:r>
        <w:rPr>
          <w:rFonts w:hint="eastAsia" w:ascii="仿宋" w:hAnsi="仿宋" w:eastAsia="仿宋"/>
          <w:sz w:val="32"/>
          <w:szCs w:val="32"/>
        </w:rPr>
        <w:t>县水利局应切实加强水资源合理利用、优化配置和节约保护。坚持节水优先，从增加供给转向更加重视需求管理，严格控制用水总量和提高用水效率。坚持保护优先，加强水资源、水域和水利工程的管理保护，维护河道健康美丽。坚持统筹兼顾，保障合理用水需求和水资源的可持续利用，为经济社会发展提供水安全保障。</w:t>
      </w:r>
    </w:p>
    <w:p>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 xml:space="preserve"> (二)人员编制情况</w:t>
      </w:r>
    </w:p>
    <w:p>
      <w:pPr>
        <w:widowControl w:val="0"/>
        <w:kinsoku/>
        <w:adjustRightInd/>
        <w:snapToGrid/>
        <w:spacing w:line="360" w:lineRule="auto"/>
        <w:ind w:firstLine="640" w:firstLineChars="200"/>
        <w:jc w:val="both"/>
        <w:outlineLvl w:val="0"/>
        <w:rPr>
          <w:rFonts w:ascii="仿宋" w:hAnsi="仿宋" w:eastAsia="仿宋"/>
          <w:sz w:val="32"/>
          <w:szCs w:val="32"/>
        </w:rPr>
      </w:pPr>
      <w:r>
        <w:rPr>
          <w:rFonts w:hint="eastAsia" w:ascii="仿宋" w:hAnsi="仿宋" w:eastAsia="仿宋"/>
          <w:sz w:val="32"/>
          <w:szCs w:val="32"/>
        </w:rPr>
        <w:t>2023年部门决算财政供养在职人员73人，离退休人员</w:t>
      </w:r>
      <w:r>
        <w:rPr>
          <w:rFonts w:ascii="仿宋" w:hAnsi="仿宋" w:eastAsia="仿宋"/>
          <w:sz w:val="32"/>
          <w:szCs w:val="32"/>
        </w:rPr>
        <w:t>71</w:t>
      </w:r>
      <w:r>
        <w:rPr>
          <w:rFonts w:hint="eastAsia" w:ascii="仿宋" w:hAnsi="仿宋" w:eastAsia="仿宋"/>
          <w:sz w:val="32"/>
          <w:szCs w:val="32"/>
        </w:rPr>
        <w:t>人。</w:t>
      </w:r>
    </w:p>
    <w:p>
      <w:pPr>
        <w:widowControl w:val="0"/>
        <w:kinsoku/>
        <w:adjustRightInd/>
        <w:snapToGrid/>
        <w:spacing w:line="360" w:lineRule="auto"/>
        <w:ind w:firstLine="643" w:firstLineChars="200"/>
        <w:jc w:val="both"/>
        <w:outlineLvl w:val="0"/>
        <w:rPr>
          <w:rFonts w:ascii="仿宋" w:hAnsi="仿宋" w:eastAsia="仿宋" w:cs="黑体"/>
          <w:snapToGrid/>
          <w:color w:val="auto"/>
          <w:kern w:val="21"/>
          <w:sz w:val="32"/>
          <w:szCs w:val="32"/>
        </w:rPr>
      </w:pPr>
      <w:r>
        <w:rPr>
          <w:rFonts w:hint="eastAsia" w:ascii="仿宋" w:hAnsi="仿宋" w:eastAsia="仿宋" w:cs="黑体"/>
          <w:b/>
          <w:bCs/>
          <w:snapToGrid/>
          <w:color w:val="auto"/>
          <w:kern w:val="21"/>
          <w:sz w:val="32"/>
          <w:szCs w:val="32"/>
        </w:rPr>
        <w:t>二、预算支出及绩效情况</w:t>
      </w:r>
    </w:p>
    <w:p>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(一)部门预决算情况</w:t>
      </w:r>
    </w:p>
    <w:p>
      <w:pPr>
        <w:widowControl w:val="0"/>
        <w:kinsoku/>
        <w:adjustRightInd/>
        <w:snapToGrid/>
        <w:spacing w:line="360" w:lineRule="auto"/>
        <w:ind w:firstLine="643" w:firstLineChars="200"/>
        <w:jc w:val="both"/>
        <w:outlineLvl w:val="0"/>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1.部门预算情况</w:t>
      </w:r>
    </w:p>
    <w:p>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2023年年初预算安排收入1040.38万元，其中一般公共财政拨</w:t>
      </w:r>
      <w:r>
        <w:rPr>
          <w:rFonts w:hint="eastAsia" w:ascii="仿宋" w:hAnsi="仿宋" w:eastAsia="仿宋" w:cs="仿宋"/>
          <w:b/>
          <w:bCs/>
          <w:snapToGrid/>
          <w:color w:val="auto"/>
          <w:kern w:val="21"/>
          <w:sz w:val="32"/>
          <w:szCs w:val="32"/>
        </w:rPr>
        <w:t>款1040.38</w:t>
      </w:r>
      <w:r>
        <w:rPr>
          <w:rFonts w:hint="eastAsia" w:ascii="仿宋" w:hAnsi="仿宋" w:eastAsia="仿宋" w:cs="仿宋"/>
          <w:snapToGrid/>
          <w:color w:val="auto"/>
          <w:kern w:val="21"/>
          <w:sz w:val="32"/>
          <w:szCs w:val="32"/>
        </w:rPr>
        <w:t>万元；2023年年初预算安排支出1040.38万元，其中：基本支出</w:t>
      </w:r>
      <w:r>
        <w:rPr>
          <w:rFonts w:hint="eastAsia" w:ascii="仿宋" w:hAnsi="仿宋" w:eastAsia="仿宋" w:cs="仿宋"/>
          <w:b/>
          <w:bCs/>
          <w:snapToGrid/>
          <w:color w:val="auto"/>
          <w:kern w:val="21"/>
          <w:sz w:val="32"/>
          <w:szCs w:val="32"/>
        </w:rPr>
        <w:t>1003.88万</w:t>
      </w:r>
      <w:r>
        <w:rPr>
          <w:rFonts w:hint="eastAsia" w:ascii="仿宋" w:hAnsi="仿宋" w:eastAsia="仿宋" w:cs="仿宋"/>
          <w:snapToGrid/>
          <w:color w:val="auto"/>
          <w:kern w:val="21"/>
          <w:sz w:val="32"/>
          <w:szCs w:val="32"/>
        </w:rPr>
        <w:t>元，项目支出36.5万元。</w:t>
      </w:r>
    </w:p>
    <w:p>
      <w:pPr>
        <w:widowControl w:val="0"/>
        <w:kinsoku/>
        <w:adjustRightInd/>
        <w:snapToGrid/>
        <w:spacing w:line="360" w:lineRule="auto"/>
        <w:ind w:firstLine="643" w:firstLineChars="200"/>
        <w:jc w:val="both"/>
        <w:outlineLvl w:val="0"/>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2.部门决算情况(含年中预算追加情况)</w:t>
      </w:r>
    </w:p>
    <w:p>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202</w:t>
      </w:r>
      <w:r>
        <w:rPr>
          <w:rFonts w:ascii="仿宋" w:hAnsi="仿宋" w:eastAsia="仿宋" w:cs="仿宋"/>
          <w:snapToGrid/>
          <w:color w:val="auto"/>
          <w:kern w:val="21"/>
          <w:sz w:val="32"/>
          <w:szCs w:val="32"/>
        </w:rPr>
        <w:t>3</w:t>
      </w:r>
      <w:r>
        <w:rPr>
          <w:rFonts w:hint="eastAsia" w:ascii="仿宋" w:hAnsi="仿宋" w:eastAsia="仿宋" w:cs="仿宋"/>
          <w:snapToGrid/>
          <w:color w:val="auto"/>
          <w:kern w:val="21"/>
          <w:sz w:val="32"/>
          <w:szCs w:val="32"/>
        </w:rPr>
        <w:t>年决算总收入</w:t>
      </w:r>
      <w:r>
        <w:rPr>
          <w:rFonts w:ascii="仿宋" w:hAnsi="仿宋" w:eastAsia="仿宋" w:cs="仿宋"/>
          <w:snapToGrid/>
          <w:color w:val="auto"/>
          <w:kern w:val="21"/>
          <w:sz w:val="32"/>
          <w:szCs w:val="32"/>
        </w:rPr>
        <w:t>6078.04</w:t>
      </w:r>
      <w:r>
        <w:rPr>
          <w:rFonts w:hint="eastAsia" w:ascii="仿宋" w:hAnsi="仿宋" w:eastAsia="仿宋" w:cs="仿宋"/>
          <w:snapToGrid/>
          <w:color w:val="auto"/>
          <w:kern w:val="21"/>
          <w:sz w:val="32"/>
          <w:szCs w:val="32"/>
        </w:rPr>
        <w:t>万元，较预算增加</w:t>
      </w:r>
      <w:r>
        <w:rPr>
          <w:rFonts w:ascii="仿宋" w:hAnsi="仿宋" w:eastAsia="仿宋" w:cs="仿宋"/>
          <w:snapToGrid/>
          <w:color w:val="auto"/>
          <w:kern w:val="21"/>
          <w:sz w:val="32"/>
          <w:szCs w:val="32"/>
        </w:rPr>
        <w:t>5037.66</w:t>
      </w:r>
      <w:r>
        <w:rPr>
          <w:rFonts w:hint="eastAsia" w:ascii="仿宋" w:hAnsi="仿宋" w:eastAsia="仿宋" w:cs="仿宋"/>
          <w:snapToGrid/>
          <w:color w:val="auto"/>
          <w:kern w:val="21"/>
          <w:sz w:val="32"/>
          <w:szCs w:val="32"/>
        </w:rPr>
        <w:t>万元，总支出</w:t>
      </w:r>
      <w:r>
        <w:rPr>
          <w:rFonts w:ascii="仿宋" w:hAnsi="仿宋" w:eastAsia="仿宋" w:cs="仿宋"/>
          <w:snapToGrid/>
          <w:color w:val="auto"/>
          <w:kern w:val="21"/>
          <w:sz w:val="32"/>
          <w:szCs w:val="32"/>
        </w:rPr>
        <w:t>6070.60</w:t>
      </w:r>
      <w:r>
        <w:rPr>
          <w:rFonts w:hint="eastAsia" w:ascii="仿宋" w:hAnsi="仿宋" w:eastAsia="仿宋" w:cs="仿宋"/>
          <w:snapToGrid/>
          <w:color w:val="auto"/>
          <w:kern w:val="21"/>
          <w:sz w:val="32"/>
          <w:szCs w:val="32"/>
        </w:rPr>
        <w:t>万元，其中：基本支出</w:t>
      </w:r>
      <w:r>
        <w:rPr>
          <w:rFonts w:ascii="仿宋" w:hAnsi="仿宋" w:eastAsia="仿宋" w:cs="仿宋"/>
          <w:snapToGrid/>
          <w:color w:val="auto"/>
          <w:kern w:val="21"/>
          <w:sz w:val="32"/>
          <w:szCs w:val="32"/>
        </w:rPr>
        <w:t>1379.37</w:t>
      </w:r>
      <w:r>
        <w:rPr>
          <w:rFonts w:hint="eastAsia" w:ascii="仿宋" w:hAnsi="仿宋" w:eastAsia="仿宋" w:cs="仿宋"/>
          <w:snapToGrid/>
          <w:color w:val="auto"/>
          <w:kern w:val="21"/>
          <w:sz w:val="32"/>
          <w:szCs w:val="32"/>
        </w:rPr>
        <w:t>万元，占总支出的</w:t>
      </w:r>
      <w:r>
        <w:rPr>
          <w:rFonts w:ascii="仿宋" w:hAnsi="仿宋" w:eastAsia="仿宋" w:cs="仿宋"/>
          <w:snapToGrid/>
          <w:color w:val="auto"/>
          <w:kern w:val="21"/>
          <w:sz w:val="32"/>
          <w:szCs w:val="32"/>
        </w:rPr>
        <w:t>22.</w:t>
      </w:r>
      <w:r>
        <w:rPr>
          <w:rFonts w:hint="eastAsia" w:ascii="仿宋" w:hAnsi="仿宋" w:eastAsia="仿宋" w:cs="仿宋"/>
          <w:snapToGrid/>
          <w:color w:val="auto"/>
          <w:kern w:val="21"/>
          <w:sz w:val="32"/>
          <w:szCs w:val="32"/>
        </w:rPr>
        <w:t>72%;项目支出</w:t>
      </w:r>
      <w:r>
        <w:rPr>
          <w:rFonts w:ascii="仿宋" w:hAnsi="仿宋" w:eastAsia="仿宋" w:cs="仿宋"/>
          <w:b/>
          <w:bCs/>
          <w:snapToGrid/>
          <w:color w:val="auto"/>
          <w:kern w:val="21"/>
          <w:sz w:val="32"/>
          <w:szCs w:val="32"/>
        </w:rPr>
        <w:t>4691.23</w:t>
      </w:r>
      <w:r>
        <w:rPr>
          <w:rFonts w:hint="eastAsia" w:ascii="仿宋" w:hAnsi="仿宋" w:eastAsia="仿宋" w:cs="仿宋"/>
          <w:snapToGrid/>
          <w:color w:val="auto"/>
          <w:kern w:val="21"/>
          <w:sz w:val="32"/>
          <w:szCs w:val="32"/>
        </w:rPr>
        <w:t>万元，占总支出的</w:t>
      </w:r>
      <w:r>
        <w:rPr>
          <w:rFonts w:ascii="仿宋" w:hAnsi="仿宋" w:eastAsia="仿宋" w:cs="仿宋"/>
          <w:snapToGrid/>
          <w:color w:val="auto"/>
          <w:kern w:val="21"/>
          <w:sz w:val="32"/>
          <w:szCs w:val="32"/>
        </w:rPr>
        <w:t>77.</w:t>
      </w:r>
      <w:r>
        <w:rPr>
          <w:rFonts w:hint="eastAsia" w:ascii="仿宋" w:hAnsi="仿宋" w:eastAsia="仿宋" w:cs="仿宋"/>
          <w:snapToGrid/>
          <w:color w:val="auto"/>
          <w:kern w:val="21"/>
          <w:sz w:val="32"/>
          <w:szCs w:val="32"/>
        </w:rPr>
        <w:t>2</w:t>
      </w:r>
      <w:r>
        <w:rPr>
          <w:rFonts w:ascii="仿宋" w:hAnsi="仿宋" w:eastAsia="仿宋" w:cs="仿宋"/>
          <w:snapToGrid/>
          <w:color w:val="auto"/>
          <w:kern w:val="21"/>
          <w:sz w:val="32"/>
          <w:szCs w:val="32"/>
        </w:rPr>
        <w:t>8</w:t>
      </w:r>
      <w:r>
        <w:rPr>
          <w:rFonts w:hint="eastAsia" w:ascii="仿宋" w:hAnsi="仿宋" w:eastAsia="仿宋" w:cs="仿宋"/>
          <w:snapToGrid/>
          <w:color w:val="auto"/>
          <w:kern w:val="21"/>
          <w:sz w:val="32"/>
          <w:szCs w:val="32"/>
        </w:rPr>
        <w:t>%。差异产生的主要原因是：年初预算只针对部门日常支出未含部门重点项目支出。</w:t>
      </w:r>
    </w:p>
    <w:p>
      <w:pPr>
        <w:widowControl w:val="0"/>
        <w:kinsoku/>
        <w:adjustRightInd/>
        <w:snapToGrid/>
        <w:spacing w:line="360" w:lineRule="auto"/>
        <w:ind w:firstLine="643" w:firstLineChars="200"/>
        <w:jc w:val="both"/>
        <w:outlineLvl w:val="0"/>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3."三公"经费执行情况</w:t>
      </w:r>
    </w:p>
    <w:p>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2023年"三公"经费预算数11万元，其中：因公出国(境)费0万元，公务用车购置及运行维护费3万元，公务接待费8万元。"三公"经费决算数12.36元，其中：因公出国(境)费0万元，公务用车运行维护费8.11万元，公务接待费4.25万元。</w:t>
      </w:r>
    </w:p>
    <w:p>
      <w:pPr>
        <w:widowControl w:val="0"/>
        <w:kinsoku/>
        <w:adjustRightInd/>
        <w:snapToGrid/>
        <w:spacing w:line="360" w:lineRule="auto"/>
        <w:ind w:firstLine="643" w:firstLineChars="200"/>
        <w:jc w:val="both"/>
        <w:outlineLvl w:val="0"/>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4.政府采购执行情况</w:t>
      </w:r>
    </w:p>
    <w:p>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2023年度政府采购支出122万元，其中：货物0万元，工程</w:t>
      </w:r>
      <w:r>
        <w:rPr>
          <w:rFonts w:hint="eastAsia" w:ascii="仿宋" w:hAnsi="仿宋" w:eastAsia="仿宋" w:cs="仿宋"/>
          <w:b/>
          <w:bCs/>
          <w:snapToGrid/>
          <w:color w:val="auto"/>
          <w:kern w:val="21"/>
          <w:sz w:val="32"/>
          <w:szCs w:val="32"/>
        </w:rPr>
        <w:t>122</w:t>
      </w:r>
      <w:r>
        <w:rPr>
          <w:rFonts w:hint="eastAsia" w:ascii="仿宋" w:hAnsi="仿宋" w:eastAsia="仿宋" w:cs="仿宋"/>
          <w:snapToGrid/>
          <w:color w:val="auto"/>
          <w:kern w:val="21"/>
          <w:sz w:val="32"/>
          <w:szCs w:val="32"/>
        </w:rPr>
        <w:t>万元，服务0万元。</w:t>
      </w:r>
    </w:p>
    <w:p>
      <w:pPr>
        <w:widowControl w:val="0"/>
        <w:kinsoku/>
        <w:adjustRightInd/>
        <w:snapToGrid/>
        <w:spacing w:line="360" w:lineRule="auto"/>
        <w:ind w:firstLine="643" w:firstLineChars="200"/>
        <w:jc w:val="both"/>
        <w:outlineLvl w:val="0"/>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5.资产管理情况</w:t>
      </w:r>
    </w:p>
    <w:p>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2023年年末资产总额</w:t>
      </w:r>
      <w:r>
        <w:rPr>
          <w:rFonts w:ascii="仿宋" w:hAnsi="仿宋" w:eastAsia="仿宋" w:cs="仿宋"/>
          <w:snapToGrid/>
          <w:color w:val="auto"/>
          <w:kern w:val="21"/>
          <w:sz w:val="32"/>
          <w:szCs w:val="32"/>
        </w:rPr>
        <w:t>5820.68</w:t>
      </w:r>
      <w:r>
        <w:rPr>
          <w:rFonts w:hint="eastAsia" w:ascii="仿宋" w:hAnsi="仿宋" w:eastAsia="仿宋" w:cs="仿宋"/>
          <w:snapToGrid/>
          <w:color w:val="auto"/>
          <w:kern w:val="21"/>
          <w:sz w:val="32"/>
          <w:szCs w:val="32"/>
        </w:rPr>
        <w:t>万元，负债总额516.46万元，净资产</w:t>
      </w:r>
      <w:r>
        <w:rPr>
          <w:rFonts w:ascii="仿宋" w:hAnsi="仿宋" w:eastAsia="仿宋" w:cs="仿宋"/>
          <w:snapToGrid/>
          <w:color w:val="auto"/>
          <w:kern w:val="21"/>
          <w:sz w:val="32"/>
          <w:szCs w:val="32"/>
        </w:rPr>
        <w:t>5304.23</w:t>
      </w:r>
      <w:r>
        <w:rPr>
          <w:rFonts w:hint="eastAsia" w:ascii="仿宋" w:hAnsi="仿宋" w:eastAsia="仿宋" w:cs="仿宋"/>
          <w:snapToGrid/>
          <w:color w:val="auto"/>
          <w:kern w:val="21"/>
          <w:sz w:val="32"/>
          <w:szCs w:val="32"/>
        </w:rPr>
        <w:t>万元。截至2023年12月31日，固定资产账面原值</w:t>
      </w:r>
      <w:r>
        <w:rPr>
          <w:rFonts w:ascii="仿宋" w:hAnsi="仿宋" w:eastAsia="仿宋" w:cs="仿宋"/>
          <w:snapToGrid/>
          <w:color w:val="auto"/>
          <w:kern w:val="21"/>
          <w:sz w:val="32"/>
          <w:szCs w:val="32"/>
        </w:rPr>
        <w:t>795.24</w:t>
      </w:r>
      <w:r>
        <w:rPr>
          <w:rFonts w:hint="eastAsia" w:ascii="仿宋" w:hAnsi="仿宋" w:eastAsia="仿宋" w:cs="仿宋"/>
          <w:snapToGrid/>
          <w:color w:val="auto"/>
          <w:kern w:val="21"/>
          <w:sz w:val="32"/>
          <w:szCs w:val="32"/>
        </w:rPr>
        <w:t>万元，在用资产</w:t>
      </w:r>
      <w:r>
        <w:rPr>
          <w:rFonts w:ascii="仿宋" w:hAnsi="仿宋" w:eastAsia="仿宋" w:cs="仿宋"/>
          <w:snapToGrid/>
          <w:color w:val="auto"/>
          <w:kern w:val="21"/>
          <w:sz w:val="32"/>
          <w:szCs w:val="32"/>
        </w:rPr>
        <w:t>795.24</w:t>
      </w:r>
      <w:r>
        <w:rPr>
          <w:rFonts w:hint="eastAsia" w:ascii="仿宋" w:hAnsi="仿宋" w:eastAsia="仿宋" w:cs="仿宋"/>
          <w:snapToGrid/>
          <w:color w:val="auto"/>
          <w:kern w:val="21"/>
          <w:sz w:val="32"/>
          <w:szCs w:val="32"/>
        </w:rPr>
        <w:t>万元，资产使用率100%。</w:t>
      </w:r>
    </w:p>
    <w:p>
      <w:pPr>
        <w:widowControl w:val="0"/>
        <w:kinsoku/>
        <w:adjustRightInd/>
        <w:snapToGrid/>
        <w:spacing w:line="360" w:lineRule="auto"/>
        <w:ind w:firstLine="643" w:firstLineChars="200"/>
        <w:jc w:val="both"/>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(二)资金使用及绩效情况</w:t>
      </w:r>
    </w:p>
    <w:p>
      <w:pPr>
        <w:widowControl w:val="0"/>
        <w:kinsoku/>
        <w:adjustRightInd/>
        <w:snapToGrid/>
        <w:spacing w:line="360" w:lineRule="auto"/>
        <w:ind w:firstLine="643" w:firstLineChars="200"/>
        <w:jc w:val="both"/>
        <w:rPr>
          <w:rFonts w:ascii="仿宋" w:hAnsi="仿宋" w:eastAsia="仿宋" w:cs="仿宋"/>
          <w:b/>
          <w:bCs/>
          <w:snapToGrid/>
          <w:color w:val="auto"/>
          <w:kern w:val="21"/>
          <w:sz w:val="32"/>
          <w:szCs w:val="32"/>
        </w:rPr>
      </w:pPr>
      <w:r>
        <w:rPr>
          <w:rFonts w:hint="eastAsia" w:ascii="仿宋" w:hAnsi="仿宋" w:eastAsia="仿宋" w:cs="仿宋"/>
          <w:b/>
          <w:bCs/>
          <w:snapToGrid/>
          <w:color w:val="auto"/>
          <w:kern w:val="21"/>
          <w:sz w:val="32"/>
          <w:szCs w:val="32"/>
        </w:rPr>
        <w:t>1.整体绩效目标完成情况</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202</w:t>
      </w:r>
      <w:r>
        <w:rPr>
          <w:rFonts w:ascii="仿宋" w:hAnsi="仿宋" w:eastAsia="仿宋" w:cs="Times New Roman"/>
          <w:sz w:val="32"/>
          <w:szCs w:val="32"/>
        </w:rPr>
        <w:t>3年，在</w:t>
      </w:r>
      <w:r>
        <w:rPr>
          <w:rFonts w:hint="eastAsia" w:ascii="仿宋" w:hAnsi="仿宋" w:eastAsia="仿宋" w:cs="Times New Roman"/>
          <w:sz w:val="32"/>
          <w:szCs w:val="32"/>
        </w:rPr>
        <w:t>县委、县政府</w:t>
      </w:r>
      <w:r>
        <w:rPr>
          <w:rFonts w:ascii="仿宋" w:hAnsi="仿宋" w:eastAsia="仿宋" w:cs="Times New Roman"/>
          <w:sz w:val="32"/>
          <w:szCs w:val="32"/>
        </w:rPr>
        <w:t>的坚强领导和市水利局的有力指导下，紧紧围绕年初制定的工作目标，踔厉奋发，砥砺奋进，彰显担当，展现作为，持续发扬“闯、创、干”的精神，以水利重点工程建设为抓手，统筹推进水旱灾害防御、河湖长制、水资源管理、农村</w:t>
      </w:r>
      <w:r>
        <w:rPr>
          <w:rFonts w:hint="eastAsia" w:ascii="仿宋" w:hAnsi="仿宋" w:eastAsia="仿宋" w:cs="Times New Roman"/>
          <w:sz w:val="32"/>
          <w:szCs w:val="32"/>
        </w:rPr>
        <w:t>安全饮水</w:t>
      </w:r>
      <w:r>
        <w:rPr>
          <w:rFonts w:ascii="仿宋" w:hAnsi="仿宋" w:eastAsia="仿宋" w:cs="Times New Roman"/>
          <w:sz w:val="32"/>
          <w:szCs w:val="32"/>
        </w:rPr>
        <w:t>等中心工作，不断推动新阶段水利</w:t>
      </w:r>
      <w:r>
        <w:rPr>
          <w:rFonts w:hint="eastAsia" w:ascii="仿宋" w:hAnsi="仿宋" w:eastAsia="仿宋" w:cs="Times New Roman"/>
          <w:sz w:val="32"/>
          <w:szCs w:val="32"/>
        </w:rPr>
        <w:t>工作</w:t>
      </w:r>
      <w:r>
        <w:rPr>
          <w:rFonts w:ascii="仿宋" w:hAnsi="仿宋" w:eastAsia="仿宋" w:cs="Times New Roman"/>
          <w:sz w:val="32"/>
          <w:szCs w:val="32"/>
        </w:rPr>
        <w:t>高质量发展。</w:t>
      </w:r>
    </w:p>
    <w:p>
      <w:pPr>
        <w:pStyle w:val="10"/>
        <w:numPr>
          <w:ilvl w:val="0"/>
          <w:numId w:val="1"/>
        </w:numPr>
        <w:spacing w:line="360" w:lineRule="auto"/>
        <w:ind w:firstLineChars="0"/>
        <w:rPr>
          <w:rFonts w:ascii="仿宋" w:hAnsi="仿宋" w:eastAsia="仿宋"/>
          <w:b/>
          <w:bCs/>
          <w:sz w:val="32"/>
          <w:szCs w:val="32"/>
        </w:rPr>
      </w:pPr>
      <w:r>
        <w:rPr>
          <w:rFonts w:hint="eastAsia" w:ascii="仿宋" w:hAnsi="仿宋" w:eastAsia="仿宋"/>
          <w:b/>
          <w:bCs/>
          <w:sz w:val="32"/>
          <w:szCs w:val="32"/>
        </w:rPr>
        <w:t>守好安全底线，水旱灾害应对有力</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一是全面部署险工险段排查工作，全县排查度汛安全隐患11处，汛前已全部整改到位，确保我县各项水利工程平安度汛，无险情发生。二是密切监测预警，落实24小时值班值守制度，确保信息及调度指令的上传下达。三是强化人防物防保障。积极组织防汛安全责任人培训，提高防汛抢险应急能力，同时按标准落实水库防汛物资储备和用具。四是加强联合调度，化解抗旱用水矛盾，努力做到调度管理精准、技术支撑精准。2023年，我县圆满完成“不死一人、不垮一坝、不溃一堤”的防汛总任务。</w:t>
      </w:r>
    </w:p>
    <w:p>
      <w:pPr>
        <w:pStyle w:val="10"/>
        <w:numPr>
          <w:ilvl w:val="0"/>
          <w:numId w:val="1"/>
        </w:numPr>
        <w:spacing w:line="360" w:lineRule="auto"/>
        <w:ind w:firstLineChars="0"/>
        <w:rPr>
          <w:rFonts w:ascii="仿宋" w:hAnsi="仿宋" w:eastAsia="仿宋"/>
          <w:b/>
          <w:bCs/>
          <w:sz w:val="32"/>
          <w:szCs w:val="32"/>
        </w:rPr>
      </w:pPr>
      <w:r>
        <w:rPr>
          <w:rFonts w:hint="eastAsia" w:ascii="仿宋" w:hAnsi="仿宋" w:eastAsia="仿宋"/>
          <w:b/>
          <w:bCs/>
          <w:sz w:val="32"/>
          <w:szCs w:val="32"/>
        </w:rPr>
        <w:t>积极争资跑项，水利工程建设有序推进</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衡山县龙荫港治理工程、小型水库除险加固、山洪沟治理、九观桥灌区续建配套与节水改造等一批老百姓关注和期盼的水利项目全部完成年度任务。目前，龙荫港治理工程已完成中央下达的1222万元投资任务；小型水库除险加固5座已全部完成主体工程建设，完成投资1100万元，；山洪沟治理已完成240万元，占下达资300万元的80%；九观桥灌区完成投资3500万元，完成年计划任务的280%。</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加快小型农业水利设施建设和管护。我县小水源项目计划任务79口山塘清淤及提升山上经济作物灌溉保障能力项目39口山塘增蓄扩容，目前小水源项目已全部完成，正逐步验收，山上经济作物灌溉保障能力项目目前全面完成。</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严格规范工程建设管建设程序。全面完善实行项目法人负责制、招标投标制、监理制及合同制等“四制”管理，共接受省、市质量监督、安全生产等方面督查、考核五次，在全市排名靠前。</w:t>
      </w:r>
    </w:p>
    <w:p>
      <w:pPr>
        <w:pStyle w:val="10"/>
        <w:numPr>
          <w:ilvl w:val="0"/>
          <w:numId w:val="1"/>
        </w:numPr>
        <w:spacing w:line="360" w:lineRule="auto"/>
        <w:ind w:firstLineChars="0"/>
        <w:rPr>
          <w:rFonts w:ascii="仿宋" w:hAnsi="仿宋" w:eastAsia="仿宋"/>
          <w:b/>
          <w:bCs/>
          <w:sz w:val="32"/>
          <w:szCs w:val="32"/>
        </w:rPr>
      </w:pPr>
      <w:r>
        <w:rPr>
          <w:rFonts w:hint="eastAsia" w:ascii="仿宋" w:hAnsi="仿宋" w:eastAsia="仿宋"/>
          <w:b/>
          <w:bCs/>
          <w:sz w:val="32"/>
          <w:szCs w:val="32"/>
        </w:rPr>
        <w:t>贴近百姓民生，农村饮水安全切实保障</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一是巩固脱贫攻坚农村饮水安全成果。争取资金，提升新桥水厂等九处工程的供水保障能力，完成了东湖镇杉木桥水厂的提质改造和20处散户水质提升工程，共改善8000余人饮水现状，饮水水质得到了进一步提升。二是安排各乡镇、水厂专人值班值守，不定时抽查，确保节假日供水安全。三是开展实施水质提升专项行动，完成四个季度水质检测，合格率100%；组织开展农村集中供水工程管理业务培训班；萱洲水厂、新桥水厂、石子水厂通过了农村供水工程标准化管理市级评价，并完成了农村供水保障“三化”模式意向规划编制工作。四是齐抓共管，加强部门联动。完成乡村振兴饮水安全工程项目现场核查、资产移交；完成巩固拓展脱贫攻坚成果同乡村振兴有效衔接工作年度及市级督查考核。五是规范资金使用，做好维修养护节约用水强宣传后续评价。六是“见缝插针”搞宣传。我局干部职工利用下乡闲暇之余，向周边群众宣传节水保水观点及做法。七是水质检测常态化，每月对各类集中供水工程供水水质进行检测，共采集检测 920 个样品，并随时进行抽查，确保了全县农村供水工程水质合格率达 100%。</w:t>
      </w:r>
    </w:p>
    <w:p>
      <w:pPr>
        <w:pStyle w:val="10"/>
        <w:numPr>
          <w:ilvl w:val="0"/>
          <w:numId w:val="1"/>
        </w:numPr>
        <w:spacing w:line="360" w:lineRule="auto"/>
        <w:ind w:firstLineChars="0"/>
        <w:rPr>
          <w:rFonts w:ascii="仿宋" w:hAnsi="仿宋" w:eastAsia="仿宋"/>
          <w:b/>
          <w:bCs/>
          <w:sz w:val="32"/>
          <w:szCs w:val="32"/>
        </w:rPr>
      </w:pPr>
      <w:r>
        <w:rPr>
          <w:rFonts w:hint="eastAsia" w:ascii="仿宋" w:hAnsi="仿宋" w:eastAsia="仿宋"/>
          <w:b/>
          <w:bCs/>
          <w:sz w:val="32"/>
          <w:szCs w:val="32"/>
        </w:rPr>
        <w:t>聚焦水体污染，河长制工作成效显著</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一是通过暗访督查，全年发现河道保洁、“四乱”问题52个，全部完成整改。二是下发河长交函11份，河长办交办函1份，推行交办问题“一单四制”制度，解决垃圾渣土入河、“乱建”等涉河问题21处。三是持续开展河湖垃圾清理专项行动，在全县各乡镇共计开展集中清理行动37次，清理垃圾441余吨，其中塑料垃圾176吨，共清理河道470多公里，总投入约88万元。四是开展小微河流清淤疏浚，今年计划疏浚清淤55条河，总长148公里，已全部完成。五是积极开展河长制工作宣传，多次组织开展服务活动、法律法规宣传活动，发放宣传手册、出动视频广告宣传车，通过大数据智慧平台推送等方式普及水事法律法规知识、提高群众保护河湖岸线意识。</w:t>
      </w:r>
    </w:p>
    <w:p>
      <w:pPr>
        <w:pStyle w:val="10"/>
        <w:numPr>
          <w:ilvl w:val="0"/>
          <w:numId w:val="1"/>
        </w:numPr>
        <w:spacing w:line="360" w:lineRule="auto"/>
        <w:ind w:firstLineChars="0"/>
        <w:rPr>
          <w:rFonts w:ascii="仿宋" w:hAnsi="仿宋" w:eastAsia="仿宋"/>
          <w:b/>
          <w:bCs/>
          <w:sz w:val="32"/>
          <w:szCs w:val="32"/>
        </w:rPr>
      </w:pPr>
      <w:r>
        <w:rPr>
          <w:rFonts w:hint="eastAsia" w:ascii="仿宋" w:hAnsi="仿宋" w:eastAsia="仿宋"/>
          <w:b/>
          <w:bCs/>
          <w:sz w:val="32"/>
          <w:szCs w:val="32"/>
        </w:rPr>
        <w:t>心系库区移民，移民工作做深做实</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一是移民生活持续稳定。通过“一卡通”稳定发放直补资金 288 万元，直补到人4800人。2023年，争取中央、省、市移民后期扶持资金共计2177.86万元，总投入移民项目资金1889.86万元，主要实施各类农田水利设施、基础设施、产业发展、移民培训等项目共94个，提高解决了库区和移民安置区移民饮水质量、行路难、产业发展难等问题，改善了移民居住环境和生产生活条件，保障了移民合法权益，库区和移民安置区社会保持和谐稳定。二是重点抓好移民培训。</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2023 年通过以水稻、油菜种植等实用技术培训的方式，在新桥镇贯底社区，江东乡龙桥村开展了二期实用技术培训，培训移民 160 人次;通过政府采购购买培训技术服务的方式，由第三方培训机构组织在新桥镇新桥村开展1期移民转移就业技能(养老护理)培训班，培训移民30人，共发放培训资料220 余册；发放移民职业教育补助56人次。三是着力抓好移民动态管理。我县2023 年度共核减移民人口85人(2022年为基准年)。</w:t>
      </w:r>
    </w:p>
    <w:p>
      <w:pPr>
        <w:pStyle w:val="10"/>
        <w:numPr>
          <w:ilvl w:val="0"/>
          <w:numId w:val="1"/>
        </w:numPr>
        <w:spacing w:line="360" w:lineRule="auto"/>
        <w:ind w:firstLineChars="0"/>
        <w:rPr>
          <w:rFonts w:ascii="仿宋" w:hAnsi="仿宋" w:eastAsia="仿宋"/>
          <w:b/>
          <w:bCs/>
          <w:sz w:val="32"/>
          <w:szCs w:val="32"/>
        </w:rPr>
      </w:pPr>
      <w:r>
        <w:rPr>
          <w:rFonts w:hint="eastAsia" w:ascii="仿宋" w:hAnsi="仿宋" w:eastAsia="仿宋"/>
          <w:b/>
          <w:bCs/>
          <w:sz w:val="32"/>
          <w:szCs w:val="32"/>
        </w:rPr>
        <w:t>严格依法执政，水政监察有效推进</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一是全年复核卫星图斑250处，均核查完毕并销号，在全市率先完成。二是累计巡查河道岸线10000余公里，参与巡查人数850余次，出动执法车辆及执法船220余次，组</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织专项执法行动10次，清理河道岸线2公里，拆除涉水违章建筑6处，拆除违规建筑面积达500余平方，巡查现场交办20余起，移交河长办线索16次。三是率先在全市完成生态环保赔偿案件侦办并办结上报，受到市局主要领导多次好评。四是克服困难，认真完成防溺水劝导工作。五是开展停泊区安全检查工作4次。六是对水事违法行为，立案5起，办结4起，做到问题及时清零。七是先后与衡东、南岳、衡阳县、湘潭县水利局签订共管河道联合巡查执法协议，形成联合执法机制，做到巡河常态化。八是全年联合衡山县公安局、交通局、农业局，衡东县水利局开展专项联合执法行动15次。</w:t>
      </w:r>
    </w:p>
    <w:p>
      <w:pPr>
        <w:pStyle w:val="10"/>
        <w:numPr>
          <w:ilvl w:val="0"/>
          <w:numId w:val="1"/>
        </w:numPr>
        <w:spacing w:line="360" w:lineRule="auto"/>
        <w:ind w:firstLineChars="0"/>
        <w:rPr>
          <w:rFonts w:ascii="仿宋" w:hAnsi="仿宋" w:eastAsia="仿宋"/>
          <w:b/>
          <w:bCs/>
          <w:sz w:val="32"/>
          <w:szCs w:val="32"/>
        </w:rPr>
      </w:pPr>
      <w:r>
        <w:rPr>
          <w:rFonts w:hint="eastAsia" w:ascii="仿宋" w:hAnsi="仿宋" w:eastAsia="仿宋"/>
          <w:b/>
          <w:bCs/>
          <w:sz w:val="32"/>
          <w:szCs w:val="32"/>
        </w:rPr>
        <w:t>树立节水意识，水资源监管持续开展</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一是加大节水宣传力度，开展节水宣传“六进活动”，全力提高人民群众的节水意识；二是强化取用水管理。严格执行国家最严水资源管理制度，执行计划用水和定额取水；三是加大节水载体建设，确保我县单位地区生产总值用水量继续保持在全市先进行列。</w:t>
      </w:r>
    </w:p>
    <w:p>
      <w:pPr>
        <w:pStyle w:val="10"/>
        <w:numPr>
          <w:ilvl w:val="0"/>
          <w:numId w:val="1"/>
        </w:numPr>
        <w:spacing w:line="360" w:lineRule="auto"/>
        <w:ind w:firstLineChars="0"/>
        <w:rPr>
          <w:rFonts w:ascii="仿宋" w:hAnsi="仿宋" w:eastAsia="仿宋"/>
          <w:b/>
          <w:bCs/>
          <w:sz w:val="32"/>
          <w:szCs w:val="32"/>
        </w:rPr>
      </w:pPr>
      <w:r>
        <w:rPr>
          <w:rFonts w:hint="eastAsia" w:ascii="仿宋" w:hAnsi="仿宋" w:eastAsia="仿宋"/>
          <w:b/>
          <w:bCs/>
          <w:sz w:val="32"/>
          <w:szCs w:val="32"/>
        </w:rPr>
        <w:t>坚持党的领导，党建工作掷地有声</w:t>
      </w:r>
    </w:p>
    <w:p>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一是突出政治理论学习，严格落实党内组织生活。截止目前党支部已开展党组理论中心组学习12次，召开支委会12次，党小组会12次，党员大会8次，组织集中学习12次，党员领导干部讲课6次。开展党员主题党日活动12次以上，党员活动参与率达到了100％。二是创新方式，全力营造意识形态工作好氛围。局党组不断探索新的方法，充分运用个别谈心、耐心疏导、平等交流、民主讨论等方法，注重人文关怀和心理疏导，使意识形态的宣传教育工作做到入情入理、潜移默化。三是突出为民服务，设立党员示范岗5个，设立甘棠桥社区为党员责任区，组织40名党员开展承诺践诺，开展文明创建党员志愿服务活动4次，深入开展义务献血活动20余人次；组织党员参与乡村振兴，派出工作队（长）员5人，帮扶责任人3人，走访脱贫户30余人。四是加强党风</w:t>
      </w:r>
      <w:r>
        <w:rPr>
          <w:rFonts w:hint="eastAsia" w:ascii="仿宋" w:hAnsi="仿宋" w:eastAsia="仿宋" w:cs="Times New Roman"/>
          <w:sz w:val="32"/>
          <w:szCs w:val="32"/>
          <w:lang w:eastAsia="zh-CN"/>
        </w:rPr>
        <w:t>廉政建设</w:t>
      </w:r>
      <w:r>
        <w:rPr>
          <w:rFonts w:hint="eastAsia" w:ascii="仿宋" w:hAnsi="仿宋" w:eastAsia="仿宋" w:cs="Times New Roman"/>
          <w:sz w:val="32"/>
          <w:szCs w:val="32"/>
        </w:rPr>
        <w:t>，开展党规</w:t>
      </w:r>
      <w:r>
        <w:rPr>
          <w:rFonts w:hint="eastAsia" w:ascii="仿宋" w:hAnsi="仿宋" w:eastAsia="仿宋" w:cs="Times New Roman"/>
          <w:sz w:val="32"/>
          <w:szCs w:val="32"/>
          <w:lang w:eastAsia="zh-CN"/>
        </w:rPr>
        <w:t>党纪学习教育</w:t>
      </w:r>
      <w:bookmarkStart w:id="0" w:name="_GoBack"/>
      <w:bookmarkEnd w:id="0"/>
      <w:r>
        <w:rPr>
          <w:rFonts w:hint="eastAsia" w:ascii="仿宋" w:hAnsi="仿宋" w:eastAsia="仿宋" w:cs="Times New Roman"/>
          <w:sz w:val="32"/>
          <w:szCs w:val="32"/>
        </w:rPr>
        <w:t>5次,讲廉政专题党课3次,召开警示教育大会2次，组织观看“大法官”等警示教育记录片3场,选开展谈心谈话30余人次，发送廉政短信30余条，定期开展作风纪律督查和廉政风险排查，坚持党性党风党纪一起抓。</w:t>
      </w:r>
    </w:p>
    <w:p>
      <w:pPr>
        <w:widowControl w:val="0"/>
        <w:kinsoku/>
        <w:adjustRightInd/>
        <w:snapToGrid/>
        <w:spacing w:line="360" w:lineRule="auto"/>
        <w:ind w:firstLine="643" w:firstLineChars="200"/>
        <w:jc w:val="both"/>
        <w:rPr>
          <w:rFonts w:ascii="仿宋" w:hAnsi="仿宋" w:eastAsia="仿宋"/>
          <w:snapToGrid/>
          <w:color w:val="auto"/>
          <w:kern w:val="21"/>
          <w:sz w:val="32"/>
          <w:szCs w:val="32"/>
        </w:rPr>
      </w:pPr>
      <w:r>
        <w:rPr>
          <w:rFonts w:hint="eastAsia" w:ascii="仿宋" w:hAnsi="仿宋" w:eastAsia="仿宋" w:cs="仿宋"/>
          <w:b/>
          <w:bCs/>
          <w:snapToGrid/>
          <w:color w:val="auto"/>
          <w:kern w:val="21"/>
          <w:sz w:val="32"/>
          <w:szCs w:val="32"/>
        </w:rPr>
        <w:t>2.项目绩效目标完成情况(仅对50万元以上的项目资金进行分项说明)</w:t>
      </w:r>
    </w:p>
    <w:p>
      <w:pPr>
        <w:widowControl w:val="0"/>
        <w:kinsoku/>
        <w:adjustRightInd/>
        <w:snapToGrid/>
        <w:spacing w:line="360" w:lineRule="auto"/>
        <w:ind w:firstLine="640" w:firstLineChars="200"/>
        <w:jc w:val="both"/>
        <w:outlineLvl w:val="0"/>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w:t>
      </w:r>
      <w:r>
        <w:rPr>
          <w:rFonts w:ascii="仿宋" w:hAnsi="仿宋" w:eastAsia="仿宋" w:cs="仿宋"/>
          <w:snapToGrid/>
          <w:color w:val="auto"/>
          <w:kern w:val="21"/>
          <w:sz w:val="32"/>
          <w:szCs w:val="32"/>
        </w:rPr>
        <w:t>1</w:t>
      </w:r>
      <w:r>
        <w:rPr>
          <w:rFonts w:hint="eastAsia" w:ascii="仿宋" w:hAnsi="仿宋" w:eastAsia="仿宋" w:cs="仿宋"/>
          <w:snapToGrid/>
          <w:color w:val="auto"/>
          <w:kern w:val="21"/>
          <w:sz w:val="32"/>
          <w:szCs w:val="32"/>
        </w:rPr>
        <w:t>）水美湘村项目：该项目下达资金300万元，绩效目标为乌石铺河山竹村段治理1.2公里；该项目2023年1月20日动工，4月30日完工。按照《湖南省水利厅 湖南省财政厅关于开展2022年“水美湘村”建设的通知》、《湖南省水利厅关于开展“水美湘村”示范创建工作的通知》文件要求，委托湖南玖水生态科技有限公司编制了“水美湘村”建设实施方案，并通过市局审查批复。2022年12月，湖南江禹建设有限公司中标。2023年1月20日开工建设，主要建设内容为山竹村乌石铺河段及金田港支流约2.2KM河道清淤疏浚、新建水坝、岸坡修整、新建堤顶游步道、新建休闲广场等工程措施，打造“水美湘村”示范点。</w:t>
      </w:r>
    </w:p>
    <w:p>
      <w:pPr>
        <w:widowControl w:val="0"/>
        <w:kinsoku/>
        <w:adjustRightInd/>
        <w:snapToGrid/>
        <w:spacing w:line="360" w:lineRule="auto"/>
        <w:ind w:firstLine="640" w:firstLineChars="200"/>
        <w:jc w:val="both"/>
        <w:outlineLvl w:val="0"/>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w:t>
      </w:r>
      <w:r>
        <w:rPr>
          <w:rFonts w:ascii="仿宋" w:hAnsi="仿宋" w:eastAsia="仿宋" w:cs="仿宋"/>
          <w:snapToGrid/>
          <w:color w:val="auto"/>
          <w:kern w:val="21"/>
          <w:sz w:val="32"/>
          <w:szCs w:val="32"/>
        </w:rPr>
        <w:t>2)</w:t>
      </w:r>
      <w:r>
        <w:rPr>
          <w:rFonts w:hint="eastAsia" w:ascii="仿宋" w:hAnsi="仿宋" w:eastAsia="仿宋" w:cs="仿宋"/>
          <w:snapToGrid/>
          <w:color w:val="auto"/>
          <w:kern w:val="21"/>
          <w:sz w:val="32"/>
          <w:szCs w:val="32"/>
        </w:rPr>
        <w:t>河长制工作年初预算500万元，实际到位450万元，主要用于河道保洁、河流“清四乱”、影响河道行洪突出问题排查整治、乡镇河长办能力建设、示范河流和县级河流建设、小微河流清淤疏浚、河流管护治理等河长制工作。围绕河长制工作总体要求，构建完善党政主导、水利牵头、部门协同、社会共治的河长制工作格局，获评市河长制工作优秀县、市推进“一县一示范”标准化管理示范河建设先进县。对全县62条河流（总长567.9千米）开展常化保洁；河流“清四乱”常态化规范化，“四乱”问题动态清零；完成24条河流疏浚清淤任务，疏浚清淤河流长59.5公里；成功举办全市河长制标准化现场会；建成涓水标准化管理示范河和全县12条 “一乡一亮点”示范河；按期完成省河长办下达我县8项重点工作任务；河流保护和治理取得明显实效。湘江衡山段国控断面和涓水衡山段省控断面水质均达二类标准，全县重要江河水功能区水质、县城集中式饮用水源水质达标率100%。</w:t>
      </w:r>
    </w:p>
    <w:p>
      <w:pPr>
        <w:widowControl w:val="0"/>
        <w:kinsoku/>
        <w:adjustRightInd/>
        <w:snapToGrid/>
        <w:spacing w:line="360" w:lineRule="auto"/>
        <w:ind w:firstLine="643" w:firstLineChars="200"/>
        <w:jc w:val="both"/>
        <w:outlineLvl w:val="0"/>
        <w:rPr>
          <w:rFonts w:ascii="仿宋" w:hAnsi="仿宋" w:eastAsia="仿宋" w:cs="黑体"/>
          <w:b/>
          <w:bCs/>
          <w:snapToGrid/>
          <w:color w:val="auto"/>
          <w:kern w:val="21"/>
          <w:sz w:val="32"/>
          <w:szCs w:val="32"/>
        </w:rPr>
      </w:pPr>
      <w:r>
        <w:rPr>
          <w:rFonts w:hint="eastAsia" w:ascii="仿宋" w:hAnsi="仿宋" w:eastAsia="仿宋" w:cs="黑体"/>
          <w:b/>
          <w:bCs/>
          <w:snapToGrid/>
          <w:color w:val="auto"/>
          <w:kern w:val="21"/>
          <w:sz w:val="32"/>
          <w:szCs w:val="32"/>
        </w:rPr>
        <w:t>三、存在的问题及改进措施</w:t>
      </w:r>
    </w:p>
    <w:p>
      <w:pPr>
        <w:widowControl w:val="0"/>
        <w:kinsoku/>
        <w:adjustRightInd/>
        <w:snapToGrid/>
        <w:spacing w:line="360" w:lineRule="auto"/>
        <w:ind w:firstLine="640" w:firstLineChars="200"/>
        <w:jc w:val="both"/>
        <w:outlineLvl w:val="0"/>
        <w:rPr>
          <w:rFonts w:ascii="仿宋" w:hAnsi="仿宋" w:eastAsia="仿宋" w:cs="黑体"/>
          <w:b/>
          <w:bCs/>
          <w:snapToGrid/>
          <w:color w:val="auto"/>
          <w:kern w:val="21"/>
          <w:sz w:val="32"/>
          <w:szCs w:val="32"/>
        </w:rPr>
      </w:pPr>
      <w:r>
        <w:rPr>
          <w:rFonts w:hint="eastAsia" w:ascii="仿宋" w:hAnsi="仿宋" w:eastAsia="仿宋" w:cs="CESI仿宋-GB13000"/>
          <w:sz w:val="32"/>
          <w:szCs w:val="32"/>
        </w:rPr>
        <w:t>主要问题：项目资金使用方面预算不够细致，出现实际支出数超出了预算申报数和出现项目资金结存数额多的情况。</w:t>
      </w:r>
    </w:p>
    <w:p>
      <w:pPr>
        <w:spacing w:line="360" w:lineRule="auto"/>
        <w:ind w:firstLine="640" w:firstLineChars="200"/>
        <w:rPr>
          <w:rFonts w:ascii="仿宋" w:hAnsi="仿宋" w:eastAsia="仿宋" w:cs="CESI仿宋-GB13000"/>
          <w:sz w:val="32"/>
          <w:szCs w:val="32"/>
        </w:rPr>
      </w:pPr>
      <w:r>
        <w:rPr>
          <w:rFonts w:hint="eastAsia" w:ascii="仿宋" w:hAnsi="仿宋" w:eastAsia="仿宋" w:cs="CESI仿宋-GB13000"/>
          <w:sz w:val="32"/>
          <w:szCs w:val="32"/>
        </w:rPr>
        <w:t>改进措施：加强做好各项目资金的预算工作，既要确保各项工作顺利的开展，更要做好厉行节约，力争把成本降低。</w:t>
      </w:r>
    </w:p>
    <w:p>
      <w:pPr>
        <w:widowControl w:val="0"/>
        <w:kinsoku/>
        <w:adjustRightInd/>
        <w:snapToGrid/>
        <w:spacing w:line="360" w:lineRule="auto"/>
        <w:ind w:firstLine="643" w:firstLineChars="200"/>
        <w:jc w:val="both"/>
        <w:outlineLvl w:val="0"/>
        <w:rPr>
          <w:rFonts w:ascii="仿宋" w:hAnsi="仿宋" w:eastAsia="仿宋" w:cs="黑体"/>
          <w:b/>
          <w:bCs/>
          <w:snapToGrid/>
          <w:color w:val="auto"/>
          <w:kern w:val="21"/>
          <w:sz w:val="32"/>
          <w:szCs w:val="32"/>
        </w:rPr>
      </w:pPr>
      <w:r>
        <w:rPr>
          <w:rFonts w:hint="eastAsia" w:ascii="仿宋" w:hAnsi="仿宋" w:eastAsia="仿宋" w:cs="黑体"/>
          <w:b/>
          <w:bCs/>
          <w:snapToGrid/>
          <w:color w:val="auto"/>
          <w:kern w:val="21"/>
          <w:sz w:val="32"/>
          <w:szCs w:val="32"/>
        </w:rPr>
        <w:t>四、其他需要说明的情况</w:t>
      </w:r>
    </w:p>
    <w:p>
      <w:pPr>
        <w:widowControl w:val="0"/>
        <w:kinsoku/>
        <w:adjustRightInd/>
        <w:snapToGrid/>
        <w:spacing w:line="360" w:lineRule="auto"/>
        <w:ind w:firstLine="640" w:firstLineChars="200"/>
        <w:jc w:val="both"/>
        <w:rPr>
          <w:rFonts w:ascii="仿宋" w:hAnsi="仿宋" w:eastAsia="仿宋"/>
          <w:snapToGrid/>
          <w:color w:val="auto"/>
          <w:kern w:val="21"/>
          <w:sz w:val="32"/>
          <w:szCs w:val="32"/>
        </w:rPr>
      </w:pPr>
      <w:r>
        <w:rPr>
          <w:rFonts w:hint="eastAsia" w:ascii="仿宋" w:hAnsi="仿宋" w:eastAsia="仿宋"/>
          <w:snapToGrid/>
          <w:color w:val="auto"/>
          <w:kern w:val="21"/>
          <w:sz w:val="32"/>
          <w:szCs w:val="32"/>
        </w:rPr>
        <w:t>无。</w:t>
      </w:r>
    </w:p>
    <w:p>
      <w:pPr>
        <w:widowControl w:val="0"/>
        <w:kinsoku/>
        <w:adjustRightInd/>
        <w:snapToGrid/>
        <w:spacing w:line="360" w:lineRule="auto"/>
        <w:ind w:firstLine="640" w:firstLineChars="200"/>
        <w:jc w:val="both"/>
        <w:rPr>
          <w:rFonts w:ascii="仿宋" w:hAnsi="仿宋" w:eastAsia="仿宋"/>
          <w:snapToGrid/>
          <w:color w:val="auto"/>
          <w:kern w:val="21"/>
          <w:sz w:val="32"/>
          <w:szCs w:val="32"/>
        </w:rPr>
      </w:pPr>
    </w:p>
    <w:sectPr>
      <w:footerReference r:id="rId3" w:type="default"/>
      <w:pgSz w:w="11860" w:h="16798"/>
      <w:pgMar w:top="1440" w:right="1803" w:bottom="1440" w:left="1803" w:header="0" w:footer="0"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ESI仿宋-GB13000">
    <w:altName w:val="微软雅黑"/>
    <w:panose1 w:val="00000000000000000000"/>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0B5543"/>
    <w:multiLevelType w:val="multilevel"/>
    <w:tmpl w:val="420B5543"/>
    <w:lvl w:ilvl="0" w:tentative="0">
      <w:start w:val="1"/>
      <w:numFmt w:val="decimalEnclosedCircle"/>
      <w:lvlText w:val="%1"/>
      <w:lvlJc w:val="left"/>
      <w:pPr>
        <w:ind w:left="1000" w:hanging="360"/>
      </w:pPr>
      <w:rPr>
        <w:rFonts w:hint="default"/>
      </w:rPr>
    </w:lvl>
    <w:lvl w:ilvl="1" w:tentative="0">
      <w:start w:val="1"/>
      <w:numFmt w:val="lowerLetter"/>
      <w:lvlText w:val="%2)"/>
      <w:lvlJc w:val="left"/>
      <w:pPr>
        <w:ind w:left="1520" w:hanging="440"/>
      </w:pPr>
    </w:lvl>
    <w:lvl w:ilvl="2" w:tentative="0">
      <w:start w:val="1"/>
      <w:numFmt w:val="lowerRoman"/>
      <w:lvlText w:val="%3."/>
      <w:lvlJc w:val="right"/>
      <w:pPr>
        <w:ind w:left="1960" w:hanging="440"/>
      </w:pPr>
    </w:lvl>
    <w:lvl w:ilvl="3" w:tentative="0">
      <w:start w:val="1"/>
      <w:numFmt w:val="decimal"/>
      <w:lvlText w:val="%4."/>
      <w:lvlJc w:val="left"/>
      <w:pPr>
        <w:ind w:left="2400" w:hanging="440"/>
      </w:pPr>
    </w:lvl>
    <w:lvl w:ilvl="4" w:tentative="0">
      <w:start w:val="1"/>
      <w:numFmt w:val="lowerLetter"/>
      <w:lvlText w:val="%5)"/>
      <w:lvlJc w:val="left"/>
      <w:pPr>
        <w:ind w:left="2840" w:hanging="440"/>
      </w:pPr>
    </w:lvl>
    <w:lvl w:ilvl="5" w:tentative="0">
      <w:start w:val="1"/>
      <w:numFmt w:val="lowerRoman"/>
      <w:lvlText w:val="%6."/>
      <w:lvlJc w:val="right"/>
      <w:pPr>
        <w:ind w:left="3280" w:hanging="440"/>
      </w:pPr>
    </w:lvl>
    <w:lvl w:ilvl="6" w:tentative="0">
      <w:start w:val="1"/>
      <w:numFmt w:val="decimal"/>
      <w:lvlText w:val="%7."/>
      <w:lvlJc w:val="left"/>
      <w:pPr>
        <w:ind w:left="3720" w:hanging="440"/>
      </w:pPr>
    </w:lvl>
    <w:lvl w:ilvl="7" w:tentative="0">
      <w:start w:val="1"/>
      <w:numFmt w:val="lowerLetter"/>
      <w:lvlText w:val="%8)"/>
      <w:lvlJc w:val="left"/>
      <w:pPr>
        <w:ind w:left="4160" w:hanging="440"/>
      </w:pPr>
    </w:lvl>
    <w:lvl w:ilvl="8" w:tentative="0">
      <w:start w:val="1"/>
      <w:numFmt w:val="lowerRoman"/>
      <w:lvlText w:val="%9."/>
      <w:lvlJc w:val="right"/>
      <w:pPr>
        <w:ind w:left="4600" w:hanging="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HorizontalSpacing w:val="210"/>
  <w:drawingGridVerticalSpacing w:val="-7946"/>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JjNmQxYjM4ZTM0ZjAwY2E5MzIxZDk1YTRhNGQ1OTQifQ=="/>
    <w:docVar w:name="KSO_WPS_MARK_KEY" w:val="7093747b-2e15-4bf6-bca2-eba5c1883744"/>
  </w:docVars>
  <w:rsids>
    <w:rsidRoot w:val="0070009F"/>
    <w:rsid w:val="00023F00"/>
    <w:rsid w:val="000303CD"/>
    <w:rsid w:val="00050ABD"/>
    <w:rsid w:val="000A24CF"/>
    <w:rsid w:val="000B2889"/>
    <w:rsid w:val="000F1D43"/>
    <w:rsid w:val="000F7925"/>
    <w:rsid w:val="001160E3"/>
    <w:rsid w:val="0013115B"/>
    <w:rsid w:val="00134A75"/>
    <w:rsid w:val="0014050B"/>
    <w:rsid w:val="001861C6"/>
    <w:rsid w:val="001A156E"/>
    <w:rsid w:val="001D3072"/>
    <w:rsid w:val="00206E91"/>
    <w:rsid w:val="0022439B"/>
    <w:rsid w:val="00230725"/>
    <w:rsid w:val="00236700"/>
    <w:rsid w:val="002564A1"/>
    <w:rsid w:val="0025709E"/>
    <w:rsid w:val="00276B99"/>
    <w:rsid w:val="002841F1"/>
    <w:rsid w:val="002865F6"/>
    <w:rsid w:val="002A7F61"/>
    <w:rsid w:val="002C4B5D"/>
    <w:rsid w:val="002C50E5"/>
    <w:rsid w:val="002D7DEB"/>
    <w:rsid w:val="002F4467"/>
    <w:rsid w:val="002F5D49"/>
    <w:rsid w:val="003150B6"/>
    <w:rsid w:val="00344443"/>
    <w:rsid w:val="003E0A54"/>
    <w:rsid w:val="003F5884"/>
    <w:rsid w:val="004054A7"/>
    <w:rsid w:val="00427DBF"/>
    <w:rsid w:val="0043456C"/>
    <w:rsid w:val="004363DF"/>
    <w:rsid w:val="00472B8A"/>
    <w:rsid w:val="004753E1"/>
    <w:rsid w:val="004A5394"/>
    <w:rsid w:val="004C6AA0"/>
    <w:rsid w:val="004D45BB"/>
    <w:rsid w:val="00504619"/>
    <w:rsid w:val="0050535C"/>
    <w:rsid w:val="005077BC"/>
    <w:rsid w:val="00596414"/>
    <w:rsid w:val="005E27E6"/>
    <w:rsid w:val="00620735"/>
    <w:rsid w:val="00646EC4"/>
    <w:rsid w:val="00653B5B"/>
    <w:rsid w:val="0068332B"/>
    <w:rsid w:val="006A395D"/>
    <w:rsid w:val="0070009F"/>
    <w:rsid w:val="007019A5"/>
    <w:rsid w:val="0072221F"/>
    <w:rsid w:val="00722A12"/>
    <w:rsid w:val="00756EFC"/>
    <w:rsid w:val="00777FA9"/>
    <w:rsid w:val="007878B7"/>
    <w:rsid w:val="007C4739"/>
    <w:rsid w:val="007D68D5"/>
    <w:rsid w:val="007E5666"/>
    <w:rsid w:val="007F1FA3"/>
    <w:rsid w:val="00881222"/>
    <w:rsid w:val="00887169"/>
    <w:rsid w:val="008B673D"/>
    <w:rsid w:val="008D22EA"/>
    <w:rsid w:val="00912D63"/>
    <w:rsid w:val="00916CF1"/>
    <w:rsid w:val="00964671"/>
    <w:rsid w:val="009761B5"/>
    <w:rsid w:val="009E0BC2"/>
    <w:rsid w:val="00A0156D"/>
    <w:rsid w:val="00A4455F"/>
    <w:rsid w:val="00AA3CAF"/>
    <w:rsid w:val="00AA5185"/>
    <w:rsid w:val="00AB4352"/>
    <w:rsid w:val="00B00B72"/>
    <w:rsid w:val="00B06097"/>
    <w:rsid w:val="00B13298"/>
    <w:rsid w:val="00B454FA"/>
    <w:rsid w:val="00BA2506"/>
    <w:rsid w:val="00BA57D2"/>
    <w:rsid w:val="00C173AB"/>
    <w:rsid w:val="00C24B6C"/>
    <w:rsid w:val="00C5080F"/>
    <w:rsid w:val="00C56EC6"/>
    <w:rsid w:val="00C91701"/>
    <w:rsid w:val="00CA0B77"/>
    <w:rsid w:val="00CA4169"/>
    <w:rsid w:val="00D04956"/>
    <w:rsid w:val="00D1294E"/>
    <w:rsid w:val="00D25B3C"/>
    <w:rsid w:val="00D47E72"/>
    <w:rsid w:val="00D526A5"/>
    <w:rsid w:val="00D86927"/>
    <w:rsid w:val="00D94305"/>
    <w:rsid w:val="00DA0C87"/>
    <w:rsid w:val="00DA1211"/>
    <w:rsid w:val="00DB0FBA"/>
    <w:rsid w:val="00DC2777"/>
    <w:rsid w:val="00DC3900"/>
    <w:rsid w:val="00DD62E0"/>
    <w:rsid w:val="00DF2056"/>
    <w:rsid w:val="00DF6893"/>
    <w:rsid w:val="00E24EA5"/>
    <w:rsid w:val="00E467EA"/>
    <w:rsid w:val="00E67455"/>
    <w:rsid w:val="00E76965"/>
    <w:rsid w:val="00EB543E"/>
    <w:rsid w:val="00EE4B95"/>
    <w:rsid w:val="00EF2D16"/>
    <w:rsid w:val="00EF4DF7"/>
    <w:rsid w:val="00EF542A"/>
    <w:rsid w:val="00F104BF"/>
    <w:rsid w:val="00F21288"/>
    <w:rsid w:val="00F53906"/>
    <w:rsid w:val="00FA0B53"/>
    <w:rsid w:val="00FB0E3B"/>
    <w:rsid w:val="00FD340B"/>
    <w:rsid w:val="04E134F7"/>
    <w:rsid w:val="0A5A06CB"/>
    <w:rsid w:val="19764DD0"/>
    <w:rsid w:val="1D9E3CD3"/>
    <w:rsid w:val="6794587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cs="Arial" w:eastAsiaTheme="minorEastAsia"/>
      <w:snapToGrid w:val="0"/>
      <w:color w:val="000000"/>
      <w:sz w:val="21"/>
      <w:szCs w:val="21"/>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pPr>
    <w:rPr>
      <w:sz w:val="18"/>
      <w:szCs w:val="18"/>
    </w:rPr>
  </w:style>
  <w:style w:type="paragraph" w:styleId="3">
    <w:name w:val="header"/>
    <w:basedOn w:val="1"/>
    <w:link w:val="6"/>
    <w:qFormat/>
    <w:uiPriority w:val="0"/>
    <w:pPr>
      <w:pBdr>
        <w:bottom w:val="single" w:color="auto" w:sz="6" w:space="1"/>
      </w:pBdr>
      <w:tabs>
        <w:tab w:val="center" w:pos="4153"/>
        <w:tab w:val="right" w:pos="8306"/>
      </w:tabs>
      <w:jc w:val="center"/>
    </w:pPr>
    <w:rPr>
      <w:sz w:val="18"/>
      <w:szCs w:val="18"/>
    </w:rPr>
  </w:style>
  <w:style w:type="character" w:customStyle="1" w:styleId="6">
    <w:name w:val="页眉 字符"/>
    <w:basedOn w:val="5"/>
    <w:link w:val="3"/>
    <w:qFormat/>
    <w:uiPriority w:val="0"/>
    <w:rPr>
      <w:rFonts w:ascii="Arial" w:hAnsi="Arial" w:cs="Arial" w:eastAsiaTheme="minorEastAsia"/>
      <w:snapToGrid w:val="0"/>
      <w:color w:val="000000"/>
      <w:sz w:val="18"/>
      <w:szCs w:val="18"/>
    </w:rPr>
  </w:style>
  <w:style w:type="character" w:customStyle="1" w:styleId="7">
    <w:name w:val="页脚 字符"/>
    <w:basedOn w:val="5"/>
    <w:link w:val="2"/>
    <w:qFormat/>
    <w:uiPriority w:val="0"/>
    <w:rPr>
      <w:rFonts w:ascii="Arial" w:hAnsi="Arial" w:cs="Arial" w:eastAsiaTheme="minorEastAsia"/>
      <w:snapToGrid w:val="0"/>
      <w:color w:val="000000"/>
      <w:sz w:val="18"/>
      <w:szCs w:val="18"/>
    </w:rPr>
  </w:style>
  <w:style w:type="table" w:customStyle="1" w:styleId="8">
    <w:name w:val="Table Normal"/>
    <w:semiHidden/>
    <w:unhideWhenUsed/>
    <w:qFormat/>
    <w:uiPriority w:val="0"/>
    <w:rPr>
      <w:rFonts w:ascii="Arial" w:hAnsi="Arial" w:cs="Arial" w:eastAsiaTheme="minorEastAsia"/>
      <w:snapToGrid w:val="0"/>
      <w:color w:val="000000"/>
      <w:sz w:val="21"/>
      <w:szCs w:val="21"/>
    </w:rPr>
    <w:tblPr>
      <w:tblCellMar>
        <w:top w:w="0" w:type="dxa"/>
        <w:left w:w="0" w:type="dxa"/>
        <w:bottom w:w="0" w:type="dxa"/>
        <w:right w:w="0" w:type="dxa"/>
      </w:tblCellMar>
    </w:tblPr>
  </w:style>
  <w:style w:type="character" w:customStyle="1" w:styleId="9">
    <w:name w:val="NormalCharacter"/>
    <w:semiHidden/>
    <w:qFormat/>
    <w:uiPriority w:val="0"/>
    <w:rPr>
      <w:rFonts w:eastAsia="宋体"/>
      <w:kern w:val="2"/>
      <w:sz w:val="21"/>
      <w:szCs w:val="24"/>
      <w:lang w:val="en-US" w:eastAsia="zh-CN" w:bidi="ar-SA"/>
    </w:rPr>
  </w:style>
  <w:style w:type="paragraph" w:styleId="10">
    <w:name w:val="List Paragraph"/>
    <w:basedOn w:val="1"/>
    <w:qFormat/>
    <w:uiPriority w:val="99"/>
    <w:pPr>
      <w:widowControl w:val="0"/>
      <w:kinsoku/>
      <w:autoSpaceDE/>
      <w:autoSpaceDN/>
      <w:adjustRightInd/>
      <w:snapToGrid/>
      <w:ind w:firstLine="420" w:firstLineChars="200"/>
      <w:jc w:val="both"/>
      <w:textAlignment w:val="auto"/>
    </w:pPr>
    <w:rPr>
      <w:rFonts w:ascii="Times New Roman" w:hAnsi="Times New Roman" w:eastAsia="宋体" w:cs="Times New Roman"/>
      <w:snapToGrid/>
      <w:color w:val="auto"/>
      <w:kern w:val="2"/>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C63AE6-AD4D-49C0-8A14-D535C0805F74}">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18</Pages>
  <Words>8126</Words>
  <Characters>8460</Characters>
  <Lines>60</Lines>
  <Paragraphs>17</Paragraphs>
  <TotalTime>0</TotalTime>
  <ScaleCrop>false</ScaleCrop>
  <LinksUpToDate>false</LinksUpToDate>
  <CharactersWithSpaces>8495</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2024-06-13T09:21:00Z</dcterms:created>
  <dc:creator>Sky123.Org</dc:creator>
  <cp:lastModifiedBy>蒋阔</cp:lastModifiedBy>
  <dcterms:modified xsi:type="dcterms:W3CDTF">2025-05-30T00:33:37Z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5034B9876E444CB58E68B8722A339177</vt:lpwstr>
  </property>
  <property fmtid="{D5CDD505-2E9C-101B-9397-08002B2CF9AE}" pid="4" name="KSOTemplateDocerSaveRecord">
    <vt:lpwstr>eyJoZGlkIjoiYjI3ZDJkMmNlYjY4NGYzMGFmNzM3Y2FhNWM3Zjc0Y2IiLCJ1c2VySWQiOiIxMDY5MjgzMDcxIn0=</vt:lpwstr>
  </property>
</Properties>
</file>