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46F79B">
      <w:pPr>
        <w:spacing w:line="540" w:lineRule="exact"/>
        <w:jc w:val="center"/>
        <w:rPr>
          <w:rFonts w:ascii="黑体" w:hAnsi="黑体" w:eastAsia="黑体" w:cs="黑体"/>
          <w:bCs/>
          <w:w w:val="90"/>
          <w:sz w:val="36"/>
          <w:szCs w:val="36"/>
        </w:rPr>
      </w:pPr>
      <w:r>
        <w:rPr>
          <w:rFonts w:hint="eastAsia" w:ascii="黑体" w:hAnsi="黑体" w:eastAsia="黑体" w:cs="黑体"/>
          <w:bCs/>
          <w:w w:val="90"/>
          <w:sz w:val="36"/>
          <w:szCs w:val="36"/>
        </w:rPr>
        <w:t>农田福寿螺“三全</w:t>
      </w:r>
      <w:r>
        <w:rPr>
          <w:rFonts w:ascii="黑体" w:hAnsi="黑体" w:eastAsia="黑体" w:cs="黑体"/>
          <w:bCs/>
          <w:w w:val="90"/>
          <w:sz w:val="36"/>
          <w:szCs w:val="36"/>
        </w:rPr>
        <w:t>”</w:t>
      </w:r>
      <w:r>
        <w:rPr>
          <w:rFonts w:hint="eastAsia" w:ascii="黑体" w:hAnsi="黑体" w:eastAsia="黑体" w:cs="黑体"/>
          <w:bCs/>
          <w:w w:val="90"/>
          <w:sz w:val="36"/>
          <w:szCs w:val="36"/>
        </w:rPr>
        <w:t>综合防控应用技术和装备</w:t>
      </w:r>
    </w:p>
    <w:p w14:paraId="46525C84">
      <w:pPr>
        <w:spacing w:line="540" w:lineRule="exact"/>
        <w:ind w:firstLine="560" w:firstLineChars="200"/>
        <w:jc w:val="center"/>
        <w:rPr>
          <w:rFonts w:hint="eastAsia" w:ascii="仿宋_GB2312" w:hAnsi="华文中宋" w:eastAsia="仿宋_GB2312"/>
          <w:b/>
          <w:sz w:val="28"/>
          <w:szCs w:val="28"/>
        </w:rPr>
      </w:pPr>
      <w:r>
        <w:rPr>
          <w:rFonts w:hint="eastAsia" w:ascii="仿宋_GB2312" w:hAnsi="Calibri" w:eastAsia="仿宋_GB2312"/>
          <w:sz w:val="28"/>
          <w:szCs w:val="28"/>
          <w:lang w:val="en-US" w:eastAsia="zh-CN"/>
        </w:rPr>
        <w:t>衡山</w:t>
      </w:r>
      <w:r>
        <w:rPr>
          <w:rFonts w:hint="eastAsia" w:ascii="仿宋_GB2312" w:hAnsi="Calibri" w:eastAsia="仿宋_GB2312"/>
          <w:sz w:val="28"/>
          <w:szCs w:val="28"/>
        </w:rPr>
        <w:t>县农业农村局</w:t>
      </w:r>
      <w:bookmarkStart w:id="3" w:name="_GoBack"/>
      <w:bookmarkEnd w:id="3"/>
      <w:r>
        <w:rPr>
          <w:rFonts w:hint="eastAsia" w:ascii="仿宋_GB2312" w:hAnsi="Calibri" w:eastAsia="仿宋_GB2312"/>
          <w:sz w:val="28"/>
          <w:szCs w:val="28"/>
        </w:rPr>
        <w:t>(202</w:t>
      </w:r>
      <w:r>
        <w:rPr>
          <w:rFonts w:hint="eastAsia" w:ascii="仿宋_GB2312" w:hAnsi="Calibri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hAnsi="Calibri" w:eastAsia="仿宋_GB2312"/>
          <w:sz w:val="28"/>
          <w:szCs w:val="28"/>
        </w:rPr>
        <w:t>年3月)</w:t>
      </w:r>
    </w:p>
    <w:p w14:paraId="2D45DE32">
      <w:pPr>
        <w:spacing w:line="54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76778DB6">
      <w:pPr>
        <w:spacing w:line="540" w:lineRule="exact"/>
        <w:ind w:firstLine="560" w:firstLineChars="20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一、技术概述</w:t>
      </w:r>
    </w:p>
    <w:p w14:paraId="7DD3BA43">
      <w:pPr>
        <w:spacing w:line="540" w:lineRule="exact"/>
        <w:ind w:firstLine="562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hAnsi="楷体" w:eastAsia="仿宋_GB2312"/>
          <w:b/>
          <w:bCs/>
          <w:sz w:val="28"/>
          <w:szCs w:val="28"/>
        </w:rPr>
        <w:t>（一）技术基本情况</w:t>
      </w:r>
      <w:bookmarkStart w:id="0" w:name="_Hlk133595149"/>
    </w:p>
    <w:p w14:paraId="477CC888">
      <w:pPr>
        <w:spacing w:line="540" w:lineRule="exact"/>
        <w:ind w:firstLine="56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hAnsi="仿宋" w:eastAsia="仿宋_GB2312"/>
          <w:sz w:val="28"/>
          <w:szCs w:val="28"/>
        </w:rPr>
        <w:t>2021年，农业农村部等五部委联合印发的《进一步加强外来物种入侵防控工作方案》中，提到“推进水葫芦、福寿螺、鳄雀鳝等水生外来入侵物种综合治理”。习近平总书记在主持中央政治局第三十三次集体学习时强调，对已经传入并造成严重危害的外来入侵物种，要摸清底数，“一种一策”精准治理，有效灭除。二十大报告也明确指出“加强生物安全管理，防治外来物种侵害。”福寿螺（</w:t>
      </w:r>
      <w:r>
        <w:rPr>
          <w:rFonts w:hint="eastAsia" w:ascii="仿宋_GB2312" w:hAnsi="仿宋" w:eastAsia="仿宋_GB2312"/>
          <w:i/>
          <w:iCs/>
          <w:sz w:val="28"/>
          <w:szCs w:val="28"/>
        </w:rPr>
        <w:t>Pomacea canaliculata</w:t>
      </w:r>
      <w:r>
        <w:rPr>
          <w:rFonts w:hint="eastAsia" w:ascii="仿宋_GB2312" w:hAnsi="仿宋" w:eastAsia="仿宋_GB2312"/>
          <w:sz w:val="28"/>
          <w:szCs w:val="28"/>
        </w:rPr>
        <w:t>）是中腹足目瓶螺科、瓶螺属的软体动物，原产自南美洲淡水湿地，上世纪80年代初出于商业目的，从阿根廷引入中国。福寿螺在野外没有天敌，环境适应能力强，繁殖快，食量大且食物种类繁多，可危害水稻、茭白、菱角、空心菜等水生植物以及水域附近的旱生植物，其中以水稻受害最重，福寿螺可造成水稻缺株少苗，产量大幅减少，严重时甚至可导致绝收。</w:t>
      </w:r>
      <w:r>
        <w:rPr>
          <w:rFonts w:hint="eastAsia" w:ascii="仿宋_GB2312" w:eastAsia="仿宋_GB2312"/>
          <w:sz w:val="28"/>
          <w:szCs w:val="28"/>
        </w:rPr>
        <w:t>目前已有物理防控、化学防控、生物防控等多种福寿螺防控方法，但每种方法都有不足与缺陷。同时，每种防控方法只针对福寿螺的特定生活史阶段，短期内有效但长久的防控效果难以保障。湖南省农业农村厅组织湖南农业大学福寿螺防控专家团队，通过研究福寿螺的生活史，将各阶段的防控方法进行集成和优化，提出“全周期管理、全链条压实、全方位推进”的福寿螺“三全”综合防控技术和装备</w:t>
      </w:r>
      <w:r>
        <w:rPr>
          <w:rFonts w:hint="eastAsia" w:ascii="仿宋_GB2312" w:hAnsi="仿宋" w:eastAsia="仿宋_GB2312"/>
          <w:sz w:val="28"/>
          <w:szCs w:val="28"/>
        </w:rPr>
        <w:t>。在2023年6月5日的“全国外来入侵物种防控现场会”上，湖南农业大学福寿螺防控团队对该技术进行了推介，对研制的具备自动清理功能的福寿螺拦截装备进行了现场演示，相关成果得到了农业农村部和湖南省农业农村厅的高度肯定，团队提出的福寿螺“三全”综合防控技术和研发的拦截装备在CCTV13新闻频道直播介绍。</w:t>
      </w:r>
      <w:bookmarkEnd w:id="0"/>
    </w:p>
    <w:p w14:paraId="7A4905FA">
      <w:pPr>
        <w:spacing w:line="540" w:lineRule="exact"/>
        <w:ind w:firstLine="562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hAnsi="楷体" w:eastAsia="仿宋_GB2312"/>
          <w:b/>
          <w:bCs/>
          <w:sz w:val="28"/>
          <w:szCs w:val="28"/>
        </w:rPr>
        <w:t>（二）技术示范推广情况</w:t>
      </w:r>
    </w:p>
    <w:p w14:paraId="119834D5">
      <w:pPr>
        <w:spacing w:line="540" w:lineRule="exact"/>
        <w:ind w:firstLine="56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28"/>
          <w:szCs w:val="28"/>
        </w:rPr>
        <w:t>2021年以来该技术和装备在湖南省的长沙县、浏阳市、岳阳县、湘潭县等多个区县进行了推广示范，累计推广示范面积超过3万亩，取得较好的防控效果。</w:t>
      </w:r>
    </w:p>
    <w:p w14:paraId="504D0817">
      <w:pPr>
        <w:spacing w:line="540" w:lineRule="exact"/>
        <w:ind w:firstLine="562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hAnsi="楷体" w:eastAsia="仿宋_GB2312"/>
          <w:b/>
          <w:bCs/>
          <w:sz w:val="28"/>
          <w:szCs w:val="28"/>
        </w:rPr>
        <w:t>（三）提质增效情况</w:t>
      </w:r>
    </w:p>
    <w:p w14:paraId="7274A194">
      <w:pPr>
        <w:spacing w:line="540" w:lineRule="exact"/>
        <w:ind w:firstLine="56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hAnsi="仿宋" w:eastAsia="仿宋_GB2312"/>
          <w:sz w:val="28"/>
          <w:szCs w:val="28"/>
        </w:rPr>
        <w:t>实施区域内的福寿螺发生密度平均由防控前的约800只/亩（成螺）降低至低于100只/亩；防控费用由40元/亩降低至5-10元/亩；化学药剂由1-2包/亩降至基本不施用化学药剂。实施后水稻质量和产量都有了进一步提高，基本实现了对福寿螺的高效、低耗、绿色防控，取得了较好的经济、社会和生态效益。</w:t>
      </w:r>
    </w:p>
    <w:p w14:paraId="1390688B">
      <w:pPr>
        <w:spacing w:line="540" w:lineRule="exact"/>
        <w:ind w:firstLine="562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hAnsi="楷体" w:eastAsia="仿宋_GB2312"/>
          <w:b/>
          <w:bCs/>
          <w:sz w:val="28"/>
          <w:szCs w:val="28"/>
        </w:rPr>
        <w:t>（四）技术获奖情况</w:t>
      </w:r>
    </w:p>
    <w:p w14:paraId="7EDC8D39">
      <w:pPr>
        <w:spacing w:line="540" w:lineRule="exact"/>
        <w:ind w:firstLine="56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28"/>
          <w:szCs w:val="28"/>
        </w:rPr>
        <w:t>该技术申请发明专利1项、技术规程地方标准1项，获湖南省第五届“雷锋杯”青年志愿服务项目大赛金奖1项。2023年12月农业农村部发来感谢信，对湖南省在福寿螺防控培训和灭除活动中做出的贡献表示衷心感谢。</w:t>
      </w:r>
    </w:p>
    <w:p w14:paraId="5033AC7C">
      <w:pPr>
        <w:spacing w:line="540" w:lineRule="exact"/>
        <w:ind w:firstLine="560" w:firstLineChars="20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二、技术要点</w:t>
      </w:r>
    </w:p>
    <w:p w14:paraId="32DA0634">
      <w:pPr>
        <w:spacing w:line="540" w:lineRule="exact"/>
        <w:ind w:firstLine="562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hAnsi="楷体" w:eastAsia="仿宋_GB2312"/>
          <w:b/>
          <w:bCs/>
          <w:sz w:val="28"/>
          <w:szCs w:val="28"/>
        </w:rPr>
        <w:t>（一）冬季防控技术</w:t>
      </w:r>
    </w:p>
    <w:p w14:paraId="1E1A4174">
      <w:pPr>
        <w:spacing w:line="540" w:lineRule="exact"/>
        <w:ind w:firstLine="562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1.越冬生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境</w:t>
      </w:r>
      <w:r>
        <w:rPr>
          <w:rFonts w:hint="eastAsia" w:ascii="仿宋_GB2312" w:eastAsia="仿宋_GB2312"/>
          <w:b/>
          <w:bCs/>
          <w:sz w:val="28"/>
          <w:szCs w:val="28"/>
        </w:rPr>
        <w:t>干扰与螺源杀灭技术。</w:t>
      </w:r>
      <w:r>
        <w:rPr>
          <w:rFonts w:hint="eastAsia" w:ascii="仿宋_GB2312" w:eastAsia="仿宋_GB2312"/>
          <w:sz w:val="28"/>
          <w:szCs w:val="28"/>
        </w:rPr>
        <w:t>在水稻收获后，将鸭群赶入稻田，轮番放养取食福寿螺，以减少稻田中越冬螺的数量；兴修水利、整治河道、排水清淤、修整田埂、清除杂草，以破坏福寿螺的越冬场所，降低其越冬存活率，进而减少来年福寿螺的暴发量。</w:t>
      </w:r>
    </w:p>
    <w:p w14:paraId="66730106">
      <w:pPr>
        <w:spacing w:line="540" w:lineRule="exact"/>
        <w:ind w:firstLine="562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2.水旱轮作技术。</w:t>
      </w:r>
      <w:r>
        <w:rPr>
          <w:rFonts w:hint="eastAsia" w:ascii="仿宋_GB2312" w:eastAsia="仿宋_GB2312"/>
          <w:sz w:val="28"/>
          <w:szCs w:val="28"/>
        </w:rPr>
        <w:t>水旱轮作是指在同一田块上，按季节有序地交替种植水稻和旱地作物的一种种植模式，一般采用冬季种油菜，夏季种水稻。福寿螺在旱作期会因农田缺水，导致无合适生存环境，从而降低种群基数。</w:t>
      </w:r>
    </w:p>
    <w:p w14:paraId="3412635C">
      <w:pPr>
        <w:spacing w:line="540" w:lineRule="exact"/>
        <w:ind w:firstLine="562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hAnsi="楷体" w:eastAsia="仿宋_GB2312"/>
          <w:b/>
          <w:bCs/>
          <w:sz w:val="28"/>
          <w:szCs w:val="28"/>
        </w:rPr>
        <w:t>（二）春季防控技术</w:t>
      </w:r>
    </w:p>
    <w:p w14:paraId="1D43E342">
      <w:pPr>
        <w:spacing w:line="540" w:lineRule="exact"/>
        <w:ind w:firstLine="562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1.机耕整地技术。</w:t>
      </w:r>
      <w:r>
        <w:rPr>
          <w:rFonts w:hint="eastAsia" w:ascii="仿宋_GB2312" w:eastAsia="仿宋_GB2312"/>
          <w:sz w:val="28"/>
          <w:szCs w:val="28"/>
        </w:rPr>
        <w:t>3-4月通常是福寿螺冬眠后准备出土的时期，因此，春耕整地是防除福寿螺的一个重要环节。通过使用机耕作业，降低了福寿螺种群的基数，因为在旋耕机旋耕时，高速转动的耙刀可以击碎和碾坏螺体，进而消除部分藏匿在土壤中的福寿螺。</w:t>
      </w:r>
    </w:p>
    <w:p w14:paraId="20FEFFFF">
      <w:pPr>
        <w:spacing w:line="540" w:lineRule="exact"/>
        <w:ind w:firstLine="562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2.肥药一体化防控技术。</w:t>
      </w:r>
      <w:r>
        <w:rPr>
          <w:rFonts w:hint="eastAsia" w:ascii="仿宋_GB2312" w:eastAsia="仿宋_GB2312"/>
          <w:sz w:val="28"/>
          <w:szCs w:val="28"/>
        </w:rPr>
        <w:t>“肥药一体化”可将农药的药效和肥料的肥效统一起来，进而降低劳力成本和生产成本。碳酸氢铵在水稻种植上常作基肥使用，稻田移栽前施碳酸氢铵具有既施肥又杀螺的双重效果。</w:t>
      </w:r>
    </w:p>
    <w:p w14:paraId="578FCCF5">
      <w:pPr>
        <w:spacing w:line="540" w:lineRule="exact"/>
        <w:ind w:firstLine="562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3.灌溉阻断技术及拦截装备。</w:t>
      </w:r>
      <w:r>
        <w:rPr>
          <w:rFonts w:hint="eastAsia" w:ascii="仿宋_GB2312" w:eastAsia="仿宋_GB2312"/>
          <w:sz w:val="28"/>
          <w:szCs w:val="28"/>
        </w:rPr>
        <w:t>在灌溉水渠的入口和稻田进水口、出水口分别安装拦截设备，通过多重拦截阻止福寿螺随水进入农田。本项目中的拦截设备由水流带动叶轮旋转产生机械能，从而驱动拦截网上的刮片自动清理树叶、泥块等杂物，防止堵塞网孔，减少了人工维护成本，确保灌溉顺畅。目前该装置已更新至第7代，经过多轮田间测试和优化改进，拦截高效，运行平稳，具备推广应用条件。</w:t>
      </w:r>
    </w:p>
    <w:p w14:paraId="64DFD793">
      <w:pPr>
        <w:spacing w:line="540" w:lineRule="exact"/>
        <w:ind w:firstLine="562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hAnsi="楷体" w:eastAsia="仿宋_GB2312"/>
          <w:b/>
          <w:bCs/>
          <w:sz w:val="28"/>
          <w:szCs w:val="28"/>
        </w:rPr>
        <w:t>（三）夏季、秋季防控技术</w:t>
      </w:r>
    </w:p>
    <w:p w14:paraId="563B4F24">
      <w:pPr>
        <w:spacing w:line="540" w:lineRule="exact"/>
        <w:ind w:firstLine="562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1</w:t>
      </w:r>
      <w:bookmarkStart w:id="1" w:name="_Hlk134647042"/>
      <w:bookmarkStart w:id="2" w:name="_Hlk134646741"/>
      <w:r>
        <w:rPr>
          <w:rFonts w:hint="eastAsia" w:ascii="仿宋_GB2312" w:eastAsia="仿宋_GB2312"/>
          <w:b/>
          <w:bCs/>
          <w:sz w:val="28"/>
          <w:szCs w:val="28"/>
        </w:rPr>
        <w:t>.人工控螺技术。</w:t>
      </w:r>
      <w:r>
        <w:rPr>
          <w:rFonts w:hint="eastAsia" w:ascii="仿宋_GB2312" w:eastAsia="仿宋_GB2312"/>
          <w:sz w:val="28"/>
          <w:szCs w:val="28"/>
        </w:rPr>
        <w:t>对沟渠和农田进行人工捕螺摘卵或结合农事操作捡拾成螺、卵块，集中销毁。</w:t>
      </w:r>
      <w:bookmarkEnd w:id="1"/>
      <w:bookmarkEnd w:id="2"/>
    </w:p>
    <w:p w14:paraId="13535757">
      <w:pPr>
        <w:spacing w:line="540" w:lineRule="exact"/>
        <w:ind w:firstLine="562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2.控灌晒田技术。</w:t>
      </w:r>
      <w:r>
        <w:rPr>
          <w:rFonts w:hint="eastAsia" w:ascii="仿宋_GB2312" w:eastAsia="仿宋_GB2312"/>
          <w:sz w:val="28"/>
          <w:szCs w:val="28"/>
        </w:rPr>
        <w:t>福寿螺属于水生、湿生动物，水位条件对其取食、交配与产卵等活动行为具有明显影响，因此，可以结合农事操作进行控灌晒田抑制福寿螺种群的增长。</w:t>
      </w:r>
    </w:p>
    <w:p w14:paraId="58730291">
      <w:pPr>
        <w:spacing w:line="540" w:lineRule="exact"/>
        <w:ind w:firstLine="562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3.养鸭控螺技术。</w:t>
      </w:r>
      <w:r>
        <w:rPr>
          <w:rFonts w:hint="eastAsia" w:ascii="仿宋_GB2312" w:eastAsia="仿宋_GB2312"/>
          <w:sz w:val="28"/>
          <w:szCs w:val="28"/>
        </w:rPr>
        <w:t>管理鸭子在福寿螺发生区取食，根据鸭子大小在水稻插秧后7-20天开始放入稻田（小鸭提前、大鸭推后），每667</w:t>
      </w:r>
      <w:r>
        <w:rPr>
          <w:rFonts w:hint="eastAsia" w:ascii="仿宋_GB2312" w:hAnsi="Segoe UI Symbol" w:eastAsia="仿宋_GB2312" w:cs="Segoe UI Symbol"/>
          <w:sz w:val="28"/>
          <w:szCs w:val="28"/>
        </w:rPr>
        <w:t>㎡</w:t>
      </w:r>
      <w:r>
        <w:rPr>
          <w:rFonts w:hint="eastAsia" w:ascii="仿宋_GB2312" w:hAnsi="仿宋_GB2312" w:eastAsia="仿宋_GB2312" w:cs="仿宋_GB2312"/>
          <w:sz w:val="28"/>
          <w:szCs w:val="28"/>
        </w:rPr>
        <w:t>分摊量控制在</w:t>
      </w:r>
      <w:r>
        <w:rPr>
          <w:rFonts w:hint="eastAsia" w:ascii="仿宋_GB2312" w:eastAsia="仿宋_GB2312"/>
          <w:sz w:val="28"/>
          <w:szCs w:val="28"/>
        </w:rPr>
        <w:t>10-20只。水稻成熟前要及时收回田中成鸭，防止鸭采食快成熟的稻谷，造成水稻减产。</w:t>
      </w:r>
    </w:p>
    <w:p w14:paraId="42626707">
      <w:pPr>
        <w:spacing w:line="540" w:lineRule="exact"/>
        <w:ind w:firstLine="562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4.资源化利用技术。</w:t>
      </w:r>
      <w:r>
        <w:rPr>
          <w:rFonts w:hint="eastAsia" w:ascii="仿宋_GB2312" w:eastAsia="仿宋_GB2312"/>
          <w:sz w:val="28"/>
          <w:szCs w:val="28"/>
        </w:rPr>
        <w:t>集中收购农户捡拾到的福寿螺，将福寿螺螺肉制成干粉，做成水产和畜禽饲料，通过“以用促控”，实现“变废为宝”。</w:t>
      </w:r>
    </w:p>
    <w:p w14:paraId="1F1DA455">
      <w:pPr>
        <w:spacing w:line="540" w:lineRule="exact"/>
        <w:ind w:firstLine="562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5.药剂防控技术。</w:t>
      </w:r>
      <w:r>
        <w:rPr>
          <w:rFonts w:hint="eastAsia" w:ascii="仿宋_GB2312" w:eastAsia="仿宋_GB2312"/>
          <w:sz w:val="28"/>
          <w:szCs w:val="28"/>
        </w:rPr>
        <w:t>对多款杀螺药剂进行比较，筛选出32%烟酰苯胺硫酸盐药剂。通过在湖南汉寿、华容、君山等地进行实地测试，证实该药剂具有杀螺效率高，特异性强，对鱼虾等水生生物友好的特点。该药剂可广泛应用于稻田周边的水域，降低福寿螺基数。</w:t>
      </w:r>
    </w:p>
    <w:p w14:paraId="2B6B8CD3">
      <w:pPr>
        <w:spacing w:line="540" w:lineRule="exact"/>
        <w:ind w:firstLine="560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三、适宜区域</w:t>
      </w:r>
    </w:p>
    <w:p w14:paraId="59C7D577">
      <w:pPr>
        <w:spacing w:line="540" w:lineRule="exact"/>
        <w:ind w:firstLine="560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本技术适宜在高标准农田以及水文地质条件较简单、集中连片且完成了田埂硬化的农田进行推广应用。</w:t>
      </w:r>
    </w:p>
    <w:p w14:paraId="0F25D20B">
      <w:pPr>
        <w:spacing w:line="540" w:lineRule="exact"/>
        <w:ind w:firstLine="560" w:firstLineChars="200"/>
        <w:rPr>
          <w:rFonts w:hint="eastAsia" w:ascii="仿宋_GB2312" w:hAnsi="楷体" w:eastAsia="仿宋_GB2312"/>
          <w:b/>
          <w:bCs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四、注意事项</w:t>
      </w:r>
    </w:p>
    <w:p w14:paraId="5FAE3B0D">
      <w:pPr>
        <w:spacing w:line="54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1.根据实际情况，灵活选用综合防控技术中的几种或多种技术对福寿螺进行防控。</w:t>
      </w:r>
    </w:p>
    <w:p w14:paraId="1587C272">
      <w:pPr>
        <w:spacing w:line="54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2.建议高标准农田建设时安装上本技术中的拦截装备，以便更好的发挥拦截福寿螺的功效。</w:t>
      </w:r>
    </w:p>
    <w:p w14:paraId="2C85C656">
      <w:pPr>
        <w:spacing w:line="54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3.福寿螺防控不是一朝一夕、一蹴而就，应坚持持续发力、久久为功。</w:t>
      </w:r>
    </w:p>
    <w:p w14:paraId="552CCCC5">
      <w:pPr>
        <w:spacing w:line="540" w:lineRule="exact"/>
        <w:ind w:firstLine="560" w:firstLineChars="20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五、技术依托单位</w:t>
      </w:r>
    </w:p>
    <w:p w14:paraId="7EAD2BE1">
      <w:pPr>
        <w:spacing w:line="540" w:lineRule="exact"/>
        <w:ind w:firstLine="562" w:firstLineChars="20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湖南农业大学</w:t>
      </w:r>
    </w:p>
    <w:p w14:paraId="46BC2ECF">
      <w:pPr>
        <w:spacing w:line="54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联系地址：湖南省长沙市芙蓉区农大路1号</w:t>
      </w:r>
    </w:p>
    <w:p w14:paraId="36C28C0B">
      <w:pPr>
        <w:spacing w:line="54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邮政编码：410128</w:t>
      </w:r>
    </w:p>
    <w:p w14:paraId="6B168E5B">
      <w:pPr>
        <w:spacing w:line="540" w:lineRule="exact"/>
        <w:ind w:firstLine="560" w:firstLineChars="200"/>
        <w:jc w:val="left"/>
        <w:rPr>
          <w:rFonts w:hint="eastAsia" w:ascii="仿宋_GB2312" w:eastAsia="仿宋_GB2312"/>
          <w:w w:val="120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联 系 人</w:t>
      </w:r>
      <w:r>
        <w:rPr>
          <w:rFonts w:hint="eastAsia" w:ascii="仿宋_GB2312" w:eastAsia="仿宋_GB2312"/>
          <w:w w:val="120"/>
          <w:sz w:val="28"/>
          <w:szCs w:val="28"/>
        </w:rPr>
        <w:t>：</w:t>
      </w:r>
      <w:r>
        <w:rPr>
          <w:rFonts w:hint="eastAsia" w:ascii="仿宋_GB2312" w:eastAsia="仿宋_GB2312"/>
          <w:sz w:val="28"/>
          <w:szCs w:val="28"/>
        </w:rPr>
        <w:t>杨华、刘靖</w:t>
      </w:r>
    </w:p>
    <w:p w14:paraId="5404E6B9">
      <w:pPr>
        <w:spacing w:line="54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联系电话：13548656743、13787202469</w:t>
      </w:r>
    </w:p>
    <w:p w14:paraId="6F706758">
      <w:pPr>
        <w:spacing w:line="54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电子邮箱：</w:t>
      </w:r>
      <w:r>
        <w:fldChar w:fldCharType="begin"/>
      </w:r>
      <w:r>
        <w:instrText xml:space="preserve"> HYPERLINK "mailto:592425161@qq.com" </w:instrText>
      </w:r>
      <w:r>
        <w:fldChar w:fldCharType="separate"/>
      </w:r>
      <w:r>
        <w:rPr>
          <w:rFonts w:hint="eastAsia" w:ascii="仿宋_GB2312" w:eastAsia="仿宋_GB2312"/>
          <w:sz w:val="28"/>
          <w:szCs w:val="28"/>
        </w:rPr>
        <w:t>592425161@qq.com</w:t>
      </w:r>
      <w:r>
        <w:rPr>
          <w:rFonts w:hint="eastAsia" w:ascii="仿宋_GB2312" w:eastAsia="仿宋_GB2312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、287057538@qq.com</w:t>
      </w:r>
    </w:p>
    <w:p w14:paraId="4DC112D2">
      <w:pPr>
        <w:ind w:firstLine="562" w:firstLineChars="200"/>
        <w:rPr>
          <w:rFonts w:ascii="仿宋_GB2312" w:eastAsia="仿宋_GB2312"/>
          <w:b/>
          <w:bCs/>
          <w:sz w:val="28"/>
          <w:szCs w:val="28"/>
        </w:rPr>
      </w:pPr>
    </w:p>
    <w:p w14:paraId="4AEFD5B6">
      <w:pPr>
        <w:ind w:firstLine="562" w:firstLineChars="200"/>
        <w:rPr>
          <w:rFonts w:ascii="仿宋_GB2312" w:eastAsia="仿宋_GB2312"/>
          <w:b/>
          <w:bCs/>
          <w:sz w:val="28"/>
          <w:szCs w:val="28"/>
        </w:rPr>
      </w:pPr>
    </w:p>
    <w:p w14:paraId="4E2DC65A">
      <w:pPr>
        <w:pStyle w:val="7"/>
        <w:ind w:firstLine="643"/>
        <w:jc w:val="left"/>
        <w:rPr>
          <w:rFonts w:ascii="宋体" w:hAnsi="宋体" w:eastAsia="宋体"/>
          <w:b/>
          <w:bCs/>
          <w:sz w:val="32"/>
          <w:szCs w:val="32"/>
          <w:shd w:val="clear" w:color="auto" w:fill="FFFFFF"/>
        </w:rPr>
      </w:pPr>
      <w:r>
        <w:rPr>
          <w:rFonts w:ascii="宋体" w:hAnsi="宋体" w:eastAsia="宋体"/>
          <w:b/>
          <w:bCs/>
          <w:sz w:val="32"/>
          <w:szCs w:val="32"/>
          <w:shd w:val="clear" w:color="auto" w:fill="FFFFFF"/>
        </w:rPr>
        <w:t>相关图片展示：</w:t>
      </w: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E12E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9" w:hRule="atLeast"/>
        </w:trPr>
        <w:tc>
          <w:tcPr>
            <w:tcW w:w="4261" w:type="dxa"/>
          </w:tcPr>
          <w:p w14:paraId="6C3D0395"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2566670" cy="2275840"/>
                  <wp:effectExtent l="0" t="0" r="5080" b="1016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832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7B1DDAF7"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2567940" cy="2313940"/>
                  <wp:effectExtent l="0" t="0" r="3810" b="10160"/>
                  <wp:docPr id="1853059459" name="图片 1853059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059459" name="图片 185305945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281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D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462DCCB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  <w:t>机耕整地技术</w:t>
            </w:r>
          </w:p>
        </w:tc>
        <w:tc>
          <w:tcPr>
            <w:tcW w:w="4261" w:type="dxa"/>
          </w:tcPr>
          <w:p w14:paraId="7836FB33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  <w:t>肥药一体化防控技术</w:t>
            </w:r>
          </w:p>
        </w:tc>
      </w:tr>
      <w:tr w14:paraId="0147B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4" w:hRule="atLeast"/>
        </w:trPr>
        <w:tc>
          <w:tcPr>
            <w:tcW w:w="4261" w:type="dxa"/>
          </w:tcPr>
          <w:p w14:paraId="2D270FFD"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2567940" cy="2051685"/>
                  <wp:effectExtent l="0" t="0" r="3810" b="5715"/>
                  <wp:docPr id="895198410" name="图片 895198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198410" name="图片 895198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309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27C56930"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2567305" cy="2056765"/>
                  <wp:effectExtent l="0" t="0" r="4445" b="635"/>
                  <wp:docPr id="1364718961" name="图片 1364718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718961" name="图片 1364718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85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008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1F3A5CA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  <w:t>越冬生境干扰技术</w:t>
            </w:r>
          </w:p>
        </w:tc>
        <w:tc>
          <w:tcPr>
            <w:tcW w:w="4261" w:type="dxa"/>
          </w:tcPr>
          <w:p w14:paraId="1E96A9AC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  <w:t>养鸭控螺技术</w:t>
            </w:r>
          </w:p>
        </w:tc>
      </w:tr>
      <w:tr w14:paraId="2376C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3" w:hRule="atLeast"/>
        </w:trPr>
        <w:tc>
          <w:tcPr>
            <w:tcW w:w="4261" w:type="dxa"/>
          </w:tcPr>
          <w:p w14:paraId="12CA13C9"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2568575" cy="2419350"/>
                  <wp:effectExtent l="0" t="0" r="3175" b="0"/>
                  <wp:docPr id="7152168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216806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530" cy="242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421D372"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44450</wp:posOffset>
                  </wp:positionV>
                  <wp:extent cx="2568575" cy="2476500"/>
                  <wp:effectExtent l="0" t="0" r="3175" b="0"/>
                  <wp:wrapNone/>
                  <wp:docPr id="19290318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03185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289" cy="248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5FC2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8522" w:type="dxa"/>
            <w:gridSpan w:val="2"/>
          </w:tcPr>
          <w:p w14:paraId="5EDD36CF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  <w:t>灌溉阻拦技术</w:t>
            </w:r>
          </w:p>
        </w:tc>
      </w:tr>
      <w:tr w14:paraId="61DD3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6" w:hRule="atLeast"/>
        </w:trPr>
        <w:tc>
          <w:tcPr>
            <w:tcW w:w="4261" w:type="dxa"/>
          </w:tcPr>
          <w:p w14:paraId="07987284"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2560320" cy="2487930"/>
                  <wp:effectExtent l="0" t="0" r="11430" b="7620"/>
                  <wp:docPr id="7" name="图片 7" descr="微信图片_20230721082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3072108294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t="8913" b="14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48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78E1D1D2"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2565400" cy="2495550"/>
                  <wp:effectExtent l="0" t="0" r="6350" b="0"/>
                  <wp:docPr id="10" name="图片 10" descr="微信图片_2023072108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307210830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AE5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6B309056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  <w:t>拦截装置正面</w:t>
            </w:r>
          </w:p>
        </w:tc>
        <w:tc>
          <w:tcPr>
            <w:tcW w:w="4261" w:type="dxa"/>
          </w:tcPr>
          <w:p w14:paraId="0043CF7B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  <w:t>拦截装置透视图</w:t>
            </w:r>
          </w:p>
        </w:tc>
      </w:tr>
      <w:tr w14:paraId="6366C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3" w:hRule="atLeast"/>
        </w:trPr>
        <w:tc>
          <w:tcPr>
            <w:tcW w:w="4261" w:type="dxa"/>
          </w:tcPr>
          <w:p w14:paraId="77334233"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2567305" cy="4625340"/>
                  <wp:effectExtent l="0" t="0" r="4445" b="3810"/>
                  <wp:docPr id="9" name="图片 9" descr="微信图片_2023072108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3072108300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462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571877E">
            <w:pP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2550160" cy="4613275"/>
                  <wp:effectExtent l="0" t="0" r="2540" b="15875"/>
                  <wp:docPr id="8" name="图片 8" descr="微信图片_2023072108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3072108295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461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EC7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8522" w:type="dxa"/>
            <w:gridSpan w:val="2"/>
          </w:tcPr>
          <w:p w14:paraId="5701E39A">
            <w:pPr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  <w:t>灌溉阻拦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  <w:t>装备</w:t>
            </w:r>
          </w:p>
        </w:tc>
      </w:tr>
      <w:tr w14:paraId="253C0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8522" w:type="dxa"/>
            <w:gridSpan w:val="2"/>
          </w:tcPr>
          <w:p w14:paraId="3FC2DD38"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5274310" cy="2743200"/>
                  <wp:effectExtent l="0" t="0" r="2540" b="0"/>
                  <wp:docPr id="15102369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23690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6BC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8522" w:type="dxa"/>
            <w:gridSpan w:val="2"/>
          </w:tcPr>
          <w:p w14:paraId="53713426"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5274310" cy="2733675"/>
                  <wp:effectExtent l="0" t="0" r="2540" b="9525"/>
                  <wp:docPr id="14036172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6172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381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8522" w:type="dxa"/>
            <w:gridSpan w:val="2"/>
          </w:tcPr>
          <w:p w14:paraId="6FF17B6A"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5274310" cy="2743200"/>
                  <wp:effectExtent l="0" t="0" r="2540" b="0"/>
                  <wp:docPr id="6653398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3398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B21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8522" w:type="dxa"/>
            <w:gridSpan w:val="2"/>
          </w:tcPr>
          <w:p w14:paraId="59D38478"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  <w:t>灌溉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  <w:t>阻拦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8"/>
                <w:szCs w:val="28"/>
              </w:rPr>
              <w:t>示意图</w:t>
            </w:r>
          </w:p>
        </w:tc>
      </w:tr>
    </w:tbl>
    <w:p w14:paraId="6BC4C897">
      <w:pPr>
        <w:spacing w:line="20" w:lineRule="exact"/>
        <w:rPr>
          <w:rFonts w:ascii="仿宋_GB2312" w:eastAsia="仿宋_GB2312"/>
          <w:b/>
          <w:bCs/>
          <w:sz w:val="28"/>
          <w:szCs w:val="28"/>
        </w:rPr>
      </w:pPr>
    </w:p>
    <w:p w14:paraId="1107F150">
      <w:pPr>
        <w:spacing w:line="20" w:lineRule="exact"/>
        <w:rPr>
          <w:rFonts w:ascii="仿宋_GB2312" w:eastAsia="仿宋_GB2312"/>
          <w:b/>
          <w:bCs/>
          <w:sz w:val="28"/>
          <w:szCs w:val="28"/>
        </w:rPr>
      </w:pPr>
    </w:p>
    <w:p w14:paraId="54BCBE2B">
      <w:pPr>
        <w:spacing w:line="20" w:lineRule="exact"/>
        <w:rPr>
          <w:rFonts w:ascii="仿宋_GB2312" w:eastAsia="仿宋_GB2312"/>
          <w:b/>
          <w:bCs/>
          <w:sz w:val="28"/>
          <w:szCs w:val="28"/>
        </w:rPr>
      </w:pPr>
    </w:p>
    <w:sectPr>
      <w:footerReference r:id="rId3" w:type="default"/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97081059"/>
      <w:docPartObj>
        <w:docPartGallery w:val="autotext"/>
      </w:docPartObj>
    </w:sdtPr>
    <w:sdtContent>
      <w:p w14:paraId="38F48F17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 w14:paraId="72C7E49D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67DE9"/>
    <w:rsid w:val="00034B62"/>
    <w:rsid w:val="00062336"/>
    <w:rsid w:val="0008538F"/>
    <w:rsid w:val="000A5C44"/>
    <w:rsid w:val="000C34F4"/>
    <w:rsid w:val="00177765"/>
    <w:rsid w:val="0018447A"/>
    <w:rsid w:val="001A0E23"/>
    <w:rsid w:val="001B3A00"/>
    <w:rsid w:val="002528BA"/>
    <w:rsid w:val="00290218"/>
    <w:rsid w:val="002C74FE"/>
    <w:rsid w:val="002E4386"/>
    <w:rsid w:val="0033430B"/>
    <w:rsid w:val="00336971"/>
    <w:rsid w:val="003A7D1B"/>
    <w:rsid w:val="00407D29"/>
    <w:rsid w:val="00415036"/>
    <w:rsid w:val="004337F8"/>
    <w:rsid w:val="00467DE9"/>
    <w:rsid w:val="004F2F5A"/>
    <w:rsid w:val="00544A27"/>
    <w:rsid w:val="005609BF"/>
    <w:rsid w:val="00562E94"/>
    <w:rsid w:val="005B19C9"/>
    <w:rsid w:val="00636599"/>
    <w:rsid w:val="0069578B"/>
    <w:rsid w:val="006B5545"/>
    <w:rsid w:val="0079509E"/>
    <w:rsid w:val="007C1000"/>
    <w:rsid w:val="007E78CC"/>
    <w:rsid w:val="00805AB1"/>
    <w:rsid w:val="008472C1"/>
    <w:rsid w:val="009B6727"/>
    <w:rsid w:val="009D14B2"/>
    <w:rsid w:val="00A13AD9"/>
    <w:rsid w:val="00AB2FB0"/>
    <w:rsid w:val="00AF5996"/>
    <w:rsid w:val="00B01933"/>
    <w:rsid w:val="00B85D27"/>
    <w:rsid w:val="00BA1A02"/>
    <w:rsid w:val="00BA22C9"/>
    <w:rsid w:val="00C13F61"/>
    <w:rsid w:val="00CB0D6D"/>
    <w:rsid w:val="00DA5B47"/>
    <w:rsid w:val="00E37BCE"/>
    <w:rsid w:val="00E964C0"/>
    <w:rsid w:val="00EA60A1"/>
    <w:rsid w:val="00EE6AF6"/>
    <w:rsid w:val="00F136B9"/>
    <w:rsid w:val="00F8433C"/>
    <w:rsid w:val="00FB036F"/>
    <w:rsid w:val="00FB75D5"/>
    <w:rsid w:val="00FE0104"/>
    <w:rsid w:val="47637879"/>
    <w:rsid w:val="4B59607A"/>
    <w:rsid w:val="4CC0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5"/>
    <w:semiHidden/>
    <w:unhideWhenUsed/>
    <w:qFormat/>
    <w:uiPriority w:val="99"/>
    <w:pPr>
      <w:spacing w:after="120"/>
    </w:pPr>
  </w:style>
  <w:style w:type="paragraph" w:styleId="3">
    <w:name w:val="Body Text Indent"/>
    <w:basedOn w:val="1"/>
    <w:link w:val="13"/>
    <w:semiHidden/>
    <w:unhideWhenUsed/>
    <w:uiPriority w:val="99"/>
    <w:pPr>
      <w:spacing w:after="120"/>
      <w:ind w:left="420" w:leftChars="200"/>
    </w:pPr>
  </w:style>
  <w:style w:type="paragraph" w:styleId="4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 2"/>
    <w:basedOn w:val="2"/>
    <w:next w:val="1"/>
    <w:link w:val="14"/>
    <w:qFormat/>
    <w:uiPriority w:val="0"/>
    <w:pPr>
      <w:adjustRightInd w:val="0"/>
      <w:snapToGrid w:val="0"/>
      <w:spacing w:line="560" w:lineRule="exact"/>
      <w:ind w:firstLine="420" w:firstLineChars="200"/>
    </w:pPr>
    <w:rPr>
      <w:rFonts w:ascii="Times New Roman" w:hAnsi="Times New Roman" w:eastAsia="仿宋" w:cs="Times New Roman"/>
      <w:sz w:val="28"/>
      <w:szCs w:val="20"/>
    </w:rPr>
  </w:style>
  <w:style w:type="table" w:styleId="9">
    <w:name w:val="Table Grid"/>
    <w:basedOn w:val="8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unhideWhenUsed/>
    <w:qFormat/>
    <w:uiPriority w:val="99"/>
    <w:rPr>
      <w:color w:val="3D3D3D"/>
      <w:sz w:val="18"/>
      <w:szCs w:val="18"/>
      <w:u w:val="non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正文文本缩进 Char"/>
    <w:basedOn w:val="10"/>
    <w:link w:val="3"/>
    <w:semiHidden/>
    <w:qFormat/>
    <w:uiPriority w:val="99"/>
  </w:style>
  <w:style w:type="character" w:customStyle="1" w:styleId="14">
    <w:name w:val="正文首行缩进 2 Char"/>
    <w:basedOn w:val="13"/>
    <w:link w:val="7"/>
    <w:qFormat/>
    <w:uiPriority w:val="0"/>
    <w:rPr>
      <w:rFonts w:ascii="Times New Roman" w:hAnsi="Times New Roman" w:eastAsia="仿宋" w:cs="Times New Roman"/>
      <w:sz w:val="28"/>
      <w:szCs w:val="20"/>
    </w:rPr>
  </w:style>
  <w:style w:type="character" w:customStyle="1" w:styleId="15">
    <w:name w:val="正文文本 Char"/>
    <w:basedOn w:val="10"/>
    <w:link w:val="2"/>
    <w:semiHidden/>
    <w:uiPriority w:val="99"/>
  </w:style>
  <w:style w:type="character" w:customStyle="1" w:styleId="16">
    <w:name w:val="段 Char"/>
    <w:link w:val="17"/>
    <w:qFormat/>
    <w:uiPriority w:val="0"/>
    <w:rPr>
      <w:rFonts w:ascii="宋体"/>
    </w:rPr>
  </w:style>
  <w:style w:type="paragraph" w:customStyle="1" w:styleId="17">
    <w:name w:val="段"/>
    <w:link w:val="16"/>
    <w:qFormat/>
    <w:uiPriority w:val="0"/>
    <w:pPr>
      <w:tabs>
        <w:tab w:val="center" w:pos="4201"/>
        <w:tab w:val="right" w:leader="dot" w:pos="9298"/>
      </w:tabs>
      <w:autoSpaceDE w:val="0"/>
      <w:autoSpaceDN w:val="0"/>
      <w:spacing w:beforeLines="50" w:afterLines="50"/>
      <w:ind w:firstLine="420" w:firstLineChars="200"/>
      <w:jc w:val="both"/>
    </w:pPr>
    <w:rPr>
      <w:rFonts w:ascii="宋体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8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9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20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批注框文本 Char"/>
    <w:basedOn w:val="10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2339</Words>
  <Characters>2470</Characters>
  <Lines>18</Lines>
  <Paragraphs>5</Paragraphs>
  <TotalTime>696</TotalTime>
  <ScaleCrop>false</ScaleCrop>
  <LinksUpToDate>false</LinksUpToDate>
  <CharactersWithSpaces>2473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2024-01-02T15:01:00Z</dcterms:created>
  <dc:creator>靖 刘</dc:creator>
  <cp:lastModifiedBy>慧美传奇李南湘</cp:lastModifiedBy>
  <dcterms:modified xsi:type="dcterms:W3CDTF">2025-06-09T08:09:24Z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eyJoZGlkIjoiMWJiNDk2NWFiNTJmMTliMTBmMDE1ODVmYzlmMTExYjgiLCJ1c2VySWQiOiIzMTQzMDg5MjIifQ==</vt:lpwstr>
  </property>
  <property fmtid="{D5CDD505-2E9C-101B-9397-08002B2CF9AE}" pid="3" name="KSOProductBuildVer">
    <vt:lpwstr>2052-12.1.0.21171</vt:lpwstr>
  </property>
  <property fmtid="{D5CDD505-2E9C-101B-9397-08002B2CF9AE}" pid="4" name="ICV">
    <vt:lpwstr>21CE877F9FC0498CAE08293D687A9029_12</vt:lpwstr>
  </property>
</Properties>
</file>