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D6E8F">
      <w:pPr>
        <w:rPr>
          <w:rFonts w:hint="eastAsia" w:ascii="仿宋_GB2312" w:hAnsi="仿宋_GB2312" w:eastAsia="仿宋_GB2312" w:cs="仿宋_GB2312"/>
          <w:sz w:val="36"/>
          <w:szCs w:val="36"/>
        </w:rPr>
      </w:pPr>
    </w:p>
    <w:p w14:paraId="3E472F8D">
      <w:pPr>
        <w:rPr>
          <w:rFonts w:hint="eastAsia" w:ascii="仿宋_GB2312" w:hAnsi="仿宋_GB2312" w:eastAsia="仿宋_GB2312" w:cs="仿宋_GB2312"/>
          <w:sz w:val="36"/>
          <w:szCs w:val="36"/>
        </w:rPr>
      </w:pPr>
    </w:p>
    <w:p w14:paraId="4BF818A0">
      <w:pPr>
        <w:rPr>
          <w:rFonts w:hint="eastAsia" w:ascii="仿宋_GB2312" w:hAnsi="仿宋_GB2312" w:eastAsia="仿宋_GB2312" w:cs="仿宋_GB2312"/>
          <w:sz w:val="36"/>
          <w:szCs w:val="36"/>
        </w:rPr>
      </w:pPr>
    </w:p>
    <w:p w14:paraId="28B1BA06">
      <w:pPr>
        <w:rPr>
          <w:rFonts w:hint="eastAsia" w:ascii="仿宋_GB2312" w:hAnsi="仿宋_GB2312" w:eastAsia="仿宋_GB2312" w:cs="仿宋_GB2312"/>
          <w:sz w:val="36"/>
          <w:szCs w:val="36"/>
        </w:rPr>
      </w:pPr>
    </w:p>
    <w:p w14:paraId="453A2E81">
      <w:pPr>
        <w:adjustRightInd w:val="0"/>
        <w:snapToGrid w:val="0"/>
        <w:jc w:val="center"/>
        <w:rPr>
          <w:rFonts w:hint="eastAsia" w:ascii="宋体" w:hAnsi="宋体" w:cs="宋体"/>
          <w:bCs/>
          <w:sz w:val="72"/>
          <w:szCs w:val="72"/>
        </w:rPr>
      </w:pPr>
      <w:r>
        <w:rPr>
          <w:rFonts w:hint="eastAsia" w:ascii="宋体" w:hAnsi="宋体" w:cs="宋体"/>
          <w:bCs/>
          <w:sz w:val="72"/>
          <w:szCs w:val="72"/>
        </w:rPr>
        <w:t>建设项目环境影响报告表</w:t>
      </w:r>
    </w:p>
    <w:p w14:paraId="6416D8C9">
      <w:pPr>
        <w:adjustRightInd w:val="0"/>
        <w:snapToGrid w:val="0"/>
        <w:spacing w:before="192" w:beforeLines="80"/>
        <w:jc w:val="center"/>
        <w:rPr>
          <w:rFonts w:hint="eastAsia" w:ascii="宋体" w:hAnsi="宋体" w:cs="宋体"/>
          <w:bCs/>
          <w:sz w:val="48"/>
          <w:szCs w:val="48"/>
        </w:rPr>
      </w:pPr>
      <w:r>
        <w:rPr>
          <w:rFonts w:hint="eastAsia" w:ascii="宋体" w:hAnsi="宋体" w:cs="宋体"/>
          <w:bCs/>
          <w:sz w:val="48"/>
          <w:szCs w:val="48"/>
        </w:rPr>
        <w:t>（污染影响类）</w:t>
      </w:r>
    </w:p>
    <w:p w14:paraId="5B8793A0">
      <w:pPr>
        <w:adjustRightInd w:val="0"/>
        <w:snapToGrid w:val="0"/>
        <w:spacing w:line="288" w:lineRule="auto"/>
        <w:jc w:val="center"/>
        <w:rPr>
          <w:rFonts w:hint="eastAsia" w:ascii="宋体" w:hAnsi="宋体" w:cs="宋体"/>
          <w:color w:val="000000"/>
          <w:kern w:val="44"/>
          <w:sz w:val="44"/>
          <w:szCs w:val="44"/>
        </w:rPr>
      </w:pPr>
    </w:p>
    <w:p w14:paraId="7B373D95">
      <w:pPr>
        <w:jc w:val="center"/>
        <w:rPr>
          <w:rFonts w:hint="eastAsia" w:ascii="宋体" w:hAnsi="宋体" w:cs="宋体"/>
          <w:sz w:val="52"/>
          <w:szCs w:val="52"/>
        </w:rPr>
      </w:pPr>
    </w:p>
    <w:p w14:paraId="114282E1">
      <w:pPr>
        <w:ind w:firstLine="1040"/>
        <w:rPr>
          <w:rFonts w:hint="eastAsia" w:ascii="宋体" w:hAnsi="宋体" w:cs="宋体"/>
          <w:sz w:val="44"/>
          <w:szCs w:val="44"/>
        </w:rPr>
      </w:pPr>
    </w:p>
    <w:p w14:paraId="3FA3AE0E">
      <w:pPr>
        <w:ind w:firstLine="1040"/>
        <w:rPr>
          <w:rFonts w:hint="eastAsia" w:ascii="宋体" w:hAnsi="宋体" w:cs="宋体"/>
          <w:sz w:val="44"/>
          <w:szCs w:val="44"/>
        </w:rPr>
      </w:pPr>
    </w:p>
    <w:p w14:paraId="05593165">
      <w:pPr>
        <w:ind w:firstLine="1040"/>
        <w:rPr>
          <w:rFonts w:hint="eastAsia" w:ascii="宋体" w:hAnsi="宋体" w:cs="宋体"/>
          <w:sz w:val="44"/>
          <w:szCs w:val="44"/>
        </w:rPr>
      </w:pPr>
    </w:p>
    <w:p w14:paraId="49C8AF28">
      <w:pPr>
        <w:ind w:firstLine="1040"/>
        <w:rPr>
          <w:rFonts w:hint="eastAsia" w:ascii="宋体" w:hAnsi="宋体" w:cs="宋体"/>
          <w:sz w:val="44"/>
          <w:szCs w:val="44"/>
        </w:rPr>
      </w:pPr>
    </w:p>
    <w:p w14:paraId="64EA9724">
      <w:pPr>
        <w:adjustRightInd w:val="0"/>
        <w:snapToGrid w:val="0"/>
        <w:spacing w:line="288" w:lineRule="auto"/>
        <w:ind w:left="2160" w:hanging="2160" w:hangingChars="600"/>
        <w:rPr>
          <w:rFonts w:hint="eastAsia" w:ascii="宋体" w:hAnsi="宋体" w:cs="宋体"/>
          <w:sz w:val="36"/>
          <w:szCs w:val="36"/>
          <w:u w:val="single"/>
        </w:rPr>
      </w:pPr>
      <w:r>
        <w:rPr>
          <w:rFonts w:hint="eastAsia" w:ascii="宋体" w:hAnsi="宋体" w:cs="宋体"/>
          <w:sz w:val="36"/>
          <w:szCs w:val="36"/>
        </w:rPr>
        <w:t>项目名称：</w:t>
      </w:r>
      <w:r>
        <w:rPr>
          <w:rFonts w:hint="eastAsia" w:ascii="宋体" w:hAnsi="宋体" w:cs="宋体"/>
          <w:sz w:val="36"/>
          <w:szCs w:val="36"/>
          <w:u w:val="single"/>
        </w:rPr>
        <w:t xml:space="preserve">衡山县洁净洗涤厂机器引进项目   </w:t>
      </w:r>
    </w:p>
    <w:p w14:paraId="16B523E3">
      <w:pPr>
        <w:adjustRightInd w:val="0"/>
        <w:snapToGrid w:val="0"/>
        <w:spacing w:line="288" w:lineRule="auto"/>
        <w:rPr>
          <w:rFonts w:hint="eastAsia" w:ascii="宋体" w:hAnsi="宋体" w:cs="宋体"/>
          <w:sz w:val="36"/>
          <w:szCs w:val="36"/>
          <w:u w:val="single"/>
        </w:rPr>
      </w:pPr>
      <w:r>
        <w:rPr>
          <w:rFonts w:hint="eastAsia" w:ascii="宋体" w:hAnsi="宋体" w:cs="宋体"/>
          <w:sz w:val="36"/>
          <w:szCs w:val="36"/>
        </w:rPr>
        <w:t>建设单位（盖章）：</w:t>
      </w:r>
      <w:r>
        <w:rPr>
          <w:rFonts w:hint="eastAsia" w:ascii="宋体" w:hAnsi="宋体" w:cs="宋体"/>
          <w:sz w:val="36"/>
          <w:szCs w:val="36"/>
          <w:u w:val="single"/>
        </w:rPr>
        <w:t xml:space="preserve">    衡山县洁净洗涤厂   </w:t>
      </w:r>
    </w:p>
    <w:p w14:paraId="3E2E6CD8">
      <w:pPr>
        <w:adjustRightInd w:val="0"/>
        <w:snapToGrid w:val="0"/>
        <w:spacing w:line="288" w:lineRule="auto"/>
        <w:rPr>
          <w:rFonts w:hint="eastAsia" w:ascii="宋体" w:hAnsi="宋体" w:cs="宋体"/>
          <w:sz w:val="36"/>
          <w:szCs w:val="36"/>
          <w:u w:val="single"/>
        </w:rPr>
      </w:pPr>
      <w:r>
        <w:rPr>
          <w:rFonts w:hint="eastAsia" w:ascii="宋体" w:hAnsi="宋体" w:cs="宋体"/>
          <w:sz w:val="36"/>
          <w:szCs w:val="36"/>
        </w:rPr>
        <w:t>编制日期：</w:t>
      </w:r>
      <w:r>
        <w:rPr>
          <w:rFonts w:hint="eastAsia" w:ascii="宋体" w:hAnsi="宋体" w:cs="宋体"/>
          <w:sz w:val="36"/>
          <w:szCs w:val="36"/>
          <w:u w:val="single"/>
        </w:rPr>
        <w:t xml:space="preserve">              2025年5月            </w:t>
      </w:r>
    </w:p>
    <w:p w14:paraId="161268D9">
      <w:pPr>
        <w:adjustRightInd w:val="0"/>
        <w:snapToGrid w:val="0"/>
        <w:spacing w:line="288" w:lineRule="auto"/>
        <w:ind w:firstLine="1040"/>
        <w:rPr>
          <w:rFonts w:hint="eastAsia" w:ascii="宋体" w:hAnsi="宋体" w:cs="宋体"/>
          <w:sz w:val="36"/>
          <w:szCs w:val="36"/>
          <w:u w:val="single"/>
        </w:rPr>
      </w:pPr>
      <w:bookmarkStart w:id="0" w:name="_Hlk57884087"/>
    </w:p>
    <w:p w14:paraId="5B4D0028">
      <w:pPr>
        <w:adjustRightInd w:val="0"/>
        <w:snapToGrid w:val="0"/>
        <w:spacing w:line="288" w:lineRule="auto"/>
        <w:ind w:firstLine="1040"/>
        <w:rPr>
          <w:rFonts w:hint="eastAsia" w:ascii="宋体" w:hAnsi="宋体" w:cs="宋体"/>
          <w:sz w:val="36"/>
          <w:szCs w:val="36"/>
        </w:rPr>
      </w:pPr>
    </w:p>
    <w:p w14:paraId="340BE8A1">
      <w:pPr>
        <w:adjustRightInd w:val="0"/>
        <w:snapToGrid w:val="0"/>
        <w:spacing w:line="288" w:lineRule="auto"/>
        <w:ind w:firstLine="1040"/>
        <w:rPr>
          <w:rFonts w:hint="eastAsia" w:ascii="宋体" w:hAnsi="宋体" w:cs="宋体"/>
          <w:sz w:val="36"/>
          <w:szCs w:val="36"/>
        </w:rPr>
      </w:pPr>
    </w:p>
    <w:p w14:paraId="47E84A1F">
      <w:pPr>
        <w:adjustRightInd w:val="0"/>
        <w:snapToGrid w:val="0"/>
        <w:spacing w:line="288" w:lineRule="auto"/>
        <w:ind w:firstLine="1040"/>
        <w:rPr>
          <w:rFonts w:hint="eastAsia" w:ascii="宋体" w:hAnsi="宋体" w:cs="宋体"/>
          <w:sz w:val="36"/>
          <w:szCs w:val="36"/>
        </w:rPr>
      </w:pPr>
    </w:p>
    <w:p w14:paraId="357054BD">
      <w:pPr>
        <w:adjustRightInd w:val="0"/>
        <w:snapToGrid w:val="0"/>
        <w:spacing w:line="288" w:lineRule="auto"/>
        <w:ind w:firstLine="1040"/>
        <w:rPr>
          <w:rFonts w:hint="eastAsia" w:ascii="宋体" w:hAnsi="宋体" w:cs="宋体"/>
          <w:sz w:val="36"/>
          <w:szCs w:val="36"/>
        </w:rPr>
      </w:pPr>
    </w:p>
    <w:bookmarkEnd w:id="0"/>
    <w:p w14:paraId="316FA975">
      <w:pPr>
        <w:adjustRightInd w:val="0"/>
        <w:snapToGrid w:val="0"/>
        <w:spacing w:line="288" w:lineRule="auto"/>
        <w:jc w:val="center"/>
        <w:rPr>
          <w:rFonts w:ascii="楷体_GB2312" w:eastAsia="楷体_GB2312"/>
          <w:sz w:val="36"/>
          <w:szCs w:val="36"/>
        </w:rPr>
      </w:pPr>
      <w:r>
        <w:rPr>
          <w:rFonts w:hint="eastAsia" w:ascii="宋体" w:hAnsi="宋体" w:cs="宋体"/>
          <w:sz w:val="36"/>
          <w:szCs w:val="36"/>
        </w:rPr>
        <w:t>中华人民共和国生态环境部制</w:t>
      </w:r>
    </w:p>
    <w:p w14:paraId="4004B63A">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0FCFA923">
      <w:pPr>
        <w:jc w:val="center"/>
        <w:rPr>
          <w:sz w:val="28"/>
          <w:szCs w:val="28"/>
        </w:rPr>
      </w:pPr>
      <w:r>
        <w:rPr>
          <w:rFonts w:ascii="宋体" w:hAnsi="宋体"/>
          <w:sz w:val="28"/>
          <w:szCs w:val="28"/>
        </w:rPr>
        <w:t>目录</w:t>
      </w:r>
    </w:p>
    <w:p w14:paraId="2C9863EE">
      <w:pPr>
        <w:pStyle w:val="65"/>
        <w:tabs>
          <w:tab w:val="right" w:leader="dot" w:pos="8844"/>
        </w:tabs>
        <w:rPr>
          <w:sz w:val="28"/>
          <w:szCs w:val="28"/>
        </w:rPr>
      </w:pPr>
      <w:r>
        <w:rPr>
          <w:rFonts w:hint="eastAsia" w:ascii="宋体" w:hAnsi="宋体" w:cs="宋体"/>
          <w:snapToGrid w:val="0"/>
          <w:sz w:val="28"/>
          <w:szCs w:val="28"/>
        </w:rPr>
        <w:fldChar w:fldCharType="begin"/>
      </w:r>
      <w:r>
        <w:rPr>
          <w:rFonts w:hint="eastAsia" w:ascii="宋体" w:hAnsi="宋体" w:cs="宋体"/>
          <w:snapToGrid w:val="0"/>
          <w:sz w:val="28"/>
          <w:szCs w:val="28"/>
        </w:rPr>
        <w:instrText xml:space="preserve">TOC \o "1-1" \h \u </w:instrText>
      </w:r>
      <w:r>
        <w:rPr>
          <w:rFonts w:hint="eastAsia" w:ascii="宋体" w:hAnsi="宋体" w:cs="宋体"/>
          <w:snapToGrid w:val="0"/>
          <w:sz w:val="28"/>
          <w:szCs w:val="28"/>
        </w:rPr>
        <w:fldChar w:fldCharType="separate"/>
      </w:r>
      <w:r>
        <w:fldChar w:fldCharType="begin"/>
      </w:r>
      <w:r>
        <w:instrText xml:space="preserve"> HYPERLINK \l "_Toc13488" </w:instrText>
      </w:r>
      <w:r>
        <w:fldChar w:fldCharType="separate"/>
      </w:r>
      <w:r>
        <w:rPr>
          <w:snapToGrid w:val="0"/>
          <w:sz w:val="28"/>
          <w:szCs w:val="28"/>
        </w:rPr>
        <w:t>一、建设项目基本情况</w:t>
      </w:r>
      <w:r>
        <w:rPr>
          <w:sz w:val="28"/>
          <w:szCs w:val="28"/>
        </w:rPr>
        <w:tab/>
      </w:r>
      <w:r>
        <w:rPr>
          <w:sz w:val="28"/>
          <w:szCs w:val="28"/>
        </w:rPr>
        <w:fldChar w:fldCharType="begin"/>
      </w:r>
      <w:r>
        <w:rPr>
          <w:sz w:val="28"/>
          <w:szCs w:val="28"/>
        </w:rPr>
        <w:instrText xml:space="preserve"> PAGEREF _Toc13488 \h </w:instrText>
      </w:r>
      <w:r>
        <w:rPr>
          <w:sz w:val="28"/>
          <w:szCs w:val="28"/>
        </w:rPr>
        <w:fldChar w:fldCharType="separate"/>
      </w:r>
      <w:r>
        <w:rPr>
          <w:sz w:val="28"/>
          <w:szCs w:val="28"/>
        </w:rPr>
        <w:t>1</w:t>
      </w:r>
      <w:r>
        <w:rPr>
          <w:sz w:val="28"/>
          <w:szCs w:val="28"/>
        </w:rPr>
        <w:fldChar w:fldCharType="end"/>
      </w:r>
      <w:r>
        <w:rPr>
          <w:sz w:val="28"/>
          <w:szCs w:val="28"/>
        </w:rPr>
        <w:fldChar w:fldCharType="end"/>
      </w:r>
    </w:p>
    <w:p w14:paraId="6D3E6E7C">
      <w:pPr>
        <w:pStyle w:val="65"/>
        <w:tabs>
          <w:tab w:val="right" w:leader="dot" w:pos="8844"/>
        </w:tabs>
        <w:rPr>
          <w:sz w:val="28"/>
          <w:szCs w:val="28"/>
        </w:rPr>
      </w:pPr>
      <w:r>
        <w:fldChar w:fldCharType="begin"/>
      </w:r>
      <w:r>
        <w:instrText xml:space="preserve"> HYPERLINK \l "_Toc12621" </w:instrText>
      </w:r>
      <w:r>
        <w:fldChar w:fldCharType="separate"/>
      </w:r>
      <w:r>
        <w:rPr>
          <w:snapToGrid w:val="0"/>
          <w:sz w:val="28"/>
          <w:szCs w:val="28"/>
        </w:rPr>
        <w:t>二、建设项目工程分析</w:t>
      </w:r>
      <w:r>
        <w:rPr>
          <w:sz w:val="28"/>
          <w:szCs w:val="28"/>
        </w:rPr>
        <w:tab/>
      </w:r>
      <w:r>
        <w:rPr>
          <w:sz w:val="28"/>
          <w:szCs w:val="28"/>
        </w:rPr>
        <w:fldChar w:fldCharType="begin"/>
      </w:r>
      <w:r>
        <w:rPr>
          <w:sz w:val="28"/>
          <w:szCs w:val="28"/>
        </w:rPr>
        <w:instrText xml:space="preserve"> PAGEREF _Toc12621 \h </w:instrText>
      </w:r>
      <w:r>
        <w:rPr>
          <w:sz w:val="28"/>
          <w:szCs w:val="28"/>
        </w:rPr>
        <w:fldChar w:fldCharType="separate"/>
      </w:r>
      <w:r>
        <w:rPr>
          <w:sz w:val="28"/>
          <w:szCs w:val="28"/>
        </w:rPr>
        <w:t>11</w:t>
      </w:r>
      <w:r>
        <w:rPr>
          <w:sz w:val="28"/>
          <w:szCs w:val="28"/>
        </w:rPr>
        <w:fldChar w:fldCharType="end"/>
      </w:r>
      <w:r>
        <w:rPr>
          <w:sz w:val="28"/>
          <w:szCs w:val="28"/>
        </w:rPr>
        <w:fldChar w:fldCharType="end"/>
      </w:r>
    </w:p>
    <w:p w14:paraId="0F2180C3">
      <w:pPr>
        <w:pStyle w:val="65"/>
        <w:tabs>
          <w:tab w:val="right" w:leader="dot" w:pos="8844"/>
        </w:tabs>
        <w:rPr>
          <w:sz w:val="28"/>
          <w:szCs w:val="28"/>
        </w:rPr>
      </w:pPr>
      <w:r>
        <w:fldChar w:fldCharType="begin"/>
      </w:r>
      <w:r>
        <w:instrText xml:space="preserve"> HYPERLINK \l "_Toc26667" </w:instrText>
      </w:r>
      <w:r>
        <w:fldChar w:fldCharType="separate"/>
      </w:r>
      <w:r>
        <w:rPr>
          <w:snapToGrid w:val="0"/>
          <w:sz w:val="28"/>
          <w:szCs w:val="28"/>
        </w:rPr>
        <w:t>三、区域环境质量现状、环境保护目标及评价标准</w:t>
      </w:r>
      <w:r>
        <w:rPr>
          <w:sz w:val="28"/>
          <w:szCs w:val="28"/>
        </w:rPr>
        <w:tab/>
      </w:r>
      <w:r>
        <w:rPr>
          <w:sz w:val="28"/>
          <w:szCs w:val="28"/>
        </w:rPr>
        <w:fldChar w:fldCharType="begin"/>
      </w:r>
      <w:r>
        <w:rPr>
          <w:sz w:val="28"/>
          <w:szCs w:val="28"/>
        </w:rPr>
        <w:instrText xml:space="preserve"> PAGEREF _Toc26667 \h </w:instrText>
      </w:r>
      <w:r>
        <w:rPr>
          <w:sz w:val="28"/>
          <w:szCs w:val="28"/>
        </w:rPr>
        <w:fldChar w:fldCharType="separate"/>
      </w:r>
      <w:r>
        <w:rPr>
          <w:sz w:val="28"/>
          <w:szCs w:val="28"/>
        </w:rPr>
        <w:t>26</w:t>
      </w:r>
      <w:r>
        <w:rPr>
          <w:sz w:val="28"/>
          <w:szCs w:val="28"/>
        </w:rPr>
        <w:fldChar w:fldCharType="end"/>
      </w:r>
      <w:r>
        <w:rPr>
          <w:sz w:val="28"/>
          <w:szCs w:val="28"/>
        </w:rPr>
        <w:fldChar w:fldCharType="end"/>
      </w:r>
    </w:p>
    <w:p w14:paraId="13557A1B">
      <w:pPr>
        <w:pStyle w:val="65"/>
        <w:tabs>
          <w:tab w:val="right" w:leader="dot" w:pos="8844"/>
        </w:tabs>
        <w:rPr>
          <w:sz w:val="28"/>
          <w:szCs w:val="28"/>
        </w:rPr>
      </w:pPr>
      <w:r>
        <w:fldChar w:fldCharType="begin"/>
      </w:r>
      <w:r>
        <w:instrText xml:space="preserve"> HYPERLINK \l "_Toc31524" </w:instrText>
      </w:r>
      <w:r>
        <w:fldChar w:fldCharType="separate"/>
      </w:r>
      <w:r>
        <w:rPr>
          <w:snapToGrid w:val="0"/>
          <w:sz w:val="28"/>
          <w:szCs w:val="28"/>
        </w:rPr>
        <w:t>四、主要环境影响和保护措施</w:t>
      </w:r>
      <w:r>
        <w:rPr>
          <w:sz w:val="28"/>
          <w:szCs w:val="28"/>
        </w:rPr>
        <w:tab/>
      </w:r>
      <w:r>
        <w:rPr>
          <w:sz w:val="28"/>
          <w:szCs w:val="28"/>
        </w:rPr>
        <w:fldChar w:fldCharType="begin"/>
      </w:r>
      <w:r>
        <w:rPr>
          <w:sz w:val="28"/>
          <w:szCs w:val="28"/>
        </w:rPr>
        <w:instrText xml:space="preserve"> PAGEREF _Toc31524 \h </w:instrText>
      </w:r>
      <w:r>
        <w:rPr>
          <w:sz w:val="28"/>
          <w:szCs w:val="28"/>
        </w:rPr>
        <w:fldChar w:fldCharType="separate"/>
      </w:r>
      <w:r>
        <w:rPr>
          <w:sz w:val="28"/>
          <w:szCs w:val="28"/>
        </w:rPr>
        <w:t>34</w:t>
      </w:r>
      <w:r>
        <w:rPr>
          <w:sz w:val="28"/>
          <w:szCs w:val="28"/>
        </w:rPr>
        <w:fldChar w:fldCharType="end"/>
      </w:r>
      <w:r>
        <w:rPr>
          <w:sz w:val="28"/>
          <w:szCs w:val="28"/>
        </w:rPr>
        <w:fldChar w:fldCharType="end"/>
      </w:r>
    </w:p>
    <w:p w14:paraId="513A194D">
      <w:pPr>
        <w:pStyle w:val="65"/>
        <w:tabs>
          <w:tab w:val="right" w:leader="dot" w:pos="8844"/>
        </w:tabs>
        <w:rPr>
          <w:sz w:val="28"/>
          <w:szCs w:val="28"/>
        </w:rPr>
      </w:pPr>
      <w:r>
        <w:fldChar w:fldCharType="begin"/>
      </w:r>
      <w:r>
        <w:instrText xml:space="preserve"> HYPERLINK \l "_Toc8809" </w:instrText>
      </w:r>
      <w:r>
        <w:fldChar w:fldCharType="separate"/>
      </w:r>
      <w:r>
        <w:rPr>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_Toc8809 \h </w:instrText>
      </w:r>
      <w:r>
        <w:rPr>
          <w:sz w:val="28"/>
          <w:szCs w:val="28"/>
        </w:rPr>
        <w:fldChar w:fldCharType="separate"/>
      </w:r>
      <w:r>
        <w:rPr>
          <w:sz w:val="28"/>
          <w:szCs w:val="28"/>
        </w:rPr>
        <w:t>64</w:t>
      </w:r>
      <w:r>
        <w:rPr>
          <w:sz w:val="28"/>
          <w:szCs w:val="28"/>
        </w:rPr>
        <w:fldChar w:fldCharType="end"/>
      </w:r>
      <w:r>
        <w:rPr>
          <w:sz w:val="28"/>
          <w:szCs w:val="28"/>
        </w:rPr>
        <w:fldChar w:fldCharType="end"/>
      </w:r>
    </w:p>
    <w:p w14:paraId="3CE9815B">
      <w:pPr>
        <w:pStyle w:val="65"/>
        <w:tabs>
          <w:tab w:val="right" w:leader="dot" w:pos="8844"/>
        </w:tabs>
        <w:rPr>
          <w:sz w:val="28"/>
          <w:szCs w:val="28"/>
        </w:rPr>
      </w:pPr>
      <w:r>
        <w:fldChar w:fldCharType="begin"/>
      </w:r>
      <w:r>
        <w:instrText xml:space="preserve"> HYPERLINK \l "_Toc14135" </w:instrText>
      </w:r>
      <w:r>
        <w:fldChar w:fldCharType="separate"/>
      </w:r>
      <w:r>
        <w:rPr>
          <w:snapToGrid w:val="0"/>
          <w:sz w:val="28"/>
          <w:szCs w:val="28"/>
        </w:rPr>
        <w:t>六、结论</w:t>
      </w:r>
      <w:r>
        <w:rPr>
          <w:sz w:val="28"/>
          <w:szCs w:val="28"/>
        </w:rPr>
        <w:tab/>
      </w:r>
      <w:r>
        <w:rPr>
          <w:sz w:val="28"/>
          <w:szCs w:val="28"/>
        </w:rPr>
        <w:fldChar w:fldCharType="begin"/>
      </w:r>
      <w:r>
        <w:rPr>
          <w:sz w:val="28"/>
          <w:szCs w:val="28"/>
        </w:rPr>
        <w:instrText xml:space="preserve"> PAGEREF _Toc14135 \h </w:instrText>
      </w:r>
      <w:r>
        <w:rPr>
          <w:sz w:val="28"/>
          <w:szCs w:val="28"/>
        </w:rPr>
        <w:fldChar w:fldCharType="separate"/>
      </w:r>
      <w:r>
        <w:rPr>
          <w:sz w:val="28"/>
          <w:szCs w:val="28"/>
        </w:rPr>
        <w:t>66</w:t>
      </w:r>
      <w:r>
        <w:rPr>
          <w:sz w:val="28"/>
          <w:szCs w:val="28"/>
        </w:rPr>
        <w:fldChar w:fldCharType="end"/>
      </w:r>
      <w:r>
        <w:rPr>
          <w:sz w:val="28"/>
          <w:szCs w:val="28"/>
        </w:rPr>
        <w:fldChar w:fldCharType="end"/>
      </w:r>
    </w:p>
    <w:p w14:paraId="6514467D">
      <w:pPr>
        <w:pStyle w:val="65"/>
        <w:tabs>
          <w:tab w:val="right" w:leader="dot" w:pos="8844"/>
        </w:tabs>
        <w:rPr>
          <w:sz w:val="28"/>
          <w:szCs w:val="28"/>
        </w:rPr>
      </w:pPr>
      <w:r>
        <w:fldChar w:fldCharType="begin"/>
      </w:r>
      <w:r>
        <w:instrText xml:space="preserve"> HYPERLINK \l "_Toc5991" </w:instrText>
      </w:r>
      <w:r>
        <w:fldChar w:fldCharType="separate"/>
      </w:r>
      <w:r>
        <w:rPr>
          <w:snapToGrid w:val="0"/>
          <w:sz w:val="28"/>
          <w:szCs w:val="28"/>
        </w:rPr>
        <w:t>附表</w:t>
      </w:r>
      <w:r>
        <w:rPr>
          <w:sz w:val="28"/>
          <w:szCs w:val="28"/>
        </w:rPr>
        <w:tab/>
      </w:r>
      <w:r>
        <w:rPr>
          <w:sz w:val="28"/>
          <w:szCs w:val="28"/>
        </w:rPr>
        <w:fldChar w:fldCharType="begin"/>
      </w:r>
      <w:r>
        <w:rPr>
          <w:sz w:val="28"/>
          <w:szCs w:val="28"/>
        </w:rPr>
        <w:instrText xml:space="preserve"> PAGEREF _Toc5991 \h </w:instrText>
      </w:r>
      <w:r>
        <w:rPr>
          <w:sz w:val="28"/>
          <w:szCs w:val="28"/>
        </w:rPr>
        <w:fldChar w:fldCharType="separate"/>
      </w:r>
      <w:r>
        <w:rPr>
          <w:sz w:val="28"/>
          <w:szCs w:val="28"/>
        </w:rPr>
        <w:t>67</w:t>
      </w:r>
      <w:r>
        <w:rPr>
          <w:sz w:val="28"/>
          <w:szCs w:val="28"/>
        </w:rPr>
        <w:fldChar w:fldCharType="end"/>
      </w:r>
      <w:r>
        <w:rPr>
          <w:sz w:val="28"/>
          <w:szCs w:val="28"/>
        </w:rPr>
        <w:fldChar w:fldCharType="end"/>
      </w:r>
    </w:p>
    <w:p w14:paraId="55E11FB9">
      <w:pPr>
        <w:pStyle w:val="65"/>
        <w:tabs>
          <w:tab w:val="right" w:leader="dot" w:pos="8844"/>
        </w:tabs>
        <w:rPr>
          <w:rFonts w:hint="eastAsia" w:ascii="宋体" w:hAnsi="宋体" w:cs="宋体"/>
          <w:sz w:val="28"/>
          <w:szCs w:val="28"/>
        </w:rPr>
      </w:pPr>
      <w:r>
        <w:fldChar w:fldCharType="begin"/>
      </w:r>
      <w:r>
        <w:instrText xml:space="preserve"> HYPERLINK \l "_Toc8125" </w:instrText>
      </w:r>
      <w:r>
        <w:fldChar w:fldCharType="separate"/>
      </w:r>
      <w:r>
        <w:rPr>
          <w:snapToGrid w:val="0"/>
          <w:sz w:val="28"/>
          <w:szCs w:val="28"/>
        </w:rPr>
        <w:t>建设项目污染物排放量汇总表</w:t>
      </w:r>
      <w:r>
        <w:rPr>
          <w:sz w:val="28"/>
          <w:szCs w:val="28"/>
        </w:rPr>
        <w:tab/>
      </w:r>
      <w:r>
        <w:rPr>
          <w:sz w:val="28"/>
          <w:szCs w:val="28"/>
        </w:rPr>
        <w:fldChar w:fldCharType="begin"/>
      </w:r>
      <w:r>
        <w:rPr>
          <w:sz w:val="28"/>
          <w:szCs w:val="28"/>
        </w:rPr>
        <w:instrText xml:space="preserve"> PAGEREF _Toc8125 \h </w:instrText>
      </w:r>
      <w:r>
        <w:rPr>
          <w:sz w:val="28"/>
          <w:szCs w:val="28"/>
        </w:rPr>
        <w:fldChar w:fldCharType="separate"/>
      </w:r>
      <w:r>
        <w:rPr>
          <w:sz w:val="28"/>
          <w:szCs w:val="28"/>
        </w:rPr>
        <w:t>67</w:t>
      </w:r>
      <w:r>
        <w:rPr>
          <w:sz w:val="28"/>
          <w:szCs w:val="28"/>
        </w:rPr>
        <w:fldChar w:fldCharType="end"/>
      </w:r>
      <w:r>
        <w:rPr>
          <w:sz w:val="28"/>
          <w:szCs w:val="28"/>
        </w:rPr>
        <w:fldChar w:fldCharType="end"/>
      </w:r>
    </w:p>
    <w:p w14:paraId="388ACEC7">
      <w:pPr>
        <w:pStyle w:val="65"/>
        <w:tabs>
          <w:tab w:val="right" w:leader="dot" w:pos="8844"/>
        </w:tabs>
        <w:rPr>
          <w:sz w:val="28"/>
          <w:szCs w:val="28"/>
        </w:rPr>
      </w:pPr>
    </w:p>
    <w:p w14:paraId="1FD7AF7D">
      <w:pPr>
        <w:rPr>
          <w:rFonts w:hint="eastAsia" w:ascii="宋体" w:hAnsi="宋体" w:cs="宋体"/>
          <w:snapToGrid w:val="0"/>
          <w:sz w:val="28"/>
          <w:szCs w:val="28"/>
        </w:rPr>
      </w:pPr>
      <w:r>
        <w:rPr>
          <w:rFonts w:hint="eastAsia" w:ascii="宋体" w:hAnsi="宋体" w:cs="宋体"/>
          <w:snapToGrid w:val="0"/>
          <w:sz w:val="28"/>
          <w:szCs w:val="28"/>
        </w:rPr>
        <w:fldChar w:fldCharType="end"/>
      </w:r>
    </w:p>
    <w:p w14:paraId="402B8893">
      <w:pPr>
        <w:rPr>
          <w:snapToGrid w:val="0"/>
          <w:sz w:val="24"/>
        </w:rPr>
      </w:pPr>
      <w:r>
        <w:rPr>
          <w:snapToGrid w:val="0"/>
          <w:sz w:val="24"/>
        </w:rPr>
        <w:t>附件</w:t>
      </w:r>
    </w:p>
    <w:p w14:paraId="612358E6">
      <w:pPr>
        <w:rPr>
          <w:snapToGrid w:val="0"/>
          <w:sz w:val="24"/>
        </w:rPr>
      </w:pPr>
      <w:r>
        <w:rPr>
          <w:snapToGrid w:val="0"/>
          <w:sz w:val="24"/>
        </w:rPr>
        <w:t xml:space="preserve">附件1 </w:t>
      </w:r>
      <w:r>
        <w:rPr>
          <w:rFonts w:hint="eastAsia"/>
          <w:snapToGrid w:val="0"/>
          <w:sz w:val="24"/>
        </w:rPr>
        <w:t>项目备案文件</w:t>
      </w:r>
    </w:p>
    <w:p w14:paraId="2416662B">
      <w:pPr>
        <w:rPr>
          <w:snapToGrid w:val="0"/>
          <w:sz w:val="24"/>
        </w:rPr>
      </w:pPr>
      <w:r>
        <w:rPr>
          <w:snapToGrid w:val="0"/>
          <w:sz w:val="24"/>
        </w:rPr>
        <w:t>附件</w:t>
      </w:r>
      <w:r>
        <w:rPr>
          <w:rFonts w:hint="eastAsia"/>
          <w:snapToGrid w:val="0"/>
          <w:sz w:val="24"/>
        </w:rPr>
        <w:t>2</w:t>
      </w:r>
      <w:r>
        <w:rPr>
          <w:snapToGrid w:val="0"/>
          <w:sz w:val="24"/>
        </w:rPr>
        <w:t xml:space="preserve"> </w:t>
      </w:r>
      <w:r>
        <w:rPr>
          <w:rFonts w:hint="eastAsia"/>
          <w:snapToGrid w:val="0"/>
          <w:sz w:val="24"/>
        </w:rPr>
        <w:t>土地证明</w:t>
      </w:r>
    </w:p>
    <w:p w14:paraId="4D27256E">
      <w:pPr>
        <w:rPr>
          <w:snapToGrid w:val="0"/>
          <w:sz w:val="24"/>
        </w:rPr>
      </w:pPr>
      <w:r>
        <w:rPr>
          <w:rFonts w:hint="eastAsia"/>
          <w:snapToGrid w:val="0"/>
          <w:sz w:val="24"/>
        </w:rPr>
        <w:t>附件3 租赁协议</w:t>
      </w:r>
    </w:p>
    <w:p w14:paraId="200F28ED">
      <w:pPr>
        <w:rPr>
          <w:snapToGrid w:val="0"/>
          <w:sz w:val="24"/>
        </w:rPr>
      </w:pPr>
      <w:r>
        <w:rPr>
          <w:rFonts w:hint="eastAsia"/>
          <w:snapToGrid w:val="0"/>
          <w:sz w:val="24"/>
        </w:rPr>
        <w:t>附件4 营业执照</w:t>
      </w:r>
    </w:p>
    <w:p w14:paraId="5BF580BE">
      <w:pPr>
        <w:rPr>
          <w:snapToGrid w:val="0"/>
          <w:sz w:val="24"/>
        </w:rPr>
      </w:pPr>
      <w:r>
        <w:rPr>
          <w:rFonts w:hint="eastAsia"/>
          <w:snapToGrid w:val="0"/>
          <w:sz w:val="24"/>
        </w:rPr>
        <w:t>附件5 环保处罚决定书</w:t>
      </w:r>
    </w:p>
    <w:p w14:paraId="0A5A47B5">
      <w:pPr>
        <w:rPr>
          <w:snapToGrid w:val="0"/>
          <w:sz w:val="24"/>
        </w:rPr>
      </w:pPr>
      <w:r>
        <w:rPr>
          <w:rFonts w:hint="eastAsia"/>
          <w:snapToGrid w:val="0"/>
          <w:sz w:val="24"/>
        </w:rPr>
        <w:t>附件6 委托书</w:t>
      </w:r>
    </w:p>
    <w:p w14:paraId="070DBDC5">
      <w:pPr>
        <w:rPr>
          <w:snapToGrid w:val="0"/>
          <w:sz w:val="24"/>
        </w:rPr>
      </w:pPr>
      <w:r>
        <w:rPr>
          <w:rFonts w:hint="eastAsia"/>
          <w:snapToGrid w:val="0"/>
          <w:sz w:val="24"/>
        </w:rPr>
        <w:t>附件7 检测报告</w:t>
      </w:r>
    </w:p>
    <w:p w14:paraId="5670EAD9">
      <w:pPr>
        <w:rPr>
          <w:snapToGrid w:val="0"/>
          <w:sz w:val="24"/>
        </w:rPr>
      </w:pPr>
    </w:p>
    <w:p w14:paraId="276DC02A">
      <w:pPr>
        <w:rPr>
          <w:snapToGrid w:val="0"/>
          <w:sz w:val="24"/>
        </w:rPr>
      </w:pPr>
      <w:r>
        <w:rPr>
          <w:snapToGrid w:val="0"/>
          <w:sz w:val="24"/>
        </w:rPr>
        <w:t>附图</w:t>
      </w:r>
    </w:p>
    <w:p w14:paraId="3871D750">
      <w:pPr>
        <w:rPr>
          <w:snapToGrid w:val="0"/>
          <w:sz w:val="24"/>
        </w:rPr>
      </w:pPr>
      <w:r>
        <w:rPr>
          <w:snapToGrid w:val="0"/>
          <w:sz w:val="24"/>
        </w:rPr>
        <w:t>附图1 项目地理位置图</w:t>
      </w:r>
    </w:p>
    <w:p w14:paraId="690489C1">
      <w:pPr>
        <w:rPr>
          <w:snapToGrid w:val="0"/>
          <w:sz w:val="24"/>
        </w:rPr>
      </w:pPr>
      <w:r>
        <w:rPr>
          <w:snapToGrid w:val="0"/>
          <w:sz w:val="24"/>
        </w:rPr>
        <w:t>附图2 项目周边环境敏感目标图</w:t>
      </w:r>
    </w:p>
    <w:p w14:paraId="025DD98E">
      <w:pPr>
        <w:rPr>
          <w:snapToGrid w:val="0"/>
          <w:sz w:val="24"/>
        </w:rPr>
      </w:pPr>
      <w:r>
        <w:rPr>
          <w:snapToGrid w:val="0"/>
          <w:sz w:val="24"/>
        </w:rPr>
        <w:t>附图3 项目平面布置图</w:t>
      </w:r>
    </w:p>
    <w:p w14:paraId="656FC69E">
      <w:pPr>
        <w:rPr>
          <w:snapToGrid w:val="0"/>
          <w:sz w:val="24"/>
        </w:rPr>
      </w:pPr>
      <w:r>
        <w:rPr>
          <w:rFonts w:hint="eastAsia"/>
          <w:snapToGrid w:val="0"/>
          <w:sz w:val="24"/>
        </w:rPr>
        <w:t>附图</w:t>
      </w:r>
      <w:r>
        <w:rPr>
          <w:snapToGrid w:val="0"/>
          <w:sz w:val="24"/>
        </w:rPr>
        <w:t>4</w:t>
      </w:r>
      <w:r>
        <w:rPr>
          <w:rFonts w:hint="eastAsia"/>
          <w:snapToGrid w:val="0"/>
          <w:sz w:val="24"/>
        </w:rPr>
        <w:t xml:space="preserve"> 项目现状监测布点图</w:t>
      </w:r>
    </w:p>
    <w:p w14:paraId="4C82B237">
      <w:pPr>
        <w:rPr>
          <w:snapToGrid w:val="0"/>
          <w:sz w:val="24"/>
        </w:rPr>
      </w:pPr>
      <w:r>
        <w:rPr>
          <w:snapToGrid w:val="0"/>
          <w:sz w:val="24"/>
        </w:rPr>
        <w:t>附图</w:t>
      </w:r>
      <w:r>
        <w:rPr>
          <w:rFonts w:hint="eastAsia"/>
          <w:snapToGrid w:val="0"/>
          <w:sz w:val="24"/>
        </w:rPr>
        <w:t>5</w:t>
      </w:r>
      <w:r>
        <w:rPr>
          <w:snapToGrid w:val="0"/>
          <w:sz w:val="24"/>
        </w:rPr>
        <w:t xml:space="preserve"> 项目现场</w:t>
      </w:r>
      <w:r>
        <w:rPr>
          <w:rFonts w:hint="eastAsia"/>
          <w:snapToGrid w:val="0"/>
          <w:sz w:val="24"/>
        </w:rPr>
        <w:t>勘查</w:t>
      </w:r>
      <w:r>
        <w:rPr>
          <w:snapToGrid w:val="0"/>
          <w:sz w:val="24"/>
        </w:rPr>
        <w:t>照片图</w:t>
      </w:r>
    </w:p>
    <w:p w14:paraId="70BE186F">
      <w:pPr>
        <w:rPr>
          <w:snapToGrid w:val="0"/>
          <w:sz w:val="24"/>
        </w:rPr>
      </w:pPr>
      <w:r>
        <w:rPr>
          <w:rFonts w:hint="eastAsia"/>
          <w:snapToGrid w:val="0"/>
          <w:sz w:val="24"/>
        </w:rPr>
        <w:t>附图6</w:t>
      </w:r>
      <w:r>
        <w:rPr>
          <w:snapToGrid w:val="0"/>
          <w:sz w:val="24"/>
        </w:rPr>
        <w:t xml:space="preserve"> </w:t>
      </w:r>
      <w:r>
        <w:rPr>
          <w:rFonts w:hint="eastAsia"/>
          <w:snapToGrid w:val="0"/>
          <w:sz w:val="24"/>
        </w:rPr>
        <w:t>衡阳市环境管控单元图</w:t>
      </w:r>
    </w:p>
    <w:p w14:paraId="1CF8A0AD"/>
    <w:p w14:paraId="4CFBCAA9">
      <w:pPr>
        <w:rPr>
          <w:rFonts w:cs="宋体"/>
          <w:snapToGrid w:val="0"/>
          <w:sz w:val="30"/>
          <w:szCs w:val="30"/>
        </w:rPr>
      </w:pPr>
      <w:r>
        <w:rPr>
          <w:rFonts w:cs="宋体"/>
          <w:snapToGrid w:val="0"/>
          <w:sz w:val="30"/>
          <w:szCs w:val="30"/>
        </w:rPr>
        <w:br w:type="page"/>
      </w:r>
    </w:p>
    <w:p w14:paraId="729A97B3">
      <w:pPr>
        <w:pStyle w:val="24"/>
        <w:jc w:val="both"/>
        <w:rPr>
          <w:rFonts w:hint="eastAsia"/>
        </w:rPr>
      </w:pPr>
    </w:p>
    <w:p w14:paraId="263F2E8F">
      <w:pPr>
        <w:pStyle w:val="24"/>
        <w:jc w:val="both"/>
        <w:rPr>
          <w:rFonts w:hint="eastAsia" w:cs="宋体"/>
          <w:snapToGrid w:val="0"/>
          <w:sz w:val="30"/>
          <w:szCs w:val="30"/>
        </w:rPr>
        <w:sectPr>
          <w:footerReference r:id="rId5" w:type="default"/>
          <w:pgSz w:w="11906" w:h="16838"/>
          <w:pgMar w:top="1701" w:right="1531" w:bottom="1701" w:left="1531" w:header="851" w:footer="1077" w:gutter="0"/>
          <w:cols w:space="720" w:num="1"/>
          <w:docGrid w:linePitch="312" w:charSpace="0"/>
        </w:sectPr>
      </w:pPr>
    </w:p>
    <w:p w14:paraId="60E9DD45">
      <w:pPr>
        <w:pStyle w:val="24"/>
        <w:jc w:val="center"/>
        <w:outlineLvl w:val="0"/>
        <w:rPr>
          <w:rFonts w:hint="eastAsia" w:ascii="黑体" w:hAnsi="黑体" w:eastAsia="黑体"/>
          <w:snapToGrid w:val="0"/>
          <w:sz w:val="30"/>
          <w:szCs w:val="30"/>
        </w:rPr>
      </w:pPr>
      <w:bookmarkStart w:id="1" w:name="_Toc13488"/>
      <w:r>
        <w:rPr>
          <w:rFonts w:hint="eastAsia" w:cs="宋体"/>
          <w:snapToGrid w:val="0"/>
          <w:sz w:val="30"/>
          <w:szCs w:val="30"/>
        </w:rPr>
        <w:t>一、建设项目基本情况</w:t>
      </w:r>
      <w:bookmarkEnd w:id="1"/>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15"/>
        <w:gridCol w:w="2469"/>
        <w:gridCol w:w="2199"/>
        <w:gridCol w:w="2785"/>
      </w:tblGrid>
      <w:tr w14:paraId="17230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06DA7830">
            <w:pPr>
              <w:adjustRightInd w:val="0"/>
              <w:snapToGrid w:val="0"/>
              <w:jc w:val="center"/>
              <w:rPr>
                <w:sz w:val="24"/>
              </w:rPr>
            </w:pPr>
            <w:r>
              <w:rPr>
                <w:sz w:val="24"/>
              </w:rPr>
              <w:t>建设项目名称</w:t>
            </w:r>
          </w:p>
        </w:tc>
        <w:tc>
          <w:tcPr>
            <w:tcW w:w="4202" w:type="pct"/>
            <w:gridSpan w:val="3"/>
            <w:vAlign w:val="center"/>
          </w:tcPr>
          <w:p w14:paraId="06416DEE">
            <w:pPr>
              <w:adjustRightInd w:val="0"/>
              <w:snapToGrid w:val="0"/>
              <w:jc w:val="center"/>
              <w:rPr>
                <w:sz w:val="24"/>
              </w:rPr>
            </w:pPr>
            <w:r>
              <w:rPr>
                <w:rFonts w:hint="eastAsia"/>
                <w:sz w:val="24"/>
              </w:rPr>
              <w:t>衡山县洁净洗涤厂机器引进项目</w:t>
            </w:r>
          </w:p>
        </w:tc>
      </w:tr>
      <w:tr w14:paraId="69A52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360BA878">
            <w:pPr>
              <w:adjustRightInd w:val="0"/>
              <w:snapToGrid w:val="0"/>
              <w:jc w:val="center"/>
              <w:rPr>
                <w:sz w:val="24"/>
              </w:rPr>
            </w:pPr>
            <w:r>
              <w:rPr>
                <w:sz w:val="24"/>
              </w:rPr>
              <w:t>项目代码</w:t>
            </w:r>
          </w:p>
        </w:tc>
        <w:tc>
          <w:tcPr>
            <w:tcW w:w="4202" w:type="pct"/>
            <w:gridSpan w:val="3"/>
            <w:vAlign w:val="center"/>
          </w:tcPr>
          <w:p w14:paraId="784AD39D">
            <w:pPr>
              <w:adjustRightInd w:val="0"/>
              <w:snapToGrid w:val="0"/>
              <w:jc w:val="center"/>
              <w:rPr>
                <w:sz w:val="24"/>
              </w:rPr>
            </w:pPr>
            <w:r>
              <w:rPr>
                <w:sz w:val="24"/>
              </w:rPr>
              <w:t>2505-430423-04-01-678723</w:t>
            </w:r>
          </w:p>
        </w:tc>
      </w:tr>
      <w:tr w14:paraId="4A739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00E02C6E">
            <w:pPr>
              <w:adjustRightInd w:val="0"/>
              <w:snapToGrid w:val="0"/>
              <w:jc w:val="center"/>
              <w:rPr>
                <w:sz w:val="24"/>
              </w:rPr>
            </w:pPr>
            <w:r>
              <w:rPr>
                <w:sz w:val="24"/>
              </w:rPr>
              <w:t>建设单位联系人</w:t>
            </w:r>
          </w:p>
        </w:tc>
        <w:tc>
          <w:tcPr>
            <w:tcW w:w="1392" w:type="pct"/>
            <w:vAlign w:val="center"/>
          </w:tcPr>
          <w:p w14:paraId="33151C14">
            <w:pPr>
              <w:adjustRightInd w:val="0"/>
              <w:snapToGrid w:val="0"/>
              <w:jc w:val="center"/>
              <w:rPr>
                <w:sz w:val="24"/>
              </w:rPr>
            </w:pPr>
            <w:r>
              <w:rPr>
                <w:rFonts w:hint="eastAsia"/>
                <w:sz w:val="24"/>
              </w:rPr>
              <w:t>曹文</w:t>
            </w:r>
          </w:p>
        </w:tc>
        <w:tc>
          <w:tcPr>
            <w:tcW w:w="1240" w:type="pct"/>
            <w:vAlign w:val="center"/>
          </w:tcPr>
          <w:p w14:paraId="4BE2F3DF">
            <w:pPr>
              <w:adjustRightInd w:val="0"/>
              <w:snapToGrid w:val="0"/>
              <w:jc w:val="center"/>
              <w:rPr>
                <w:sz w:val="24"/>
              </w:rPr>
            </w:pPr>
            <w:r>
              <w:rPr>
                <w:sz w:val="24"/>
              </w:rPr>
              <w:t>联系方式</w:t>
            </w:r>
          </w:p>
        </w:tc>
        <w:tc>
          <w:tcPr>
            <w:tcW w:w="1570" w:type="pct"/>
            <w:vAlign w:val="center"/>
          </w:tcPr>
          <w:p w14:paraId="5CB297BA">
            <w:pPr>
              <w:adjustRightInd w:val="0"/>
              <w:snapToGrid w:val="0"/>
              <w:jc w:val="center"/>
              <w:rPr>
                <w:sz w:val="24"/>
              </w:rPr>
            </w:pPr>
            <w:bookmarkStart w:id="16" w:name="_GoBack"/>
            <w:bookmarkEnd w:id="16"/>
          </w:p>
        </w:tc>
      </w:tr>
      <w:tr w14:paraId="558C6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4F816CC6">
            <w:pPr>
              <w:adjustRightInd w:val="0"/>
              <w:snapToGrid w:val="0"/>
              <w:jc w:val="center"/>
              <w:rPr>
                <w:sz w:val="24"/>
              </w:rPr>
            </w:pPr>
            <w:r>
              <w:rPr>
                <w:sz w:val="24"/>
              </w:rPr>
              <w:t>建设地点</w:t>
            </w:r>
          </w:p>
        </w:tc>
        <w:tc>
          <w:tcPr>
            <w:tcW w:w="4202" w:type="pct"/>
            <w:gridSpan w:val="3"/>
            <w:vAlign w:val="center"/>
          </w:tcPr>
          <w:p w14:paraId="3336BA0D">
            <w:pPr>
              <w:adjustRightInd w:val="0"/>
              <w:snapToGrid w:val="0"/>
              <w:jc w:val="center"/>
              <w:rPr>
                <w:sz w:val="24"/>
              </w:rPr>
            </w:pPr>
            <w:r>
              <w:rPr>
                <w:rFonts w:hint="eastAsia"/>
                <w:sz w:val="24"/>
              </w:rPr>
              <w:t>衡山县开云镇湘衡村八组</w:t>
            </w:r>
          </w:p>
        </w:tc>
      </w:tr>
      <w:tr w14:paraId="60681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798" w:type="pct"/>
            <w:tcMar>
              <w:top w:w="16" w:type="dxa"/>
              <w:left w:w="16" w:type="dxa"/>
              <w:right w:w="16" w:type="dxa"/>
            </w:tcMar>
            <w:vAlign w:val="center"/>
          </w:tcPr>
          <w:p w14:paraId="058786D1">
            <w:pPr>
              <w:adjustRightInd w:val="0"/>
              <w:snapToGrid w:val="0"/>
              <w:jc w:val="center"/>
              <w:rPr>
                <w:sz w:val="24"/>
              </w:rPr>
            </w:pPr>
            <w:r>
              <w:rPr>
                <w:sz w:val="24"/>
              </w:rPr>
              <w:t>地理坐标</w:t>
            </w:r>
          </w:p>
        </w:tc>
        <w:tc>
          <w:tcPr>
            <w:tcW w:w="4202" w:type="pct"/>
            <w:gridSpan w:val="3"/>
            <w:vAlign w:val="center"/>
          </w:tcPr>
          <w:p w14:paraId="3B4BA790">
            <w:pPr>
              <w:pStyle w:val="2"/>
              <w:ind w:firstLine="480"/>
            </w:pPr>
            <w:r>
              <w:t>（</w:t>
            </w:r>
            <w:r>
              <w:rPr>
                <w:u w:val="single"/>
              </w:rPr>
              <w:t xml:space="preserve"> 112 </w:t>
            </w:r>
            <w:r>
              <w:t>度</w:t>
            </w:r>
            <w:r>
              <w:rPr>
                <w:rFonts w:hint="eastAsia"/>
                <w:u w:val="single"/>
              </w:rPr>
              <w:t>52</w:t>
            </w:r>
            <w:r>
              <w:t>分</w:t>
            </w:r>
            <w:r>
              <w:rPr>
                <w:rFonts w:hint="eastAsia"/>
                <w:u w:val="single"/>
              </w:rPr>
              <w:t>41.499</w:t>
            </w:r>
            <w:r>
              <w:t>秒，</w:t>
            </w:r>
            <w:r>
              <w:rPr>
                <w:u w:val="single"/>
              </w:rPr>
              <w:t xml:space="preserve"> 27 </w:t>
            </w:r>
            <w:r>
              <w:t>度</w:t>
            </w:r>
            <w:r>
              <w:rPr>
                <w:u w:val="single"/>
              </w:rPr>
              <w:t xml:space="preserve"> 1</w:t>
            </w:r>
            <w:r>
              <w:rPr>
                <w:rFonts w:hint="eastAsia"/>
                <w:u w:val="single"/>
              </w:rPr>
              <w:t>4</w:t>
            </w:r>
            <w:r>
              <w:t>分</w:t>
            </w:r>
            <w:r>
              <w:rPr>
                <w:rFonts w:hint="eastAsia"/>
                <w:u w:val="single"/>
              </w:rPr>
              <w:t>56</w:t>
            </w:r>
            <w:r>
              <w:rPr>
                <w:u w:val="single"/>
              </w:rPr>
              <w:t>.</w:t>
            </w:r>
            <w:r>
              <w:rPr>
                <w:rFonts w:hint="eastAsia"/>
                <w:u w:val="single"/>
              </w:rPr>
              <w:t>159</w:t>
            </w:r>
            <w:r>
              <w:t>秒）</w:t>
            </w:r>
          </w:p>
        </w:tc>
      </w:tr>
      <w:tr w14:paraId="667EA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98" w:type="pct"/>
            <w:tcMar>
              <w:top w:w="16" w:type="dxa"/>
              <w:left w:w="16" w:type="dxa"/>
              <w:right w:w="16" w:type="dxa"/>
            </w:tcMar>
            <w:vAlign w:val="center"/>
          </w:tcPr>
          <w:p w14:paraId="151B1906">
            <w:pPr>
              <w:adjustRightInd w:val="0"/>
              <w:snapToGrid w:val="0"/>
              <w:jc w:val="center"/>
              <w:rPr>
                <w:sz w:val="24"/>
              </w:rPr>
            </w:pPr>
            <w:r>
              <w:rPr>
                <w:sz w:val="24"/>
              </w:rPr>
              <w:t>国民经济</w:t>
            </w:r>
          </w:p>
          <w:p w14:paraId="4B9BB493">
            <w:pPr>
              <w:adjustRightInd w:val="0"/>
              <w:snapToGrid w:val="0"/>
              <w:jc w:val="center"/>
              <w:rPr>
                <w:sz w:val="24"/>
              </w:rPr>
            </w:pPr>
            <w:r>
              <w:rPr>
                <w:sz w:val="24"/>
              </w:rPr>
              <w:t>行业类别</w:t>
            </w:r>
          </w:p>
        </w:tc>
        <w:tc>
          <w:tcPr>
            <w:tcW w:w="1392" w:type="pct"/>
            <w:vAlign w:val="center"/>
          </w:tcPr>
          <w:p w14:paraId="2F6B4A7D">
            <w:pPr>
              <w:adjustRightInd w:val="0"/>
              <w:snapToGrid w:val="0"/>
              <w:jc w:val="center"/>
              <w:rPr>
                <w:sz w:val="24"/>
              </w:rPr>
            </w:pPr>
            <w:r>
              <w:rPr>
                <w:rFonts w:hint="eastAsia"/>
                <w:sz w:val="24"/>
              </w:rPr>
              <w:t>D4430 热力生产和供应</w:t>
            </w:r>
          </w:p>
        </w:tc>
        <w:tc>
          <w:tcPr>
            <w:tcW w:w="1240" w:type="pct"/>
            <w:vAlign w:val="center"/>
          </w:tcPr>
          <w:p w14:paraId="42156425">
            <w:pPr>
              <w:adjustRightInd w:val="0"/>
              <w:snapToGrid w:val="0"/>
              <w:jc w:val="center"/>
              <w:rPr>
                <w:sz w:val="24"/>
              </w:rPr>
            </w:pPr>
            <w:bookmarkStart w:id="2" w:name="_Hlk49843745"/>
            <w:r>
              <w:rPr>
                <w:sz w:val="24"/>
              </w:rPr>
              <w:t>建设项目</w:t>
            </w:r>
          </w:p>
          <w:p w14:paraId="49AFA4E6">
            <w:pPr>
              <w:adjustRightInd w:val="0"/>
              <w:snapToGrid w:val="0"/>
              <w:jc w:val="center"/>
              <w:rPr>
                <w:sz w:val="24"/>
              </w:rPr>
            </w:pPr>
            <w:r>
              <w:rPr>
                <w:sz w:val="24"/>
              </w:rPr>
              <w:t>行业类别</w:t>
            </w:r>
            <w:bookmarkEnd w:id="2"/>
          </w:p>
        </w:tc>
        <w:tc>
          <w:tcPr>
            <w:tcW w:w="1570" w:type="pct"/>
            <w:vAlign w:val="center"/>
          </w:tcPr>
          <w:p w14:paraId="7255F401">
            <w:pPr>
              <w:adjustRightInd w:val="0"/>
              <w:snapToGrid w:val="0"/>
              <w:rPr>
                <w:sz w:val="24"/>
              </w:rPr>
            </w:pPr>
            <w:r>
              <w:rPr>
                <w:sz w:val="24"/>
              </w:rPr>
              <w:t>四十一、电力、热力生产和供应业热力生产和供应工程 （包括建设单位自建 自用的供热工程）</w:t>
            </w:r>
          </w:p>
        </w:tc>
      </w:tr>
      <w:tr w14:paraId="0E8F7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798" w:type="pct"/>
            <w:tcMar>
              <w:top w:w="16" w:type="dxa"/>
              <w:left w:w="16" w:type="dxa"/>
              <w:right w:w="16" w:type="dxa"/>
            </w:tcMar>
            <w:vAlign w:val="center"/>
          </w:tcPr>
          <w:p w14:paraId="249EE2EE">
            <w:pPr>
              <w:adjustRightInd w:val="0"/>
              <w:snapToGrid w:val="0"/>
              <w:jc w:val="center"/>
              <w:rPr>
                <w:sz w:val="24"/>
              </w:rPr>
            </w:pPr>
            <w:r>
              <w:rPr>
                <w:sz w:val="24"/>
              </w:rPr>
              <w:t>建设性质</w:t>
            </w:r>
          </w:p>
        </w:tc>
        <w:tc>
          <w:tcPr>
            <w:tcW w:w="1392" w:type="pct"/>
            <w:vAlign w:val="center"/>
          </w:tcPr>
          <w:p w14:paraId="7E7495FB">
            <w:pPr>
              <w:jc w:val="left"/>
              <w:rPr>
                <w:szCs w:val="21"/>
              </w:rPr>
            </w:pPr>
            <w:r>
              <w:rPr>
                <w:rFonts w:hint="eastAsia"/>
                <w:szCs w:val="21"/>
              </w:rPr>
              <w:t>☑</w:t>
            </w:r>
            <w:r>
              <w:rPr>
                <w:szCs w:val="21"/>
              </w:rPr>
              <w:t>新建（迁建）</w:t>
            </w:r>
          </w:p>
          <w:p w14:paraId="59AAB000">
            <w:pPr>
              <w:jc w:val="left"/>
              <w:rPr>
                <w:szCs w:val="21"/>
              </w:rPr>
            </w:pPr>
            <w:r>
              <w:rPr>
                <w:szCs w:val="21"/>
              </w:rPr>
              <w:t>□改建</w:t>
            </w:r>
          </w:p>
          <w:p w14:paraId="042EC68C">
            <w:pPr>
              <w:jc w:val="left"/>
              <w:rPr>
                <w:szCs w:val="21"/>
              </w:rPr>
            </w:pPr>
            <w:r>
              <w:rPr>
                <w:szCs w:val="21"/>
              </w:rPr>
              <w:t>□扩建</w:t>
            </w:r>
          </w:p>
          <w:p w14:paraId="11839479">
            <w:pPr>
              <w:jc w:val="left"/>
              <w:rPr>
                <w:sz w:val="24"/>
              </w:rPr>
            </w:pPr>
            <w:r>
              <w:rPr>
                <w:szCs w:val="21"/>
              </w:rPr>
              <w:t>□技术改造</w:t>
            </w:r>
          </w:p>
        </w:tc>
        <w:tc>
          <w:tcPr>
            <w:tcW w:w="1240" w:type="pct"/>
            <w:vAlign w:val="center"/>
          </w:tcPr>
          <w:p w14:paraId="7FE38E7D">
            <w:pPr>
              <w:adjustRightInd w:val="0"/>
              <w:snapToGrid w:val="0"/>
              <w:jc w:val="center"/>
              <w:rPr>
                <w:sz w:val="24"/>
              </w:rPr>
            </w:pPr>
            <w:r>
              <w:rPr>
                <w:sz w:val="24"/>
              </w:rPr>
              <w:t>建设项目</w:t>
            </w:r>
          </w:p>
          <w:p w14:paraId="57DE5BE0">
            <w:pPr>
              <w:adjustRightInd w:val="0"/>
              <w:snapToGrid w:val="0"/>
              <w:jc w:val="center"/>
              <w:rPr>
                <w:sz w:val="24"/>
              </w:rPr>
            </w:pPr>
            <w:r>
              <w:rPr>
                <w:sz w:val="24"/>
              </w:rPr>
              <w:t>申报情形</w:t>
            </w:r>
          </w:p>
        </w:tc>
        <w:tc>
          <w:tcPr>
            <w:tcW w:w="1570" w:type="pct"/>
            <w:vAlign w:val="center"/>
          </w:tcPr>
          <w:p w14:paraId="087793FE">
            <w:pPr>
              <w:jc w:val="left"/>
              <w:rPr>
                <w:szCs w:val="21"/>
              </w:rPr>
            </w:pPr>
            <w:r>
              <w:rPr>
                <w:rFonts w:hint="eastAsia"/>
                <w:szCs w:val="21"/>
              </w:rPr>
              <w:t>☑</w:t>
            </w:r>
            <w:r>
              <w:rPr>
                <w:szCs w:val="21"/>
              </w:rPr>
              <w:t xml:space="preserve">首次申报项目             </w:t>
            </w:r>
          </w:p>
          <w:p w14:paraId="6E753529">
            <w:pPr>
              <w:jc w:val="left"/>
              <w:rPr>
                <w:szCs w:val="21"/>
              </w:rPr>
            </w:pPr>
            <w:r>
              <w:rPr>
                <w:szCs w:val="21"/>
              </w:rPr>
              <w:t>□不予批准后再次申报项目</w:t>
            </w:r>
          </w:p>
          <w:p w14:paraId="21856773">
            <w:pPr>
              <w:jc w:val="left"/>
              <w:rPr>
                <w:szCs w:val="21"/>
              </w:rPr>
            </w:pPr>
            <w:r>
              <w:rPr>
                <w:szCs w:val="21"/>
              </w:rPr>
              <w:t xml:space="preserve">□超五年重新审核项目     </w:t>
            </w:r>
          </w:p>
          <w:p w14:paraId="15DE5C81">
            <w:pPr>
              <w:jc w:val="left"/>
              <w:rPr>
                <w:sz w:val="24"/>
              </w:rPr>
            </w:pPr>
            <w:r>
              <w:rPr>
                <w:szCs w:val="21"/>
              </w:rPr>
              <w:t>□重大变动重新报批项目</w:t>
            </w:r>
          </w:p>
        </w:tc>
      </w:tr>
      <w:tr w14:paraId="65844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98" w:type="pct"/>
            <w:tcMar>
              <w:top w:w="16" w:type="dxa"/>
              <w:left w:w="16" w:type="dxa"/>
              <w:right w:w="16" w:type="dxa"/>
            </w:tcMar>
            <w:vAlign w:val="center"/>
          </w:tcPr>
          <w:p w14:paraId="31CACFA1">
            <w:pPr>
              <w:adjustRightInd w:val="0"/>
              <w:snapToGrid w:val="0"/>
              <w:jc w:val="center"/>
              <w:rPr>
                <w:sz w:val="24"/>
              </w:rPr>
            </w:pPr>
            <w:r>
              <w:rPr>
                <w:sz w:val="24"/>
              </w:rPr>
              <w:t>项目审批（核准/</w:t>
            </w:r>
          </w:p>
          <w:p w14:paraId="4C8C2CF4">
            <w:pPr>
              <w:adjustRightInd w:val="0"/>
              <w:snapToGrid w:val="0"/>
              <w:jc w:val="center"/>
              <w:rPr>
                <w:sz w:val="24"/>
              </w:rPr>
            </w:pPr>
            <w:r>
              <w:rPr>
                <w:sz w:val="24"/>
              </w:rPr>
              <w:t>备案）部门（选填）</w:t>
            </w:r>
          </w:p>
        </w:tc>
        <w:tc>
          <w:tcPr>
            <w:tcW w:w="1392" w:type="pct"/>
            <w:vAlign w:val="center"/>
          </w:tcPr>
          <w:p w14:paraId="38A561D6">
            <w:pPr>
              <w:adjustRightInd w:val="0"/>
              <w:snapToGrid w:val="0"/>
              <w:jc w:val="center"/>
              <w:rPr>
                <w:sz w:val="24"/>
              </w:rPr>
            </w:pPr>
            <w:r>
              <w:rPr>
                <w:rFonts w:hint="eastAsia"/>
                <w:sz w:val="24"/>
              </w:rPr>
              <w:t>衡山县发展和改革局</w:t>
            </w:r>
          </w:p>
        </w:tc>
        <w:tc>
          <w:tcPr>
            <w:tcW w:w="1240" w:type="pct"/>
            <w:vAlign w:val="center"/>
          </w:tcPr>
          <w:p w14:paraId="3BA71660">
            <w:pPr>
              <w:adjustRightInd w:val="0"/>
              <w:snapToGrid w:val="0"/>
              <w:jc w:val="center"/>
              <w:rPr>
                <w:sz w:val="24"/>
              </w:rPr>
            </w:pPr>
            <w:r>
              <w:rPr>
                <w:sz w:val="24"/>
              </w:rPr>
              <w:t>项目审批（核准/</w:t>
            </w:r>
          </w:p>
          <w:p w14:paraId="14122D3B">
            <w:pPr>
              <w:adjustRightInd w:val="0"/>
              <w:snapToGrid w:val="0"/>
              <w:jc w:val="center"/>
              <w:rPr>
                <w:sz w:val="24"/>
              </w:rPr>
            </w:pPr>
            <w:r>
              <w:rPr>
                <w:sz w:val="24"/>
              </w:rPr>
              <w:t>备案）文号（选填）</w:t>
            </w:r>
          </w:p>
        </w:tc>
        <w:tc>
          <w:tcPr>
            <w:tcW w:w="1570" w:type="pct"/>
            <w:vAlign w:val="center"/>
          </w:tcPr>
          <w:p w14:paraId="185DE76F">
            <w:pPr>
              <w:adjustRightInd w:val="0"/>
              <w:snapToGrid w:val="0"/>
              <w:jc w:val="center"/>
              <w:rPr>
                <w:sz w:val="24"/>
              </w:rPr>
            </w:pPr>
            <w:r>
              <w:rPr>
                <w:sz w:val="24"/>
              </w:rPr>
              <w:t>山发改备〔2025〕50号</w:t>
            </w:r>
          </w:p>
        </w:tc>
      </w:tr>
      <w:tr w14:paraId="0307E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1F93F4AE">
            <w:pPr>
              <w:adjustRightInd w:val="0"/>
              <w:snapToGrid w:val="0"/>
              <w:jc w:val="center"/>
              <w:rPr>
                <w:sz w:val="24"/>
              </w:rPr>
            </w:pPr>
            <w:r>
              <w:rPr>
                <w:sz w:val="24"/>
              </w:rPr>
              <w:t>总投资（万元）</w:t>
            </w:r>
          </w:p>
        </w:tc>
        <w:tc>
          <w:tcPr>
            <w:tcW w:w="1392" w:type="pct"/>
            <w:vAlign w:val="center"/>
          </w:tcPr>
          <w:p w14:paraId="0A1E70AF">
            <w:pPr>
              <w:adjustRightInd w:val="0"/>
              <w:snapToGrid w:val="0"/>
              <w:jc w:val="center"/>
              <w:rPr>
                <w:color w:val="000000"/>
                <w:sz w:val="24"/>
              </w:rPr>
            </w:pPr>
            <w:r>
              <w:rPr>
                <w:rFonts w:hint="eastAsia"/>
                <w:color w:val="000000"/>
                <w:sz w:val="24"/>
              </w:rPr>
              <w:t>6</w:t>
            </w:r>
            <w:r>
              <w:rPr>
                <w:color w:val="000000"/>
                <w:sz w:val="24"/>
              </w:rPr>
              <w:t>0</w:t>
            </w:r>
          </w:p>
        </w:tc>
        <w:tc>
          <w:tcPr>
            <w:tcW w:w="1240" w:type="pct"/>
            <w:tcMar>
              <w:top w:w="16" w:type="dxa"/>
              <w:left w:w="16" w:type="dxa"/>
              <w:right w:w="16" w:type="dxa"/>
            </w:tcMar>
            <w:vAlign w:val="center"/>
          </w:tcPr>
          <w:p w14:paraId="4CD5A943">
            <w:pPr>
              <w:adjustRightInd w:val="0"/>
              <w:snapToGrid w:val="0"/>
              <w:jc w:val="center"/>
              <w:rPr>
                <w:color w:val="000000"/>
                <w:sz w:val="24"/>
              </w:rPr>
            </w:pPr>
            <w:r>
              <w:rPr>
                <w:color w:val="000000"/>
                <w:sz w:val="24"/>
              </w:rPr>
              <w:t>环保投资（万元）</w:t>
            </w:r>
          </w:p>
        </w:tc>
        <w:tc>
          <w:tcPr>
            <w:tcW w:w="1570" w:type="pct"/>
            <w:vAlign w:val="center"/>
          </w:tcPr>
          <w:p w14:paraId="3BCB5851">
            <w:pPr>
              <w:adjustRightInd w:val="0"/>
              <w:snapToGrid w:val="0"/>
              <w:jc w:val="center"/>
              <w:rPr>
                <w:color w:val="000000"/>
                <w:sz w:val="24"/>
              </w:rPr>
            </w:pPr>
            <w:r>
              <w:rPr>
                <w:rFonts w:hint="eastAsia"/>
                <w:color w:val="000000" w:themeColor="text1"/>
                <w:sz w:val="24"/>
                <w14:textFill>
                  <w14:solidFill>
                    <w14:schemeClr w14:val="tx1"/>
                  </w14:solidFill>
                </w14:textFill>
              </w:rPr>
              <w:t>6</w:t>
            </w:r>
          </w:p>
        </w:tc>
      </w:tr>
      <w:tr w14:paraId="37D92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605985E7">
            <w:pPr>
              <w:adjustRightInd w:val="0"/>
              <w:snapToGrid w:val="0"/>
              <w:jc w:val="center"/>
              <w:rPr>
                <w:sz w:val="24"/>
              </w:rPr>
            </w:pPr>
            <w:r>
              <w:rPr>
                <w:sz w:val="24"/>
              </w:rPr>
              <w:t>环保投资占比（%）</w:t>
            </w:r>
          </w:p>
        </w:tc>
        <w:tc>
          <w:tcPr>
            <w:tcW w:w="1392" w:type="pct"/>
            <w:vAlign w:val="center"/>
          </w:tcPr>
          <w:p w14:paraId="6572E275">
            <w:pPr>
              <w:adjustRightInd w:val="0"/>
              <w:snapToGrid w:val="0"/>
              <w:jc w:val="center"/>
              <w:rPr>
                <w:sz w:val="24"/>
              </w:rPr>
            </w:pPr>
            <w:r>
              <w:rPr>
                <w:rFonts w:hint="eastAsia"/>
                <w:sz w:val="24"/>
              </w:rPr>
              <w:t>10</w:t>
            </w:r>
          </w:p>
        </w:tc>
        <w:tc>
          <w:tcPr>
            <w:tcW w:w="1240" w:type="pct"/>
            <w:tcMar>
              <w:top w:w="16" w:type="dxa"/>
              <w:left w:w="16" w:type="dxa"/>
              <w:right w:w="16" w:type="dxa"/>
            </w:tcMar>
            <w:vAlign w:val="center"/>
          </w:tcPr>
          <w:p w14:paraId="036696CC">
            <w:pPr>
              <w:adjustRightInd w:val="0"/>
              <w:snapToGrid w:val="0"/>
              <w:jc w:val="center"/>
              <w:rPr>
                <w:sz w:val="24"/>
              </w:rPr>
            </w:pPr>
            <w:r>
              <w:rPr>
                <w:sz w:val="24"/>
              </w:rPr>
              <w:t>施工工期</w:t>
            </w:r>
          </w:p>
        </w:tc>
        <w:tc>
          <w:tcPr>
            <w:tcW w:w="1570" w:type="pct"/>
            <w:vAlign w:val="center"/>
          </w:tcPr>
          <w:p w14:paraId="11B3BFFE">
            <w:pPr>
              <w:adjustRightInd w:val="0"/>
              <w:snapToGrid w:val="0"/>
              <w:jc w:val="center"/>
              <w:rPr>
                <w:sz w:val="24"/>
              </w:rPr>
            </w:pPr>
            <w:r>
              <w:rPr>
                <w:rFonts w:hint="eastAsia"/>
                <w:sz w:val="24"/>
              </w:rPr>
              <w:t>1个月</w:t>
            </w:r>
          </w:p>
        </w:tc>
      </w:tr>
      <w:tr w14:paraId="051FD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98" w:type="pct"/>
            <w:tcMar>
              <w:top w:w="16" w:type="dxa"/>
              <w:left w:w="16" w:type="dxa"/>
              <w:right w:w="16" w:type="dxa"/>
            </w:tcMar>
            <w:vAlign w:val="center"/>
          </w:tcPr>
          <w:p w14:paraId="211500E6">
            <w:pPr>
              <w:adjustRightInd w:val="0"/>
              <w:snapToGrid w:val="0"/>
              <w:jc w:val="center"/>
              <w:rPr>
                <w:sz w:val="24"/>
              </w:rPr>
            </w:pPr>
            <w:r>
              <w:rPr>
                <w:sz w:val="24"/>
              </w:rPr>
              <w:t>是否开工建设</w:t>
            </w:r>
          </w:p>
        </w:tc>
        <w:tc>
          <w:tcPr>
            <w:tcW w:w="1392" w:type="pct"/>
            <w:vAlign w:val="center"/>
          </w:tcPr>
          <w:p w14:paraId="3DD033CC">
            <w:pPr>
              <w:adjustRightInd w:val="0"/>
              <w:snapToGrid w:val="0"/>
              <w:rPr>
                <w:sz w:val="24"/>
              </w:rPr>
            </w:pPr>
            <w:r>
              <w:rPr>
                <w:szCs w:val="21"/>
              </w:rPr>
              <w:t>□</w:t>
            </w:r>
            <w:r>
              <w:rPr>
                <w:sz w:val="24"/>
              </w:rPr>
              <w:t>否</w:t>
            </w:r>
          </w:p>
          <w:p w14:paraId="775FF472">
            <w:pPr>
              <w:adjustRightInd w:val="0"/>
              <w:snapToGrid w:val="0"/>
              <w:rPr>
                <w:sz w:val="24"/>
              </w:rPr>
            </w:pPr>
            <w:r>
              <w:rPr>
                <w:rFonts w:ascii="Segoe UI Symbol" w:hAnsi="Segoe UI Symbol" w:cs="Segoe UI Symbol"/>
                <w:szCs w:val="21"/>
              </w:rPr>
              <w:t>☑</w:t>
            </w:r>
            <w:r>
              <w:rPr>
                <w:sz w:val="24"/>
              </w:rPr>
              <w:t>是：</w:t>
            </w:r>
            <w:r>
              <w:rPr>
                <w:rFonts w:hint="eastAsia"/>
                <w:sz w:val="24"/>
              </w:rPr>
              <w:t>本项目为未批先建项目，建设单位已经收到当地环保局的处罚单，并已经缴清罚款（附件5）</w:t>
            </w:r>
          </w:p>
        </w:tc>
        <w:tc>
          <w:tcPr>
            <w:tcW w:w="1240" w:type="pct"/>
            <w:tcMar>
              <w:top w:w="16" w:type="dxa"/>
              <w:left w:w="16" w:type="dxa"/>
              <w:right w:w="16" w:type="dxa"/>
            </w:tcMar>
            <w:vAlign w:val="center"/>
          </w:tcPr>
          <w:p w14:paraId="3731A35D">
            <w:pPr>
              <w:adjustRightInd w:val="0"/>
              <w:snapToGrid w:val="0"/>
              <w:jc w:val="center"/>
              <w:rPr>
                <w:sz w:val="24"/>
              </w:rPr>
            </w:pPr>
            <w:r>
              <w:rPr>
                <w:spacing w:val="-6"/>
                <w:sz w:val="24"/>
              </w:rPr>
              <w:t>用地面积（m</w:t>
            </w:r>
            <w:r>
              <w:rPr>
                <w:spacing w:val="-6"/>
                <w:sz w:val="24"/>
                <w:vertAlign w:val="superscript"/>
              </w:rPr>
              <w:t>2</w:t>
            </w:r>
            <w:r>
              <w:rPr>
                <w:spacing w:val="-6"/>
                <w:sz w:val="24"/>
              </w:rPr>
              <w:t>）</w:t>
            </w:r>
          </w:p>
        </w:tc>
        <w:tc>
          <w:tcPr>
            <w:tcW w:w="1570" w:type="pct"/>
            <w:vAlign w:val="center"/>
          </w:tcPr>
          <w:p w14:paraId="0654FAA2">
            <w:pPr>
              <w:adjustRightInd w:val="0"/>
              <w:snapToGrid w:val="0"/>
              <w:jc w:val="center"/>
              <w:rPr>
                <w:sz w:val="24"/>
              </w:rPr>
            </w:pPr>
            <w:r>
              <w:rPr>
                <w:rFonts w:hint="eastAsia"/>
                <w:color w:val="000000"/>
                <w:sz w:val="24"/>
              </w:rPr>
              <w:t>1487.88</w:t>
            </w:r>
          </w:p>
        </w:tc>
      </w:tr>
      <w:tr w14:paraId="50B6E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3167133F">
            <w:pPr>
              <w:autoSpaceDE w:val="0"/>
              <w:autoSpaceDN w:val="0"/>
              <w:adjustRightInd w:val="0"/>
              <w:snapToGrid w:val="0"/>
              <w:jc w:val="center"/>
              <w:rPr>
                <w:kern w:val="0"/>
                <w:sz w:val="24"/>
              </w:rPr>
            </w:pPr>
            <w:r>
              <w:rPr>
                <w:kern w:val="0"/>
                <w:sz w:val="24"/>
              </w:rPr>
              <w:t>专项评价设置情况</w:t>
            </w:r>
          </w:p>
        </w:tc>
        <w:tc>
          <w:tcPr>
            <w:tcW w:w="4202" w:type="pct"/>
            <w:gridSpan w:val="3"/>
            <w:vAlign w:val="center"/>
          </w:tcPr>
          <w:p w14:paraId="5A5A2E81">
            <w:pPr>
              <w:autoSpaceDE w:val="0"/>
              <w:autoSpaceDN w:val="0"/>
              <w:adjustRightInd w:val="0"/>
              <w:snapToGrid w:val="0"/>
              <w:jc w:val="center"/>
              <w:rPr>
                <w:kern w:val="0"/>
                <w:sz w:val="24"/>
              </w:rPr>
            </w:pPr>
            <w:r>
              <w:rPr>
                <w:rFonts w:hint="eastAsia"/>
                <w:kern w:val="0"/>
                <w:sz w:val="24"/>
              </w:rPr>
              <w:t>无</w:t>
            </w:r>
          </w:p>
        </w:tc>
      </w:tr>
      <w:tr w14:paraId="15349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134E209E">
            <w:pPr>
              <w:autoSpaceDE w:val="0"/>
              <w:autoSpaceDN w:val="0"/>
              <w:adjustRightInd w:val="0"/>
              <w:snapToGrid w:val="0"/>
              <w:jc w:val="center"/>
              <w:rPr>
                <w:kern w:val="0"/>
                <w:sz w:val="24"/>
              </w:rPr>
            </w:pPr>
            <w:r>
              <w:rPr>
                <w:sz w:val="24"/>
              </w:rPr>
              <w:t>规划情况</w:t>
            </w:r>
          </w:p>
        </w:tc>
        <w:tc>
          <w:tcPr>
            <w:tcW w:w="4202" w:type="pct"/>
            <w:gridSpan w:val="3"/>
            <w:vAlign w:val="center"/>
          </w:tcPr>
          <w:p w14:paraId="37460B84">
            <w:pPr>
              <w:autoSpaceDE w:val="0"/>
              <w:autoSpaceDN w:val="0"/>
              <w:adjustRightInd w:val="0"/>
              <w:snapToGrid w:val="0"/>
              <w:jc w:val="center"/>
              <w:rPr>
                <w:kern w:val="0"/>
                <w:sz w:val="24"/>
              </w:rPr>
            </w:pPr>
            <w:r>
              <w:rPr>
                <w:rFonts w:hint="eastAsia"/>
                <w:kern w:val="0"/>
                <w:sz w:val="24"/>
              </w:rPr>
              <w:t>无</w:t>
            </w:r>
          </w:p>
        </w:tc>
      </w:tr>
      <w:tr w14:paraId="12C86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1C9F593A">
            <w:pPr>
              <w:adjustRightInd w:val="0"/>
              <w:snapToGrid w:val="0"/>
              <w:jc w:val="center"/>
              <w:rPr>
                <w:sz w:val="24"/>
              </w:rPr>
            </w:pPr>
            <w:r>
              <w:rPr>
                <w:sz w:val="24"/>
              </w:rPr>
              <w:t>规划环境影响</w:t>
            </w:r>
          </w:p>
          <w:p w14:paraId="282EBCC5">
            <w:pPr>
              <w:adjustRightInd w:val="0"/>
              <w:snapToGrid w:val="0"/>
              <w:jc w:val="center"/>
              <w:rPr>
                <w:kern w:val="0"/>
                <w:sz w:val="24"/>
              </w:rPr>
            </w:pPr>
            <w:r>
              <w:rPr>
                <w:sz w:val="24"/>
              </w:rPr>
              <w:t>评价情况</w:t>
            </w:r>
          </w:p>
        </w:tc>
        <w:tc>
          <w:tcPr>
            <w:tcW w:w="4202" w:type="pct"/>
            <w:gridSpan w:val="3"/>
            <w:vAlign w:val="center"/>
          </w:tcPr>
          <w:p w14:paraId="240C9BF9">
            <w:pPr>
              <w:autoSpaceDE w:val="0"/>
              <w:autoSpaceDN w:val="0"/>
              <w:adjustRightInd w:val="0"/>
              <w:snapToGrid w:val="0"/>
              <w:jc w:val="center"/>
              <w:rPr>
                <w:kern w:val="0"/>
                <w:sz w:val="24"/>
              </w:rPr>
            </w:pPr>
            <w:r>
              <w:rPr>
                <w:rFonts w:hint="eastAsia"/>
                <w:kern w:val="0"/>
                <w:sz w:val="24"/>
              </w:rPr>
              <w:t>无</w:t>
            </w:r>
          </w:p>
        </w:tc>
      </w:tr>
      <w:tr w14:paraId="315D2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6FA54ADC">
            <w:pPr>
              <w:autoSpaceDE w:val="0"/>
              <w:autoSpaceDN w:val="0"/>
              <w:adjustRightInd w:val="0"/>
              <w:snapToGrid w:val="0"/>
              <w:jc w:val="center"/>
              <w:rPr>
                <w:kern w:val="0"/>
                <w:sz w:val="24"/>
              </w:rPr>
            </w:pPr>
            <w:r>
              <w:rPr>
                <w:kern w:val="0"/>
                <w:sz w:val="24"/>
              </w:rPr>
              <w:t>规划及规划环境影响评价符合性分析</w:t>
            </w:r>
          </w:p>
        </w:tc>
        <w:tc>
          <w:tcPr>
            <w:tcW w:w="4202" w:type="pct"/>
            <w:gridSpan w:val="3"/>
            <w:vAlign w:val="center"/>
          </w:tcPr>
          <w:p w14:paraId="3335C898">
            <w:pPr>
              <w:autoSpaceDE w:val="0"/>
              <w:autoSpaceDN w:val="0"/>
              <w:adjustRightInd w:val="0"/>
              <w:snapToGrid w:val="0"/>
              <w:jc w:val="center"/>
              <w:rPr>
                <w:kern w:val="0"/>
                <w:sz w:val="24"/>
              </w:rPr>
            </w:pPr>
            <w:r>
              <w:rPr>
                <w:rFonts w:hint="eastAsia"/>
                <w:kern w:val="0"/>
                <w:sz w:val="24"/>
              </w:rPr>
              <w:t>无</w:t>
            </w:r>
          </w:p>
        </w:tc>
      </w:tr>
      <w:tr w14:paraId="4B2B2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pct"/>
            <w:vAlign w:val="center"/>
          </w:tcPr>
          <w:p w14:paraId="5EAC8574">
            <w:pPr>
              <w:autoSpaceDE w:val="0"/>
              <w:autoSpaceDN w:val="0"/>
              <w:adjustRightInd w:val="0"/>
              <w:snapToGrid w:val="0"/>
              <w:jc w:val="center"/>
              <w:rPr>
                <w:kern w:val="0"/>
                <w:sz w:val="24"/>
              </w:rPr>
            </w:pPr>
            <w:r>
              <w:rPr>
                <w:kern w:val="0"/>
                <w:sz w:val="24"/>
              </w:rPr>
              <w:t>其他符合性分析</w:t>
            </w:r>
          </w:p>
        </w:tc>
        <w:tc>
          <w:tcPr>
            <w:tcW w:w="4202" w:type="pct"/>
            <w:gridSpan w:val="3"/>
            <w:vAlign w:val="center"/>
          </w:tcPr>
          <w:p w14:paraId="1B8898AC">
            <w:pPr>
              <w:widowControl/>
              <w:spacing w:line="360" w:lineRule="auto"/>
              <w:ind w:firstLine="482" w:firstLineChars="200"/>
              <w:jc w:val="left"/>
              <w:rPr>
                <w:b/>
                <w:bCs/>
                <w:color w:val="000000"/>
                <w:sz w:val="24"/>
              </w:rPr>
            </w:pPr>
            <w:r>
              <w:rPr>
                <w:rFonts w:hint="eastAsia"/>
                <w:b/>
                <w:bCs/>
                <w:color w:val="000000"/>
                <w:sz w:val="24"/>
              </w:rPr>
              <w:t>1、产业政策符合性分析</w:t>
            </w:r>
          </w:p>
          <w:p w14:paraId="23C484A0">
            <w:pPr>
              <w:kinsoku w:val="0"/>
              <w:overflowPunct w:val="0"/>
              <w:topLinePunct/>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为</w:t>
            </w:r>
            <w:r>
              <w:rPr>
                <w:rFonts w:hint="eastAsia"/>
                <w:sz w:val="24"/>
              </w:rPr>
              <w:t>热力生产和供应</w:t>
            </w:r>
            <w:r>
              <w:rPr>
                <w:rFonts w:hint="eastAsia"/>
                <w:color w:val="000000" w:themeColor="text1"/>
                <w:sz w:val="24"/>
                <w14:textFill>
                  <w14:solidFill>
                    <w14:schemeClr w14:val="tx1"/>
                  </w14:solidFill>
                </w14:textFill>
              </w:rPr>
              <w:t>建设项目，</w:t>
            </w:r>
            <w:r>
              <w:rPr>
                <w:color w:val="000000" w:themeColor="text1"/>
                <w:sz w:val="24"/>
                <w14:textFill>
                  <w14:solidFill>
                    <w14:schemeClr w14:val="tx1"/>
                  </w14:solidFill>
                </w14:textFill>
              </w:rPr>
              <w:t>项目行业类别属于“四十一、电力、热力生产和供应业”中的“91 热力生产和供应工程（包括建设单位自建自用的供热工程）”，对照《产业结构调整指导目录》（20</w:t>
            </w:r>
            <w:r>
              <w:rPr>
                <w:rFonts w:hint="eastAsia"/>
                <w:color w:val="000000" w:themeColor="text1"/>
                <w:sz w:val="24"/>
                <w14:textFill>
                  <w14:solidFill>
                    <w14:schemeClr w14:val="tx1"/>
                  </w14:solidFill>
                </w14:textFill>
              </w:rPr>
              <w:t>24</w:t>
            </w:r>
            <w:r>
              <w:rPr>
                <w:color w:val="000000" w:themeColor="text1"/>
                <w:sz w:val="24"/>
                <w14:textFill>
                  <w14:solidFill>
                    <w14:schemeClr w14:val="tx1"/>
                  </w14:solidFill>
                </w14:textFill>
              </w:rPr>
              <w:t>年本），本项目不属于“限制类、淘汰类”项目，为允许类，符合国家现行产业政策要求。</w:t>
            </w:r>
          </w:p>
          <w:p w14:paraId="39BEAD8B">
            <w:pPr>
              <w:tabs>
                <w:tab w:val="left" w:pos="4298"/>
              </w:tabs>
              <w:spacing w:line="360" w:lineRule="auto"/>
              <w:ind w:firstLine="480" w:firstLineChars="200"/>
              <w:rPr>
                <w:sz w:val="24"/>
              </w:rPr>
            </w:pPr>
            <w:r>
              <w:rPr>
                <w:sz w:val="24"/>
              </w:rPr>
              <w:t>项目所使用的原材料、生产设备及生产工艺均不属于《产业结构调整指导目录》（2024年本）》中的限制类和淘汰类产品及设备。</w:t>
            </w:r>
          </w:p>
          <w:p w14:paraId="63148B87">
            <w:pPr>
              <w:tabs>
                <w:tab w:val="left" w:pos="4298"/>
              </w:tabs>
              <w:spacing w:line="360" w:lineRule="auto"/>
              <w:ind w:firstLine="480" w:firstLineChars="200"/>
              <w:rPr>
                <w:sz w:val="24"/>
              </w:rPr>
            </w:pPr>
            <w:r>
              <w:rPr>
                <w:sz w:val="24"/>
              </w:rPr>
              <w:t>项目经</w:t>
            </w:r>
            <w:r>
              <w:rPr>
                <w:rFonts w:hint="eastAsia"/>
                <w:sz w:val="24"/>
              </w:rPr>
              <w:t>衡山县发展和改革局</w:t>
            </w:r>
            <w:r>
              <w:rPr>
                <w:sz w:val="24"/>
              </w:rPr>
              <w:t>备案，项目编码为：2505-430423-04-01-678723，故本项目符合国家产业政策和</w:t>
            </w:r>
            <w:r>
              <w:rPr>
                <w:rFonts w:hint="eastAsia"/>
                <w:sz w:val="24"/>
              </w:rPr>
              <w:t>衡阳</w:t>
            </w:r>
            <w:r>
              <w:rPr>
                <w:sz w:val="24"/>
              </w:rPr>
              <w:t>市产业发展规划要求。</w:t>
            </w:r>
          </w:p>
          <w:p w14:paraId="2639B8AC">
            <w:pPr>
              <w:tabs>
                <w:tab w:val="left" w:pos="4298"/>
              </w:tabs>
              <w:spacing w:line="360" w:lineRule="auto"/>
              <w:ind w:firstLine="480" w:firstLineChars="200"/>
              <w:rPr>
                <w:sz w:val="24"/>
              </w:rPr>
            </w:pPr>
            <w:r>
              <w:rPr>
                <w:sz w:val="24"/>
              </w:rPr>
              <w:t>综上所述，本项目符合相关的国家和地方产业政策。</w:t>
            </w:r>
          </w:p>
          <w:p w14:paraId="0D4E13E5">
            <w:pPr>
              <w:widowControl/>
              <w:spacing w:line="360" w:lineRule="auto"/>
              <w:ind w:firstLine="482" w:firstLineChars="200"/>
              <w:jc w:val="left"/>
              <w:rPr>
                <w:color w:val="000000"/>
                <w:sz w:val="24"/>
              </w:rPr>
            </w:pPr>
            <w:r>
              <w:rPr>
                <w:rFonts w:hint="eastAsia"/>
                <w:b/>
                <w:bCs/>
                <w:color w:val="000000"/>
                <w:sz w:val="24"/>
              </w:rPr>
              <w:t>2、“三线一单”符合性分析</w:t>
            </w:r>
          </w:p>
          <w:p w14:paraId="2D40023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（1）生态</w:t>
            </w:r>
            <w:r>
              <w:rPr>
                <w:rFonts w:hint="eastAsia"/>
                <w:color w:val="000000" w:themeColor="text1"/>
                <w:sz w:val="24"/>
                <w14:textFill>
                  <w14:solidFill>
                    <w14:schemeClr w14:val="tx1"/>
                  </w14:solidFill>
                </w14:textFill>
              </w:rPr>
              <w:t>保护</w:t>
            </w:r>
            <w:r>
              <w:rPr>
                <w:color w:val="000000" w:themeColor="text1"/>
                <w:sz w:val="24"/>
                <w14:textFill>
                  <w14:solidFill>
                    <w14:schemeClr w14:val="tx1"/>
                  </w14:solidFill>
                </w14:textFill>
              </w:rPr>
              <w:t>红线</w:t>
            </w:r>
          </w:p>
          <w:p w14:paraId="0BA20EF7">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衡山县开云镇湘衡村八组</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根据衡阳市生态保护红线分布图，项目不在生态保护红线范围内。项目建设符合生态保护红线要求</w:t>
            </w:r>
            <w:r>
              <w:rPr>
                <w:color w:val="000000" w:themeColor="text1"/>
                <w:sz w:val="24"/>
                <w14:textFill>
                  <w14:solidFill>
                    <w14:schemeClr w14:val="tx1"/>
                  </w14:solidFill>
                </w14:textFill>
              </w:rPr>
              <w:t>。</w:t>
            </w:r>
          </w:p>
          <w:p w14:paraId="6324CD6E">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（2）环境质量底线</w:t>
            </w:r>
          </w:p>
          <w:p w14:paraId="15E9DB8A">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①大气环境</w:t>
            </w:r>
          </w:p>
          <w:p w14:paraId="47980A29">
            <w:pPr>
              <w:spacing w:line="360" w:lineRule="auto"/>
              <w:ind w:firstLine="480" w:firstLineChars="200"/>
              <w:rPr>
                <w:sz w:val="24"/>
              </w:rPr>
            </w:pPr>
            <w:r>
              <w:rPr>
                <w:rFonts w:hint="eastAsia"/>
                <w:sz w:val="24"/>
              </w:rPr>
              <w:t>根据《2024年衡阳市生态环境状况公报》，项目所在地SO</w:t>
            </w:r>
            <w:r>
              <w:rPr>
                <w:rFonts w:hint="eastAsia"/>
                <w:sz w:val="24"/>
                <w:vertAlign w:val="subscript"/>
              </w:rPr>
              <w:t>2</w:t>
            </w:r>
            <w:r>
              <w:rPr>
                <w:rFonts w:hint="eastAsia"/>
                <w:sz w:val="24"/>
              </w:rPr>
              <w:t>、NO</w:t>
            </w:r>
            <w:r>
              <w:rPr>
                <w:rFonts w:hint="eastAsia"/>
                <w:sz w:val="24"/>
                <w:vertAlign w:val="subscript"/>
              </w:rPr>
              <w:t>2</w:t>
            </w:r>
            <w:r>
              <w:rPr>
                <w:rFonts w:hint="eastAsia"/>
                <w:sz w:val="24"/>
              </w:rPr>
              <w:t>、O</w:t>
            </w:r>
            <w:r>
              <w:rPr>
                <w:rFonts w:hint="eastAsia"/>
                <w:sz w:val="24"/>
                <w:vertAlign w:val="subscript"/>
              </w:rPr>
              <w:t>3</w:t>
            </w:r>
            <w:r>
              <w:rPr>
                <w:rFonts w:hint="eastAsia"/>
                <w:sz w:val="24"/>
              </w:rPr>
              <w:t>、CO、PM</w:t>
            </w:r>
            <w:r>
              <w:rPr>
                <w:rFonts w:hint="eastAsia"/>
                <w:sz w:val="24"/>
                <w:vertAlign w:val="subscript"/>
              </w:rPr>
              <w:t>10</w:t>
            </w:r>
            <w:r>
              <w:rPr>
                <w:rFonts w:hint="eastAsia"/>
                <w:sz w:val="24"/>
              </w:rPr>
              <w:t>、PM</w:t>
            </w:r>
            <w:r>
              <w:rPr>
                <w:rFonts w:hint="eastAsia"/>
                <w:sz w:val="24"/>
                <w:vertAlign w:val="subscript"/>
              </w:rPr>
              <w:t>2.5</w:t>
            </w:r>
            <w:r>
              <w:rPr>
                <w:rFonts w:hint="eastAsia"/>
                <w:sz w:val="24"/>
              </w:rPr>
              <w:t>年均质量浓度均达到《环境空气质量标准》（GB3095-2012）二级标准。因此，衡山县为环境空气质量达标区。本项目建成运营后，为降低对外环境的大气影响，产生的废气均采取有效防治措施，对周边大气环境影响较小，不会降低现有环境功能。</w:t>
            </w:r>
          </w:p>
          <w:p w14:paraId="2ECA963F">
            <w:pPr>
              <w:spacing w:line="360" w:lineRule="auto"/>
              <w:ind w:firstLine="480" w:firstLineChars="200"/>
              <w:rPr>
                <w:sz w:val="24"/>
              </w:rPr>
            </w:pPr>
            <w:r>
              <w:rPr>
                <w:rFonts w:hint="eastAsia"/>
                <w:sz w:val="24"/>
              </w:rPr>
              <w:t>②地表水环境</w:t>
            </w:r>
          </w:p>
          <w:p w14:paraId="2CF2B013">
            <w:pPr>
              <w:spacing w:line="360" w:lineRule="auto"/>
              <w:ind w:firstLine="480" w:firstLineChars="200"/>
              <w:rPr>
                <w:sz w:val="24"/>
              </w:rPr>
            </w:pPr>
            <w:r>
              <w:rPr>
                <w:rFonts w:hint="eastAsia"/>
                <w:sz w:val="24"/>
              </w:rPr>
              <w:t>区域地表水湘江水质满足《地表水环境质量标准》（GB3838-2002）中I</w:t>
            </w:r>
            <w:r>
              <w:rPr>
                <w:sz w:val="24"/>
              </w:rPr>
              <w:t>I</w:t>
            </w:r>
            <w:r>
              <w:rPr>
                <w:rFonts w:hint="eastAsia"/>
                <w:sz w:val="24"/>
              </w:rPr>
              <w:t>类水标准。项目废水排入污水处理厂处理，对周边地表水影响较小。</w:t>
            </w:r>
          </w:p>
          <w:p w14:paraId="7559A3CA">
            <w:pPr>
              <w:spacing w:line="360" w:lineRule="auto"/>
              <w:ind w:firstLine="480" w:firstLineChars="200"/>
              <w:rPr>
                <w:sz w:val="24"/>
              </w:rPr>
            </w:pPr>
            <w:r>
              <w:rPr>
                <w:rFonts w:hint="eastAsia"/>
                <w:sz w:val="24"/>
              </w:rPr>
              <w:t>③声环境</w:t>
            </w:r>
          </w:p>
          <w:p w14:paraId="0AED62E3">
            <w:pPr>
              <w:spacing w:line="360" w:lineRule="auto"/>
              <w:ind w:firstLine="480" w:firstLineChars="200"/>
              <w:rPr>
                <w:sz w:val="24"/>
              </w:rPr>
            </w:pPr>
            <w:r>
              <w:rPr>
                <w:rFonts w:hint="eastAsia"/>
                <w:sz w:val="24"/>
              </w:rPr>
              <w:t>根据现状监测数据，项目所在区域声环境质量满足《声环境质量标准》（GB3096-2008）2类标准要求。本项目建成运营后，厂内产生的噪声对周边声环境影响较小。因此，项目的建设不会突破区域环境质量底线。</w:t>
            </w:r>
          </w:p>
          <w:p w14:paraId="4FF76486">
            <w:pPr>
              <w:spacing w:line="360" w:lineRule="auto"/>
              <w:ind w:firstLine="480" w:firstLineChars="200"/>
              <w:rPr>
                <w:sz w:val="24"/>
              </w:rPr>
            </w:pPr>
            <w:r>
              <w:rPr>
                <w:rFonts w:hint="eastAsia"/>
                <w:sz w:val="24"/>
              </w:rPr>
              <w:t>（3）资源利用上线</w:t>
            </w:r>
          </w:p>
          <w:p w14:paraId="60D83C26">
            <w:pPr>
              <w:spacing w:line="360" w:lineRule="auto"/>
              <w:ind w:firstLine="480" w:firstLineChars="200"/>
              <w:rPr>
                <w:sz w:val="24"/>
              </w:rPr>
            </w:pPr>
            <w:r>
              <w:rPr>
                <w:rFonts w:hint="eastAsia"/>
                <w:sz w:val="24"/>
              </w:rPr>
              <w:t>项目用水主要为生活用水和生产用水等，区域水资源丰富，可满足用水需求；项目用电由当地电网供电；</w:t>
            </w:r>
            <w:r>
              <w:rPr>
                <w:sz w:val="24"/>
              </w:rPr>
              <w:t>项目</w:t>
            </w:r>
            <w:r>
              <w:rPr>
                <w:rFonts w:hint="eastAsia"/>
                <w:sz w:val="24"/>
              </w:rPr>
              <w:t>土地资源消耗符合要求。因此，项目营运期不会突破区域资源利用上线。</w:t>
            </w:r>
          </w:p>
          <w:p w14:paraId="628864FB">
            <w:pPr>
              <w:spacing w:line="360" w:lineRule="auto"/>
              <w:ind w:firstLine="480" w:firstLineChars="200"/>
              <w:rPr>
                <w:sz w:val="24"/>
              </w:rPr>
            </w:pPr>
            <w:r>
              <w:rPr>
                <w:rFonts w:hint="eastAsia"/>
                <w:sz w:val="24"/>
              </w:rPr>
              <w:t>（4）生态环境准入清单</w:t>
            </w:r>
          </w:p>
          <w:p w14:paraId="075DF423">
            <w:pPr>
              <w:spacing w:line="360" w:lineRule="auto"/>
              <w:ind w:firstLine="480" w:firstLineChars="200"/>
              <w:rPr>
                <w:sz w:val="24"/>
              </w:rPr>
            </w:pPr>
            <w:r>
              <w:rPr>
                <w:sz w:val="24"/>
              </w:rPr>
              <w:t>生态环境准入清单是基于生态保护红线、环境质量底线和资源利用上线，以清单方式列出的禁止、限制等差别化环境准入条件和要求。根据《</w:t>
            </w:r>
            <w:r>
              <w:rPr>
                <w:rFonts w:hint="eastAsia"/>
                <w:sz w:val="24"/>
              </w:rPr>
              <w:t>衡阳市</w:t>
            </w:r>
            <w:r>
              <w:rPr>
                <w:sz w:val="24"/>
              </w:rPr>
              <w:t>人民政府关于实施“三线一单”生态环境分区管控的意见》（</w:t>
            </w:r>
            <w:r>
              <w:rPr>
                <w:rFonts w:hint="eastAsia"/>
                <w:sz w:val="24"/>
              </w:rPr>
              <w:t>衡</w:t>
            </w:r>
            <w:r>
              <w:rPr>
                <w:sz w:val="24"/>
              </w:rPr>
              <w:t>政发[2020]</w:t>
            </w:r>
            <w:r>
              <w:rPr>
                <w:rFonts w:hint="eastAsia"/>
                <w:sz w:val="24"/>
              </w:rPr>
              <w:t>9</w:t>
            </w:r>
            <w:r>
              <w:rPr>
                <w:sz w:val="24"/>
              </w:rPr>
              <w:t>号）中</w:t>
            </w:r>
            <w:r>
              <w:rPr>
                <w:rFonts w:hint="eastAsia"/>
                <w:sz w:val="24"/>
              </w:rPr>
              <w:t>“</w:t>
            </w:r>
            <w:r>
              <w:rPr>
                <w:sz w:val="24"/>
              </w:rPr>
              <w:t xml:space="preserve">附件3 </w:t>
            </w:r>
            <w:r>
              <w:rPr>
                <w:rFonts w:hint="eastAsia"/>
                <w:sz w:val="24"/>
              </w:rPr>
              <w:t>衡阳</w:t>
            </w:r>
            <w:r>
              <w:rPr>
                <w:sz w:val="24"/>
              </w:rPr>
              <w:t>市生态环境管控基本要求</w:t>
            </w:r>
            <w:r>
              <w:rPr>
                <w:rFonts w:hint="eastAsia"/>
                <w:sz w:val="24"/>
              </w:rPr>
              <w:t>”</w:t>
            </w:r>
            <w:r>
              <w:rPr>
                <w:sz w:val="24"/>
              </w:rPr>
              <w:t>，本项目生态环境准入清单符合性见下表</w:t>
            </w:r>
            <w:r>
              <w:rPr>
                <w:rFonts w:hint="eastAsia"/>
                <w:sz w:val="24"/>
              </w:rPr>
              <w:t>。</w:t>
            </w:r>
          </w:p>
          <w:p w14:paraId="510BF2E2">
            <w:pPr>
              <w:jc w:val="center"/>
              <w:rPr>
                <w:b/>
                <w:szCs w:val="21"/>
              </w:rPr>
            </w:pPr>
          </w:p>
          <w:p w14:paraId="3A6BA22E">
            <w:pPr>
              <w:jc w:val="center"/>
              <w:rPr>
                <w:b/>
                <w:szCs w:val="21"/>
              </w:rPr>
            </w:pPr>
            <w:r>
              <w:rPr>
                <w:b/>
                <w:szCs w:val="21"/>
              </w:rPr>
              <w:t>表</w:t>
            </w:r>
            <w:r>
              <w:rPr>
                <w:rFonts w:hint="eastAsia"/>
                <w:b/>
                <w:szCs w:val="21"/>
              </w:rPr>
              <w:t>1-1  “三线一单”对照分析预判情况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36"/>
              <w:gridCol w:w="582"/>
              <w:gridCol w:w="3303"/>
              <w:gridCol w:w="2196"/>
              <w:gridCol w:w="710"/>
            </w:tblGrid>
            <w:tr w14:paraId="4AC99B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4E3992C8">
                  <w:pPr>
                    <w:pStyle w:val="68"/>
                    <w:adjustRightInd/>
                    <w:snapToGrid/>
                    <w:rPr>
                      <w:b/>
                      <w:sz w:val="21"/>
                      <w:szCs w:val="21"/>
                    </w:rPr>
                  </w:pPr>
                  <w:r>
                    <w:rPr>
                      <w:rFonts w:hint="eastAsia"/>
                      <w:b/>
                      <w:sz w:val="21"/>
                      <w:szCs w:val="21"/>
                    </w:rPr>
                    <w:t>序号</w:t>
                  </w:r>
                </w:p>
              </w:tc>
              <w:tc>
                <w:tcPr>
                  <w:tcW w:w="403" w:type="pct"/>
                  <w:vAlign w:val="center"/>
                </w:tcPr>
                <w:p w14:paraId="11C0D4DB">
                  <w:pPr>
                    <w:pStyle w:val="68"/>
                    <w:adjustRightInd/>
                    <w:snapToGrid/>
                    <w:rPr>
                      <w:b/>
                      <w:sz w:val="21"/>
                      <w:szCs w:val="21"/>
                    </w:rPr>
                  </w:pPr>
                  <w:r>
                    <w:rPr>
                      <w:rFonts w:hint="eastAsia"/>
                      <w:b/>
                      <w:sz w:val="21"/>
                      <w:szCs w:val="21"/>
                    </w:rPr>
                    <w:t>类别</w:t>
                  </w:r>
                </w:p>
              </w:tc>
              <w:tc>
                <w:tcPr>
                  <w:tcW w:w="2285" w:type="pct"/>
                  <w:vAlign w:val="center"/>
                </w:tcPr>
                <w:p w14:paraId="2DB29300">
                  <w:pPr>
                    <w:pStyle w:val="68"/>
                    <w:adjustRightInd/>
                    <w:snapToGrid/>
                    <w:rPr>
                      <w:b/>
                      <w:sz w:val="21"/>
                      <w:szCs w:val="21"/>
                    </w:rPr>
                  </w:pPr>
                  <w:r>
                    <w:rPr>
                      <w:rFonts w:hint="eastAsia"/>
                      <w:b/>
                      <w:sz w:val="21"/>
                      <w:szCs w:val="21"/>
                    </w:rPr>
                    <w:t>管控要求</w:t>
                  </w:r>
                </w:p>
              </w:tc>
              <w:tc>
                <w:tcPr>
                  <w:tcW w:w="1519" w:type="pct"/>
                  <w:vAlign w:val="center"/>
                </w:tcPr>
                <w:p w14:paraId="36BE3EBE">
                  <w:pPr>
                    <w:pStyle w:val="68"/>
                    <w:adjustRightInd/>
                    <w:snapToGrid/>
                    <w:rPr>
                      <w:b/>
                      <w:sz w:val="21"/>
                      <w:szCs w:val="21"/>
                    </w:rPr>
                  </w:pPr>
                  <w:r>
                    <w:rPr>
                      <w:rFonts w:hint="eastAsia"/>
                      <w:b/>
                      <w:sz w:val="21"/>
                      <w:szCs w:val="21"/>
                    </w:rPr>
                    <w:t>符合性分析</w:t>
                  </w:r>
                </w:p>
              </w:tc>
              <w:tc>
                <w:tcPr>
                  <w:tcW w:w="491" w:type="pct"/>
                  <w:vAlign w:val="center"/>
                </w:tcPr>
                <w:p w14:paraId="3B79CD66">
                  <w:pPr>
                    <w:pStyle w:val="68"/>
                    <w:adjustRightInd/>
                    <w:snapToGrid/>
                    <w:rPr>
                      <w:b/>
                      <w:sz w:val="21"/>
                      <w:szCs w:val="21"/>
                    </w:rPr>
                  </w:pPr>
                  <w:r>
                    <w:rPr>
                      <w:rFonts w:hint="eastAsia"/>
                      <w:b/>
                      <w:sz w:val="21"/>
                      <w:szCs w:val="21"/>
                    </w:rPr>
                    <w:t>是否满足要求</w:t>
                  </w:r>
                </w:p>
              </w:tc>
            </w:tr>
            <w:tr w14:paraId="4BFCDC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3368B21F">
                  <w:pPr>
                    <w:pStyle w:val="68"/>
                    <w:adjustRightInd/>
                    <w:snapToGrid/>
                    <w:rPr>
                      <w:sz w:val="21"/>
                      <w:szCs w:val="21"/>
                    </w:rPr>
                  </w:pPr>
                  <w:r>
                    <w:rPr>
                      <w:rFonts w:hint="eastAsia"/>
                      <w:sz w:val="21"/>
                      <w:szCs w:val="21"/>
                    </w:rPr>
                    <w:t>1</w:t>
                  </w:r>
                </w:p>
              </w:tc>
              <w:tc>
                <w:tcPr>
                  <w:tcW w:w="403" w:type="pct"/>
                  <w:vAlign w:val="center"/>
                </w:tcPr>
                <w:p w14:paraId="528630E4">
                  <w:pPr>
                    <w:pStyle w:val="68"/>
                    <w:adjustRightInd/>
                    <w:snapToGrid/>
                    <w:rPr>
                      <w:sz w:val="21"/>
                      <w:szCs w:val="21"/>
                    </w:rPr>
                  </w:pPr>
                  <w:r>
                    <w:rPr>
                      <w:rFonts w:hint="eastAsia"/>
                      <w:sz w:val="21"/>
                      <w:szCs w:val="21"/>
                    </w:rPr>
                    <w:t>环境管控单元</w:t>
                  </w:r>
                </w:p>
              </w:tc>
              <w:tc>
                <w:tcPr>
                  <w:tcW w:w="2285" w:type="pct"/>
                  <w:vAlign w:val="center"/>
                </w:tcPr>
                <w:p w14:paraId="010E8EAC">
                  <w:pPr>
                    <w:pStyle w:val="68"/>
                    <w:adjustRightInd/>
                    <w:snapToGrid/>
                    <w:rPr>
                      <w:sz w:val="21"/>
                      <w:szCs w:val="21"/>
                    </w:rPr>
                  </w:pPr>
                  <w:r>
                    <w:rPr>
                      <w:rFonts w:hint="eastAsia"/>
                      <w:sz w:val="21"/>
                      <w:szCs w:val="21"/>
                    </w:rPr>
                    <w:t>环境管控单元分为三类，其中衡山县具体环境管控单元为优先保护单元</w:t>
                  </w:r>
                  <w:r>
                    <w:rPr>
                      <w:sz w:val="21"/>
                      <w:szCs w:val="21"/>
                    </w:rPr>
                    <w:t>2</w:t>
                  </w:r>
                  <w:r>
                    <w:rPr>
                      <w:rFonts w:hint="eastAsia"/>
                      <w:sz w:val="21"/>
                      <w:szCs w:val="21"/>
                    </w:rPr>
                    <w:t>个（店门镇/萱洲镇/永和乡，东湖镇）；重点管控单元</w:t>
                  </w:r>
                  <w:r>
                    <w:rPr>
                      <w:sz w:val="21"/>
                      <w:szCs w:val="21"/>
                    </w:rPr>
                    <w:t>1</w:t>
                  </w:r>
                  <w:r>
                    <w:rPr>
                      <w:rFonts w:hint="eastAsia"/>
                      <w:sz w:val="21"/>
                      <w:szCs w:val="21"/>
                    </w:rPr>
                    <w:t>个（开云镇/长江镇）；一般管控单元</w:t>
                  </w:r>
                  <w:r>
                    <w:rPr>
                      <w:sz w:val="21"/>
                      <w:szCs w:val="21"/>
                    </w:rPr>
                    <w:t>1</w:t>
                  </w:r>
                  <w:r>
                    <w:rPr>
                      <w:rFonts w:hint="eastAsia"/>
                      <w:sz w:val="21"/>
                      <w:szCs w:val="21"/>
                    </w:rPr>
                    <w:t>个（</w:t>
                  </w:r>
                  <w:r>
                    <w:rPr>
                      <w:sz w:val="21"/>
                    </w:rPr>
                    <w:t>白果镇/福田铺乡/贯塘乡/江东乡/岭坡乡/开云镇</w:t>
                  </w:r>
                  <w:r>
                    <w:rPr>
                      <w:rFonts w:hint="eastAsia"/>
                      <w:sz w:val="21"/>
                      <w:szCs w:val="21"/>
                    </w:rPr>
                    <w:t>）。</w:t>
                  </w:r>
                </w:p>
              </w:tc>
              <w:tc>
                <w:tcPr>
                  <w:tcW w:w="1519" w:type="pct"/>
                  <w:vAlign w:val="center"/>
                </w:tcPr>
                <w:p w14:paraId="268408EB">
                  <w:pPr>
                    <w:pStyle w:val="68"/>
                    <w:adjustRightInd/>
                    <w:snapToGrid/>
                    <w:rPr>
                      <w:sz w:val="21"/>
                      <w:szCs w:val="21"/>
                    </w:rPr>
                  </w:pPr>
                  <w:r>
                    <w:rPr>
                      <w:sz w:val="21"/>
                      <w:szCs w:val="21"/>
                    </w:rPr>
                    <w:t>本项目位于衡山县开云镇湘衡村八组</w:t>
                  </w:r>
                  <w:r>
                    <w:rPr>
                      <w:rFonts w:hint="eastAsia"/>
                      <w:sz w:val="21"/>
                      <w:szCs w:val="21"/>
                    </w:rPr>
                    <w:t>，属于重点管控单元</w:t>
                  </w:r>
                </w:p>
              </w:tc>
              <w:tc>
                <w:tcPr>
                  <w:tcW w:w="491" w:type="pct"/>
                  <w:vAlign w:val="center"/>
                </w:tcPr>
                <w:p w14:paraId="3256EE33">
                  <w:pPr>
                    <w:pStyle w:val="68"/>
                    <w:adjustRightInd/>
                    <w:snapToGrid/>
                    <w:rPr>
                      <w:sz w:val="21"/>
                      <w:szCs w:val="21"/>
                    </w:rPr>
                  </w:pPr>
                  <w:r>
                    <w:rPr>
                      <w:rFonts w:hint="eastAsia"/>
                      <w:sz w:val="21"/>
                      <w:szCs w:val="21"/>
                    </w:rPr>
                    <w:t>是</w:t>
                  </w:r>
                </w:p>
              </w:tc>
            </w:tr>
            <w:tr w14:paraId="6D46BF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3EAF847E">
                  <w:pPr>
                    <w:pStyle w:val="68"/>
                    <w:adjustRightInd/>
                    <w:snapToGrid/>
                    <w:rPr>
                      <w:sz w:val="21"/>
                      <w:szCs w:val="21"/>
                    </w:rPr>
                  </w:pPr>
                  <w:r>
                    <w:rPr>
                      <w:rFonts w:hint="eastAsia"/>
                      <w:sz w:val="21"/>
                      <w:szCs w:val="21"/>
                    </w:rPr>
                    <w:t>2</w:t>
                  </w:r>
                </w:p>
              </w:tc>
              <w:tc>
                <w:tcPr>
                  <w:tcW w:w="403" w:type="pct"/>
                  <w:vAlign w:val="center"/>
                </w:tcPr>
                <w:p w14:paraId="6E7ABA06">
                  <w:pPr>
                    <w:pStyle w:val="68"/>
                    <w:adjustRightInd/>
                    <w:snapToGrid/>
                    <w:rPr>
                      <w:sz w:val="21"/>
                      <w:szCs w:val="21"/>
                    </w:rPr>
                  </w:pPr>
                  <w:r>
                    <w:rPr>
                      <w:rFonts w:hint="eastAsia"/>
                      <w:sz w:val="21"/>
                      <w:szCs w:val="21"/>
                    </w:rPr>
                    <w:t>主要属性</w:t>
                  </w:r>
                </w:p>
              </w:tc>
              <w:tc>
                <w:tcPr>
                  <w:tcW w:w="2285" w:type="pct"/>
                  <w:vAlign w:val="center"/>
                </w:tcPr>
                <w:p w14:paraId="753F79BA">
                  <w:pPr>
                    <w:pStyle w:val="68"/>
                    <w:adjustRightInd/>
                    <w:snapToGrid/>
                    <w:rPr>
                      <w:sz w:val="21"/>
                    </w:rPr>
                  </w:pPr>
                  <w:r>
                    <w:rPr>
                      <w:rFonts w:hint="eastAsia"/>
                      <w:sz w:val="21"/>
                      <w:szCs w:val="21"/>
                    </w:rPr>
                    <w:t>1、</w:t>
                  </w:r>
                  <w:r>
                    <w:rPr>
                      <w:sz w:val="21"/>
                    </w:rPr>
                    <w:t>红线/一般生态空间——公益林/湿地公园/水产种质资源保护区/水土保持功能重要区/水土流失敏感区/水源涵养重要区</w:t>
                  </w:r>
                </w:p>
                <w:p w14:paraId="1F2DD706">
                  <w:pPr>
                    <w:pStyle w:val="68"/>
                    <w:adjustRightInd/>
                    <w:snapToGrid/>
                    <w:rPr>
                      <w:sz w:val="21"/>
                    </w:rPr>
                  </w:pPr>
                  <w:r>
                    <w:rPr>
                      <w:rFonts w:hint="eastAsia"/>
                      <w:sz w:val="21"/>
                      <w:szCs w:val="21"/>
                    </w:rPr>
                    <w:t>2、</w:t>
                  </w:r>
                  <w:r>
                    <w:rPr>
                      <w:sz w:val="21"/>
                    </w:rPr>
                    <w:t>水环境优先保护区——萱洲国家湿地公园、湘江衡阳段四大家鱼国家级水产种质资源保护区</w:t>
                  </w:r>
                </w:p>
                <w:p w14:paraId="3C9EBDCC">
                  <w:pPr>
                    <w:pStyle w:val="68"/>
                    <w:adjustRightInd/>
                    <w:snapToGrid/>
                    <w:rPr>
                      <w:sz w:val="21"/>
                      <w:szCs w:val="21"/>
                    </w:rPr>
                  </w:pPr>
                  <w:r>
                    <w:rPr>
                      <w:rFonts w:hint="eastAsia"/>
                      <w:sz w:val="21"/>
                    </w:rPr>
                    <w:t>3、</w:t>
                  </w:r>
                  <w:r>
                    <w:rPr>
                      <w:sz w:val="21"/>
                    </w:rPr>
                    <w:t>大气环境布局敏感重点管控区</w:t>
                  </w:r>
                </w:p>
                <w:p w14:paraId="30E412ED">
                  <w:pPr>
                    <w:pStyle w:val="68"/>
                    <w:adjustRightInd/>
                    <w:snapToGrid/>
                    <w:rPr>
                      <w:sz w:val="21"/>
                      <w:szCs w:val="21"/>
                    </w:rPr>
                  </w:pPr>
                  <w:r>
                    <w:rPr>
                      <w:sz w:val="21"/>
                      <w:szCs w:val="21"/>
                    </w:rPr>
                    <w:t>4</w:t>
                  </w:r>
                  <w:r>
                    <w:rPr>
                      <w:rFonts w:hint="eastAsia"/>
                      <w:sz w:val="21"/>
                      <w:szCs w:val="21"/>
                    </w:rPr>
                    <w:t>、</w:t>
                  </w:r>
                  <w:r>
                    <w:rPr>
                      <w:sz w:val="21"/>
                    </w:rPr>
                    <w:t>农用地优先保护区/其他土壤重点管控区——市县级采矿权/砂石矿</w:t>
                  </w:r>
                </w:p>
              </w:tc>
              <w:tc>
                <w:tcPr>
                  <w:tcW w:w="1519" w:type="pct"/>
                  <w:vAlign w:val="center"/>
                </w:tcPr>
                <w:p w14:paraId="38B6E371">
                  <w:pPr>
                    <w:pStyle w:val="68"/>
                    <w:adjustRightInd/>
                    <w:snapToGrid/>
                    <w:rPr>
                      <w:sz w:val="21"/>
                      <w:szCs w:val="21"/>
                    </w:rPr>
                  </w:pPr>
                  <w:r>
                    <w:rPr>
                      <w:rFonts w:hint="eastAsia"/>
                      <w:sz w:val="21"/>
                      <w:szCs w:val="21"/>
                    </w:rPr>
                    <w:t>1、</w:t>
                  </w:r>
                  <w:r>
                    <w:rPr>
                      <w:sz w:val="21"/>
                      <w:szCs w:val="21"/>
                    </w:rPr>
                    <w:t>本项目位于衡山县开云镇湘衡村八组，</w:t>
                  </w:r>
                  <w:r>
                    <w:rPr>
                      <w:rFonts w:hint="eastAsia"/>
                      <w:sz w:val="21"/>
                      <w:szCs w:val="21"/>
                    </w:rPr>
                    <w:t>不在衡山县</w:t>
                  </w:r>
                  <w:r>
                    <w:rPr>
                      <w:sz w:val="21"/>
                      <w:szCs w:val="21"/>
                    </w:rPr>
                    <w:t>公益林/水土保持功能重要区</w:t>
                  </w:r>
                  <w:r>
                    <w:rPr>
                      <w:rFonts w:hint="eastAsia"/>
                      <w:sz w:val="21"/>
                      <w:szCs w:val="21"/>
                    </w:rPr>
                    <w:t>；</w:t>
                  </w:r>
                </w:p>
                <w:p w14:paraId="5B403B9E">
                  <w:pPr>
                    <w:pStyle w:val="68"/>
                    <w:adjustRightInd/>
                    <w:snapToGrid/>
                    <w:rPr>
                      <w:sz w:val="21"/>
                      <w:szCs w:val="21"/>
                    </w:rPr>
                  </w:pPr>
                  <w:r>
                    <w:rPr>
                      <w:rFonts w:hint="eastAsia"/>
                      <w:sz w:val="21"/>
                      <w:szCs w:val="21"/>
                    </w:rPr>
                    <w:t>2、本项目不在</w:t>
                  </w:r>
                  <w:r>
                    <w:rPr>
                      <w:sz w:val="21"/>
                    </w:rPr>
                    <w:t>萱洲国家湿地公园、湘江衡阳段四大家鱼国家级水产种质资源保护区</w:t>
                  </w:r>
                  <w:r>
                    <w:rPr>
                      <w:rFonts w:hint="eastAsia"/>
                      <w:sz w:val="21"/>
                      <w:szCs w:val="21"/>
                    </w:rPr>
                    <w:t>；</w:t>
                  </w:r>
                </w:p>
                <w:p w14:paraId="4A3C06DF">
                  <w:pPr>
                    <w:pStyle w:val="68"/>
                    <w:adjustRightInd/>
                    <w:snapToGrid/>
                    <w:rPr>
                      <w:sz w:val="21"/>
                      <w:szCs w:val="21"/>
                    </w:rPr>
                  </w:pPr>
                  <w:r>
                    <w:rPr>
                      <w:rFonts w:hint="eastAsia"/>
                      <w:sz w:val="21"/>
                      <w:szCs w:val="21"/>
                    </w:rPr>
                    <w:t>3、项目</w:t>
                  </w:r>
                  <w:r>
                    <w:rPr>
                      <w:sz w:val="21"/>
                      <w:szCs w:val="21"/>
                    </w:rPr>
                    <w:t>不涉及</w:t>
                  </w:r>
                  <w:r>
                    <w:rPr>
                      <w:rFonts w:hint="eastAsia"/>
                      <w:sz w:val="21"/>
                      <w:szCs w:val="21"/>
                    </w:rPr>
                    <w:t>采矿，不在</w:t>
                  </w:r>
                  <w:r>
                    <w:rPr>
                      <w:sz w:val="21"/>
                    </w:rPr>
                    <w:t>农用地优先保护区/其他土壤重点管控区</w:t>
                  </w:r>
                  <w:r>
                    <w:rPr>
                      <w:rFonts w:hint="eastAsia"/>
                      <w:sz w:val="21"/>
                    </w:rPr>
                    <w:t>。</w:t>
                  </w:r>
                </w:p>
              </w:tc>
              <w:tc>
                <w:tcPr>
                  <w:tcW w:w="491" w:type="pct"/>
                  <w:vAlign w:val="center"/>
                </w:tcPr>
                <w:p w14:paraId="7BE0771E">
                  <w:pPr>
                    <w:pStyle w:val="68"/>
                    <w:adjustRightInd/>
                    <w:snapToGrid/>
                    <w:rPr>
                      <w:sz w:val="21"/>
                      <w:szCs w:val="21"/>
                    </w:rPr>
                  </w:pPr>
                  <w:r>
                    <w:rPr>
                      <w:rFonts w:hint="eastAsia"/>
                      <w:sz w:val="21"/>
                      <w:szCs w:val="21"/>
                    </w:rPr>
                    <w:t>是</w:t>
                  </w:r>
                </w:p>
              </w:tc>
            </w:tr>
            <w:tr w14:paraId="2CB258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4E2D3FE1">
                  <w:pPr>
                    <w:pStyle w:val="68"/>
                    <w:adjustRightInd/>
                    <w:snapToGrid/>
                    <w:rPr>
                      <w:sz w:val="21"/>
                      <w:szCs w:val="21"/>
                    </w:rPr>
                  </w:pPr>
                  <w:r>
                    <w:rPr>
                      <w:rFonts w:hint="eastAsia"/>
                      <w:sz w:val="21"/>
                      <w:szCs w:val="21"/>
                    </w:rPr>
                    <w:t>3</w:t>
                  </w:r>
                </w:p>
              </w:tc>
              <w:tc>
                <w:tcPr>
                  <w:tcW w:w="403" w:type="pct"/>
                  <w:vAlign w:val="center"/>
                </w:tcPr>
                <w:p w14:paraId="38F8855D">
                  <w:pPr>
                    <w:pStyle w:val="68"/>
                    <w:adjustRightInd/>
                    <w:snapToGrid/>
                    <w:rPr>
                      <w:sz w:val="21"/>
                      <w:szCs w:val="21"/>
                    </w:rPr>
                  </w:pPr>
                  <w:r>
                    <w:rPr>
                      <w:rFonts w:hint="eastAsia"/>
                      <w:sz w:val="21"/>
                      <w:szCs w:val="21"/>
                    </w:rPr>
                    <w:t>空间布局约束</w:t>
                  </w:r>
                </w:p>
              </w:tc>
              <w:tc>
                <w:tcPr>
                  <w:tcW w:w="2285" w:type="pct"/>
                  <w:vAlign w:val="center"/>
                </w:tcPr>
                <w:p w14:paraId="31210678">
                  <w:pPr>
                    <w:pStyle w:val="68"/>
                    <w:adjustRightInd/>
                    <w:snapToGrid/>
                    <w:rPr>
                      <w:sz w:val="21"/>
                    </w:rPr>
                  </w:pPr>
                  <w:r>
                    <w:rPr>
                      <w:rFonts w:hint="eastAsia"/>
                      <w:sz w:val="21"/>
                      <w:szCs w:val="21"/>
                    </w:rPr>
                    <w:t>1、</w:t>
                  </w:r>
                  <w:r>
                    <w:rPr>
                      <w:sz w:val="21"/>
                    </w:rPr>
                    <w:t>严禁在城市建成区内新建石化、有机化工、包装印刷、沥青搅拌站、工业涂装等高 VOCs 排放建设项</w:t>
                  </w:r>
                </w:p>
                <w:p w14:paraId="5B020096">
                  <w:pPr>
                    <w:pStyle w:val="68"/>
                    <w:adjustRightInd/>
                    <w:snapToGrid/>
                    <w:rPr>
                      <w:sz w:val="21"/>
                    </w:rPr>
                  </w:pPr>
                  <w:r>
                    <w:rPr>
                      <w:sz w:val="21"/>
                    </w:rPr>
                    <w:t>2</w:t>
                  </w:r>
                  <w:r>
                    <w:rPr>
                      <w:rFonts w:hint="eastAsia"/>
                      <w:sz w:val="21"/>
                    </w:rPr>
                    <w:t>、</w:t>
                  </w:r>
                  <w:r>
                    <w:rPr>
                      <w:sz w:val="21"/>
                    </w:rPr>
                    <w:t>科学划定畜禽养殖禁养区，在畜禽养殖污染防治规划编制和禁养区划定工作基础上，依法关闭或搬迁禁养区内的畜禽养殖场（小区）和养殖专业户</w:t>
                  </w:r>
                </w:p>
                <w:p w14:paraId="76DD4FE8">
                  <w:pPr>
                    <w:pStyle w:val="68"/>
                    <w:adjustRightInd/>
                    <w:snapToGrid/>
                    <w:rPr>
                      <w:sz w:val="21"/>
                      <w:szCs w:val="21"/>
                    </w:rPr>
                  </w:pPr>
                  <w:r>
                    <w:rPr>
                      <w:rFonts w:hint="eastAsia"/>
                      <w:sz w:val="21"/>
                    </w:rPr>
                    <w:t>3、</w:t>
                  </w:r>
                  <w:r>
                    <w:rPr>
                      <w:sz w:val="21"/>
                    </w:rPr>
                    <w:t>水产种质资源保护区按《水产种质资源保护区管理暂行办法》（2016 年修正本）要求管理</w:t>
                  </w:r>
                </w:p>
              </w:tc>
              <w:tc>
                <w:tcPr>
                  <w:tcW w:w="1519" w:type="pct"/>
                  <w:vAlign w:val="center"/>
                </w:tcPr>
                <w:p w14:paraId="234F7A2F">
                  <w:pPr>
                    <w:pStyle w:val="68"/>
                    <w:adjustRightInd/>
                    <w:snapToGrid/>
                    <w:rPr>
                      <w:sz w:val="21"/>
                      <w:szCs w:val="21"/>
                    </w:rPr>
                  </w:pPr>
                  <w:r>
                    <w:rPr>
                      <w:rFonts w:hint="eastAsia"/>
                      <w:sz w:val="21"/>
                      <w:szCs w:val="21"/>
                    </w:rPr>
                    <w:t>1、本项目属于热力生产和供应项目，不属于石化、有机化工、包装印刷、沥青搅拌站、工业涂装等高VOCs排放建设项目，</w:t>
                  </w:r>
                </w:p>
                <w:p w14:paraId="3B0F1D23">
                  <w:pPr>
                    <w:pStyle w:val="68"/>
                    <w:adjustRightInd/>
                    <w:snapToGrid/>
                    <w:rPr>
                      <w:sz w:val="21"/>
                      <w:szCs w:val="21"/>
                    </w:rPr>
                  </w:pPr>
                  <w:r>
                    <w:rPr>
                      <w:rFonts w:hint="eastAsia"/>
                      <w:sz w:val="21"/>
                      <w:szCs w:val="21"/>
                    </w:rPr>
                    <w:t>2、也不属于养殖项目。</w:t>
                  </w:r>
                </w:p>
                <w:p w14:paraId="4DDDAD2B">
                  <w:pPr>
                    <w:pStyle w:val="68"/>
                    <w:adjustRightInd/>
                    <w:snapToGrid/>
                    <w:rPr>
                      <w:sz w:val="21"/>
                      <w:szCs w:val="21"/>
                    </w:rPr>
                  </w:pPr>
                  <w:r>
                    <w:rPr>
                      <w:rFonts w:hint="eastAsia"/>
                      <w:sz w:val="21"/>
                      <w:szCs w:val="21"/>
                    </w:rPr>
                    <w:t>3、本项目不在</w:t>
                  </w:r>
                  <w:r>
                    <w:rPr>
                      <w:sz w:val="21"/>
                    </w:rPr>
                    <w:t>水产种质资源保护区</w:t>
                  </w:r>
                  <w:r>
                    <w:rPr>
                      <w:rFonts w:hint="eastAsia"/>
                      <w:sz w:val="21"/>
                    </w:rPr>
                    <w:t>。</w:t>
                  </w:r>
                </w:p>
              </w:tc>
              <w:tc>
                <w:tcPr>
                  <w:tcW w:w="491" w:type="pct"/>
                  <w:vAlign w:val="center"/>
                </w:tcPr>
                <w:p w14:paraId="4C492236">
                  <w:pPr>
                    <w:pStyle w:val="68"/>
                    <w:adjustRightInd/>
                    <w:snapToGrid/>
                    <w:rPr>
                      <w:sz w:val="21"/>
                      <w:szCs w:val="21"/>
                    </w:rPr>
                  </w:pPr>
                  <w:r>
                    <w:rPr>
                      <w:rFonts w:hint="eastAsia"/>
                      <w:sz w:val="21"/>
                      <w:szCs w:val="21"/>
                    </w:rPr>
                    <w:t>是</w:t>
                  </w:r>
                </w:p>
              </w:tc>
            </w:tr>
            <w:tr w14:paraId="64304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50F6E2CD">
                  <w:pPr>
                    <w:pStyle w:val="68"/>
                    <w:adjustRightInd/>
                    <w:snapToGrid/>
                    <w:rPr>
                      <w:sz w:val="21"/>
                      <w:szCs w:val="21"/>
                    </w:rPr>
                  </w:pPr>
                  <w:r>
                    <w:rPr>
                      <w:rFonts w:hint="eastAsia"/>
                      <w:sz w:val="21"/>
                      <w:szCs w:val="21"/>
                    </w:rPr>
                    <w:t>4</w:t>
                  </w:r>
                </w:p>
              </w:tc>
              <w:tc>
                <w:tcPr>
                  <w:tcW w:w="403" w:type="pct"/>
                  <w:vAlign w:val="center"/>
                </w:tcPr>
                <w:p w14:paraId="2A67BBD3">
                  <w:pPr>
                    <w:pStyle w:val="68"/>
                    <w:adjustRightInd/>
                    <w:snapToGrid/>
                    <w:rPr>
                      <w:sz w:val="21"/>
                      <w:szCs w:val="21"/>
                    </w:rPr>
                  </w:pPr>
                  <w:r>
                    <w:rPr>
                      <w:rFonts w:hint="eastAsia"/>
                      <w:sz w:val="21"/>
                      <w:szCs w:val="21"/>
                    </w:rPr>
                    <w:t>污染物排放管控</w:t>
                  </w:r>
                </w:p>
              </w:tc>
              <w:tc>
                <w:tcPr>
                  <w:tcW w:w="2285" w:type="pct"/>
                  <w:vAlign w:val="center"/>
                </w:tcPr>
                <w:p w14:paraId="689D4FF6">
                  <w:pPr>
                    <w:pStyle w:val="68"/>
                    <w:adjustRightInd/>
                    <w:snapToGrid/>
                    <w:rPr>
                      <w:sz w:val="21"/>
                    </w:rPr>
                  </w:pPr>
                  <w:r>
                    <w:rPr>
                      <w:rFonts w:hint="eastAsia"/>
                      <w:sz w:val="21"/>
                      <w:szCs w:val="21"/>
                    </w:rPr>
                    <w:t>1、</w:t>
                  </w:r>
                  <w:r>
                    <w:rPr>
                      <w:sz w:val="21"/>
                    </w:rPr>
                    <w:t>乡镇污水处理率达到80%以上。现有污水处理厂污泥处理处置设施全部完成达标改造。污泥应进行稳定化、无害化和资源化处理处置，禁止处理处置未达标的污泥进入耕地</w:t>
                  </w:r>
                  <w:r>
                    <w:rPr>
                      <w:rFonts w:hint="eastAsia"/>
                      <w:sz w:val="21"/>
                    </w:rPr>
                    <w:t>。</w:t>
                  </w:r>
                </w:p>
                <w:p w14:paraId="7611870D">
                  <w:pPr>
                    <w:pStyle w:val="68"/>
                    <w:adjustRightInd/>
                    <w:snapToGrid/>
                    <w:rPr>
                      <w:sz w:val="21"/>
                      <w:szCs w:val="21"/>
                    </w:rPr>
                  </w:pPr>
                  <w:r>
                    <w:rPr>
                      <w:rFonts w:hint="eastAsia"/>
                      <w:sz w:val="21"/>
                      <w:szCs w:val="21"/>
                    </w:rPr>
                    <w:t>2、</w:t>
                  </w:r>
                  <w:r>
                    <w:rPr>
                      <w:sz w:val="21"/>
                    </w:rPr>
                    <w:t>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hint="eastAsia"/>
                      <w:sz w:val="21"/>
                      <w:szCs w:val="21"/>
                    </w:rPr>
                    <w:t>。</w:t>
                  </w:r>
                </w:p>
                <w:p w14:paraId="1976F323">
                  <w:pPr>
                    <w:pStyle w:val="68"/>
                    <w:adjustRightInd/>
                    <w:snapToGrid/>
                    <w:rPr>
                      <w:sz w:val="21"/>
                      <w:szCs w:val="21"/>
                    </w:rPr>
                  </w:pPr>
                  <w:r>
                    <w:rPr>
                      <w:rFonts w:hint="eastAsia"/>
                      <w:sz w:val="21"/>
                      <w:szCs w:val="21"/>
                    </w:rPr>
                    <w:t>3、</w:t>
                  </w:r>
                  <w:r>
                    <w:rPr>
                      <w:sz w:val="21"/>
                    </w:rPr>
                    <w:t>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r>
                    <w:rPr>
                      <w:rFonts w:hint="eastAsia"/>
                      <w:sz w:val="21"/>
                      <w:szCs w:val="21"/>
                    </w:rPr>
                    <w:t>。</w:t>
                  </w:r>
                </w:p>
              </w:tc>
              <w:tc>
                <w:tcPr>
                  <w:tcW w:w="1519" w:type="pct"/>
                  <w:vAlign w:val="center"/>
                </w:tcPr>
                <w:p w14:paraId="035A5179">
                  <w:pPr>
                    <w:pStyle w:val="68"/>
                    <w:adjustRightInd/>
                    <w:snapToGrid/>
                    <w:rPr>
                      <w:sz w:val="21"/>
                      <w:szCs w:val="21"/>
                    </w:rPr>
                  </w:pPr>
                  <w:r>
                    <w:rPr>
                      <w:sz w:val="21"/>
                      <w:szCs w:val="21"/>
                    </w:rPr>
                    <w:t>1</w:t>
                  </w:r>
                  <w:r>
                    <w:rPr>
                      <w:rFonts w:hint="eastAsia"/>
                      <w:sz w:val="21"/>
                      <w:szCs w:val="21"/>
                    </w:rPr>
                    <w:t>、项目生活污水经化粪池预处理后排入衡山国祯水处理有限公司，生产废水经沉淀池预处理后排入衡山国祯水处理有限公司；</w:t>
                  </w:r>
                </w:p>
                <w:p w14:paraId="3AF43492">
                  <w:pPr>
                    <w:pStyle w:val="68"/>
                    <w:adjustRightInd/>
                    <w:snapToGrid/>
                    <w:rPr>
                      <w:sz w:val="21"/>
                      <w:szCs w:val="21"/>
                    </w:rPr>
                  </w:pPr>
                  <w:r>
                    <w:rPr>
                      <w:rFonts w:hint="eastAsia"/>
                      <w:sz w:val="21"/>
                      <w:szCs w:val="21"/>
                    </w:rPr>
                    <w:t>2、项目不属于</w:t>
                  </w:r>
                  <w:r>
                    <w:rPr>
                      <w:sz w:val="21"/>
                    </w:rPr>
                    <w:t>建材、有色、火电、化工等行业</w:t>
                  </w:r>
                  <w:r>
                    <w:rPr>
                      <w:rFonts w:hint="eastAsia"/>
                      <w:sz w:val="21"/>
                    </w:rPr>
                    <w:t>，本项目蒸汽发生器燃烧废气产生的粉尘等采用水喷淋装置进行处理，废气经密闭管道收集，可有效减少无组织废气排放量且能达标排放</w:t>
                  </w:r>
                  <w:r>
                    <w:rPr>
                      <w:rFonts w:hint="eastAsia"/>
                      <w:sz w:val="21"/>
                      <w:szCs w:val="21"/>
                    </w:rPr>
                    <w:t>；</w:t>
                  </w:r>
                </w:p>
                <w:p w14:paraId="4591A5EC">
                  <w:pPr>
                    <w:pStyle w:val="68"/>
                    <w:adjustRightInd/>
                    <w:snapToGrid/>
                    <w:rPr>
                      <w:sz w:val="21"/>
                      <w:szCs w:val="21"/>
                    </w:rPr>
                  </w:pPr>
                  <w:r>
                    <w:rPr>
                      <w:rFonts w:hint="eastAsia"/>
                      <w:sz w:val="21"/>
                      <w:szCs w:val="21"/>
                    </w:rPr>
                    <w:t>3、</w:t>
                  </w:r>
                  <w:r>
                    <w:rPr>
                      <w:rFonts w:hint="eastAsia"/>
                      <w:sz w:val="21"/>
                      <w:szCs w:val="21"/>
                      <w:lang w:val="eu-ES"/>
                    </w:rPr>
                    <w:t>项目</w:t>
                  </w:r>
                  <w:r>
                    <w:rPr>
                      <w:rFonts w:hint="eastAsia"/>
                      <w:sz w:val="21"/>
                      <w:szCs w:val="21"/>
                    </w:rPr>
                    <w:t>产生的各类</w:t>
                  </w:r>
                  <w:r>
                    <w:rPr>
                      <w:rFonts w:hint="eastAsia"/>
                      <w:sz w:val="21"/>
                      <w:szCs w:val="21"/>
                      <w:lang w:val="eu-ES"/>
                    </w:rPr>
                    <w:t>固体废物均可得到合理有效的处置</w:t>
                  </w:r>
                  <w:r>
                    <w:rPr>
                      <w:rFonts w:hint="eastAsia"/>
                      <w:sz w:val="21"/>
                      <w:szCs w:val="21"/>
                    </w:rPr>
                    <w:t>。</w:t>
                  </w:r>
                </w:p>
              </w:tc>
              <w:tc>
                <w:tcPr>
                  <w:tcW w:w="491" w:type="pct"/>
                  <w:vAlign w:val="center"/>
                </w:tcPr>
                <w:p w14:paraId="7F972340">
                  <w:pPr>
                    <w:pStyle w:val="68"/>
                    <w:adjustRightInd/>
                    <w:snapToGrid/>
                    <w:rPr>
                      <w:sz w:val="21"/>
                      <w:szCs w:val="21"/>
                    </w:rPr>
                  </w:pPr>
                  <w:r>
                    <w:rPr>
                      <w:rFonts w:hint="eastAsia"/>
                      <w:sz w:val="21"/>
                      <w:szCs w:val="21"/>
                    </w:rPr>
                    <w:t>是</w:t>
                  </w:r>
                </w:p>
              </w:tc>
            </w:tr>
            <w:tr w14:paraId="7BAF6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2B9D9122">
                  <w:pPr>
                    <w:pStyle w:val="68"/>
                    <w:adjustRightInd/>
                    <w:snapToGrid/>
                    <w:rPr>
                      <w:sz w:val="21"/>
                      <w:szCs w:val="21"/>
                    </w:rPr>
                  </w:pPr>
                  <w:r>
                    <w:rPr>
                      <w:rFonts w:hint="eastAsia"/>
                      <w:sz w:val="21"/>
                      <w:szCs w:val="21"/>
                    </w:rPr>
                    <w:t>5</w:t>
                  </w:r>
                </w:p>
              </w:tc>
              <w:tc>
                <w:tcPr>
                  <w:tcW w:w="403" w:type="pct"/>
                  <w:vAlign w:val="center"/>
                </w:tcPr>
                <w:p w14:paraId="56D57FF2">
                  <w:pPr>
                    <w:pStyle w:val="68"/>
                    <w:adjustRightInd/>
                    <w:snapToGrid/>
                    <w:rPr>
                      <w:sz w:val="21"/>
                      <w:szCs w:val="21"/>
                    </w:rPr>
                  </w:pPr>
                  <w:r>
                    <w:rPr>
                      <w:rFonts w:hint="eastAsia"/>
                      <w:sz w:val="21"/>
                      <w:szCs w:val="21"/>
                    </w:rPr>
                    <w:t>环境风险防控</w:t>
                  </w:r>
                </w:p>
              </w:tc>
              <w:tc>
                <w:tcPr>
                  <w:tcW w:w="2285" w:type="pct"/>
                  <w:vAlign w:val="center"/>
                </w:tcPr>
                <w:p w14:paraId="579A4267">
                  <w:pPr>
                    <w:pStyle w:val="68"/>
                    <w:adjustRightInd/>
                    <w:snapToGrid/>
                    <w:jc w:val="both"/>
                    <w:rPr>
                      <w:sz w:val="21"/>
                      <w:szCs w:val="21"/>
                    </w:rPr>
                  </w:pPr>
                  <w:r>
                    <w:rPr>
                      <w:rFonts w:hint="eastAsia"/>
                      <w:sz w:val="21"/>
                    </w:rPr>
                    <w:t>1、</w:t>
                  </w:r>
                  <w:r>
                    <w:rPr>
                      <w:sz w:val="21"/>
                    </w:rPr>
                    <w:t>加强风险防范和控制能力建设，制定和完善水污染事故应急处置方案，并定期组织演练；开展尾矿库环境风险评估，全面整治历史遗留尾矿库，建立突出环境风险隐患管理台账，逐一摸清污染成因，制定整治方案</w:t>
                  </w:r>
                  <w:r>
                    <w:rPr>
                      <w:rFonts w:hint="eastAsia"/>
                      <w:sz w:val="21"/>
                      <w:szCs w:val="21"/>
                    </w:rPr>
                    <w:t>。</w:t>
                  </w:r>
                </w:p>
                <w:p w14:paraId="53F23AF0">
                  <w:pPr>
                    <w:pStyle w:val="68"/>
                    <w:adjustRightInd/>
                    <w:snapToGrid/>
                    <w:jc w:val="both"/>
                    <w:rPr>
                      <w:sz w:val="21"/>
                      <w:szCs w:val="21"/>
                    </w:rPr>
                  </w:pPr>
                  <w:r>
                    <w:rPr>
                      <w:rFonts w:hint="eastAsia"/>
                      <w:sz w:val="21"/>
                    </w:rPr>
                    <w:t>2、</w:t>
                  </w:r>
                  <w:r>
                    <w:rPr>
                      <w:sz w:val="21"/>
                    </w:rPr>
                    <w:t>采取农艺调控、化学阻控、替代种植等措施，降低农产品重金属超标风险。</w:t>
                  </w:r>
                </w:p>
              </w:tc>
              <w:tc>
                <w:tcPr>
                  <w:tcW w:w="1519" w:type="pct"/>
                  <w:vAlign w:val="center"/>
                </w:tcPr>
                <w:p w14:paraId="0ECBFB02">
                  <w:pPr>
                    <w:pStyle w:val="68"/>
                    <w:adjustRightInd/>
                    <w:snapToGrid/>
                    <w:rPr>
                      <w:sz w:val="21"/>
                      <w:szCs w:val="21"/>
                    </w:rPr>
                  </w:pPr>
                  <w:r>
                    <w:rPr>
                      <w:rFonts w:hint="eastAsia"/>
                      <w:sz w:val="21"/>
                      <w:szCs w:val="21"/>
                    </w:rPr>
                    <w:t>1、制定企业按照生产管理制度，加强项目环境风险管理。</w:t>
                  </w:r>
                </w:p>
                <w:p w14:paraId="42692BD5">
                  <w:pPr>
                    <w:pStyle w:val="68"/>
                    <w:adjustRightInd/>
                    <w:snapToGrid/>
                    <w:rPr>
                      <w:sz w:val="21"/>
                      <w:szCs w:val="21"/>
                    </w:rPr>
                  </w:pPr>
                  <w:r>
                    <w:rPr>
                      <w:rFonts w:hint="eastAsia"/>
                      <w:sz w:val="21"/>
                      <w:szCs w:val="21"/>
                    </w:rPr>
                    <w:t>2、本项目生产过程不涉及重金属排放，对土壤环境影响较小。</w:t>
                  </w:r>
                </w:p>
              </w:tc>
              <w:tc>
                <w:tcPr>
                  <w:tcW w:w="491" w:type="pct"/>
                  <w:vAlign w:val="center"/>
                </w:tcPr>
                <w:p w14:paraId="57C35562">
                  <w:pPr>
                    <w:pStyle w:val="68"/>
                    <w:adjustRightInd/>
                    <w:snapToGrid/>
                    <w:rPr>
                      <w:sz w:val="21"/>
                      <w:szCs w:val="21"/>
                    </w:rPr>
                  </w:pPr>
                  <w:r>
                    <w:rPr>
                      <w:rFonts w:hint="eastAsia"/>
                      <w:sz w:val="21"/>
                      <w:szCs w:val="21"/>
                    </w:rPr>
                    <w:t>是</w:t>
                  </w:r>
                </w:p>
              </w:tc>
            </w:tr>
            <w:tr w14:paraId="0C8092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 w:type="pct"/>
                  <w:vAlign w:val="center"/>
                </w:tcPr>
                <w:p w14:paraId="128DAE7F">
                  <w:pPr>
                    <w:pStyle w:val="68"/>
                    <w:adjustRightInd/>
                    <w:snapToGrid/>
                    <w:rPr>
                      <w:sz w:val="21"/>
                      <w:szCs w:val="21"/>
                    </w:rPr>
                  </w:pPr>
                  <w:r>
                    <w:rPr>
                      <w:rFonts w:hint="eastAsia"/>
                      <w:sz w:val="21"/>
                      <w:szCs w:val="21"/>
                    </w:rPr>
                    <w:t>6</w:t>
                  </w:r>
                </w:p>
              </w:tc>
              <w:tc>
                <w:tcPr>
                  <w:tcW w:w="403" w:type="pct"/>
                  <w:vAlign w:val="center"/>
                </w:tcPr>
                <w:p w14:paraId="606BE89F">
                  <w:pPr>
                    <w:pStyle w:val="68"/>
                    <w:adjustRightInd/>
                    <w:snapToGrid/>
                    <w:rPr>
                      <w:sz w:val="21"/>
                      <w:szCs w:val="21"/>
                    </w:rPr>
                  </w:pPr>
                  <w:r>
                    <w:rPr>
                      <w:rFonts w:hint="eastAsia"/>
                      <w:sz w:val="21"/>
                      <w:szCs w:val="21"/>
                    </w:rPr>
                    <w:t>资源开发效率要求</w:t>
                  </w:r>
                </w:p>
              </w:tc>
              <w:tc>
                <w:tcPr>
                  <w:tcW w:w="2285" w:type="pct"/>
                  <w:vAlign w:val="center"/>
                </w:tcPr>
                <w:p w14:paraId="26C7F53A">
                  <w:pPr>
                    <w:pStyle w:val="68"/>
                    <w:adjustRightInd/>
                    <w:snapToGrid/>
                    <w:rPr>
                      <w:sz w:val="21"/>
                      <w:szCs w:val="21"/>
                    </w:rPr>
                  </w:pPr>
                  <w:r>
                    <w:rPr>
                      <w:rFonts w:hint="eastAsia"/>
                      <w:sz w:val="21"/>
                      <w:szCs w:val="21"/>
                    </w:rPr>
                    <w:t>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14:paraId="60178743">
                  <w:pPr>
                    <w:pStyle w:val="68"/>
                    <w:adjustRightInd/>
                    <w:snapToGrid/>
                    <w:rPr>
                      <w:sz w:val="21"/>
                      <w:szCs w:val="21"/>
                    </w:rPr>
                  </w:pPr>
                  <w:r>
                    <w:rPr>
                      <w:rFonts w:hint="eastAsia"/>
                      <w:sz w:val="21"/>
                      <w:szCs w:val="21"/>
                    </w:rPr>
                    <w:t>2、水资源：大力推进农业、工业、城镇节水，全面推进节水型社会建设</w:t>
                  </w:r>
                </w:p>
              </w:tc>
              <w:tc>
                <w:tcPr>
                  <w:tcW w:w="1519" w:type="pct"/>
                  <w:vAlign w:val="center"/>
                </w:tcPr>
                <w:p w14:paraId="01AD0357">
                  <w:pPr>
                    <w:pStyle w:val="68"/>
                    <w:adjustRightInd/>
                    <w:snapToGrid/>
                    <w:rPr>
                      <w:sz w:val="21"/>
                      <w:szCs w:val="21"/>
                    </w:rPr>
                  </w:pPr>
                  <w:r>
                    <w:rPr>
                      <w:rFonts w:hint="eastAsia"/>
                      <w:color w:val="000000" w:themeColor="text1"/>
                      <w:sz w:val="21"/>
                      <w:szCs w:val="21"/>
                      <w14:textFill>
                        <w14:solidFill>
                          <w14:schemeClr w14:val="tx1"/>
                        </w14:solidFill>
                      </w14:textFill>
                    </w:rPr>
                    <w:t>本项目生产过程中所用的资源主要为水、电资源。本</w:t>
                  </w:r>
                  <w:r>
                    <w:rPr>
                      <w:rFonts w:hint="eastAsia"/>
                      <w:sz w:val="21"/>
                      <w:szCs w:val="21"/>
                    </w:rPr>
                    <w:t>项目生活污水经化粪池预处理后排入衡山国祯水处理有限公司，生产废水经沉淀池预处理后排入衡山国祯水处理有限公司</w:t>
                  </w:r>
                  <w:r>
                    <w:rPr>
                      <w:rFonts w:hint="eastAsia"/>
                      <w:color w:val="000000" w:themeColor="text1"/>
                      <w:sz w:val="21"/>
                      <w:szCs w:val="21"/>
                      <w14:textFill>
                        <w14:solidFill>
                          <w14:schemeClr w14:val="tx1"/>
                        </w14:solidFill>
                      </w14:textFill>
                    </w:rPr>
                    <w:t>。本项目蒸汽发生器燃料为生物质颗粒，不使用煤炭为原料，项目选用的蒸汽发生器设备为节能、降耗环保设备。</w:t>
                  </w:r>
                </w:p>
              </w:tc>
              <w:tc>
                <w:tcPr>
                  <w:tcW w:w="491" w:type="pct"/>
                  <w:vAlign w:val="center"/>
                </w:tcPr>
                <w:p w14:paraId="6565C698">
                  <w:pPr>
                    <w:pStyle w:val="68"/>
                    <w:adjustRightInd/>
                    <w:snapToGrid/>
                    <w:rPr>
                      <w:sz w:val="21"/>
                      <w:szCs w:val="21"/>
                    </w:rPr>
                  </w:pPr>
                  <w:r>
                    <w:rPr>
                      <w:rFonts w:hint="eastAsia"/>
                      <w:sz w:val="21"/>
                      <w:szCs w:val="21"/>
                    </w:rPr>
                    <w:t>是</w:t>
                  </w:r>
                </w:p>
              </w:tc>
            </w:tr>
          </w:tbl>
          <w:p w14:paraId="6BDD4F47">
            <w:pPr>
              <w:pStyle w:val="2"/>
              <w:spacing w:after="0"/>
              <w:ind w:left="0" w:leftChars="0" w:firstLine="480"/>
            </w:pPr>
            <w:r>
              <w:rPr>
                <w:bCs/>
              </w:rPr>
              <w:t>综上所述，本项目符合</w:t>
            </w:r>
            <w:r>
              <w:rPr>
                <w:rFonts w:hint="eastAsia"/>
                <w:bCs/>
              </w:rPr>
              <w:t>“</w:t>
            </w:r>
            <w:r>
              <w:rPr>
                <w:bCs/>
              </w:rPr>
              <w:t>三线一单</w:t>
            </w:r>
            <w:r>
              <w:rPr>
                <w:rFonts w:hint="eastAsia"/>
                <w:bCs/>
              </w:rPr>
              <w:t>”</w:t>
            </w:r>
            <w:r>
              <w:rPr>
                <w:bCs/>
              </w:rPr>
              <w:t>及国家及地方现行的产业政策</w:t>
            </w:r>
            <w:r>
              <w:rPr>
                <w:rFonts w:hint="eastAsia"/>
                <w:bCs/>
              </w:rPr>
              <w:t>。</w:t>
            </w:r>
          </w:p>
          <w:p w14:paraId="07C0006F">
            <w:pPr>
              <w:pStyle w:val="2"/>
              <w:spacing w:after="0"/>
              <w:ind w:left="0" w:leftChars="0" w:firstLine="422"/>
              <w:jc w:val="center"/>
              <w:rPr>
                <w:b/>
                <w:bCs/>
                <w:sz w:val="21"/>
                <w:szCs w:val="21"/>
              </w:rPr>
            </w:pPr>
          </w:p>
          <w:p w14:paraId="5A118B2A">
            <w:pPr>
              <w:pStyle w:val="2"/>
              <w:spacing w:after="0"/>
              <w:ind w:left="0" w:leftChars="0" w:firstLine="422"/>
              <w:jc w:val="center"/>
              <w:rPr>
                <w:b/>
                <w:bCs/>
                <w:sz w:val="21"/>
                <w:szCs w:val="21"/>
              </w:rPr>
            </w:pPr>
            <w:r>
              <w:rPr>
                <w:b/>
                <w:bCs/>
                <w:sz w:val="21"/>
                <w:szCs w:val="21"/>
              </w:rPr>
              <w:t>表1-2 本</w:t>
            </w:r>
            <w:r>
              <w:rPr>
                <w:rFonts w:hint="eastAsia"/>
                <w:b/>
                <w:bCs/>
                <w:sz w:val="21"/>
                <w:szCs w:val="21"/>
              </w:rPr>
              <w:t>项目</w:t>
            </w:r>
            <w:r>
              <w:rPr>
                <w:b/>
                <w:bCs/>
                <w:sz w:val="21"/>
                <w:szCs w:val="21"/>
              </w:rPr>
              <w:t>与衡阳市管控单元管控要求的相符性分析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536"/>
              <w:gridCol w:w="1134"/>
              <w:gridCol w:w="709"/>
            </w:tblGrid>
            <w:tr w14:paraId="0453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12" w:type="dxa"/>
                  <w:gridSpan w:val="4"/>
                  <w:vAlign w:val="center"/>
                </w:tcPr>
                <w:p w14:paraId="2BE82802">
                  <w:pPr>
                    <w:jc w:val="center"/>
                  </w:pPr>
                  <w:r>
                    <w:rPr>
                      <w:rFonts w:eastAsiaTheme="minorEastAsia"/>
                      <w:kern w:val="0"/>
                      <w:szCs w:val="21"/>
                    </w:rPr>
                    <w:t>ZH43042330001</w:t>
                  </w:r>
                  <w:r>
                    <w:rPr>
                      <w:rFonts w:hint="eastAsia" w:eastAsiaTheme="minorEastAsia"/>
                      <w:kern w:val="0"/>
                      <w:szCs w:val="21"/>
                    </w:rPr>
                    <w:t>（</w:t>
                  </w:r>
                  <w:r>
                    <w:rPr>
                      <w:rFonts w:eastAsiaTheme="minorEastAsia"/>
                      <w:kern w:val="0"/>
                      <w:szCs w:val="21"/>
                    </w:rPr>
                    <w:t>一般管控单元</w:t>
                  </w:r>
                  <w:r>
                    <w:rPr>
                      <w:rFonts w:hint="eastAsia" w:eastAsiaTheme="minorEastAsia"/>
                      <w:kern w:val="0"/>
                      <w:szCs w:val="21"/>
                    </w:rPr>
                    <w:t>：衡山县</w:t>
                  </w:r>
                  <w:r>
                    <w:rPr>
                      <w:rFonts w:eastAsiaTheme="minorEastAsia"/>
                      <w:kern w:val="0"/>
                      <w:szCs w:val="21"/>
                    </w:rPr>
                    <w:t>开云镇</w:t>
                  </w:r>
                  <w:r>
                    <w:rPr>
                      <w:rFonts w:hint="eastAsia" w:eastAsiaTheme="minorEastAsia"/>
                      <w:kern w:val="0"/>
                      <w:szCs w:val="21"/>
                    </w:rPr>
                    <w:t>）</w:t>
                  </w:r>
                </w:p>
              </w:tc>
            </w:tr>
            <w:tr w14:paraId="1D90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59F8D6B">
                  <w:pPr>
                    <w:jc w:val="center"/>
                  </w:pPr>
                  <w:r>
                    <w:rPr>
                      <w:rFonts w:hint="eastAsia"/>
                    </w:rPr>
                    <w:t>管控纬度</w:t>
                  </w:r>
                </w:p>
              </w:tc>
              <w:tc>
                <w:tcPr>
                  <w:tcW w:w="4536" w:type="dxa"/>
                </w:tcPr>
                <w:p w14:paraId="2500EC22">
                  <w:pPr>
                    <w:jc w:val="center"/>
                  </w:pPr>
                  <w:r>
                    <w:rPr>
                      <w:rFonts w:hint="eastAsia"/>
                    </w:rPr>
                    <w:t>管控要求</w:t>
                  </w:r>
                </w:p>
              </w:tc>
              <w:tc>
                <w:tcPr>
                  <w:tcW w:w="1134" w:type="dxa"/>
                </w:tcPr>
                <w:p w14:paraId="2F6F98EA">
                  <w:pPr>
                    <w:jc w:val="center"/>
                  </w:pPr>
                  <w:r>
                    <w:rPr>
                      <w:rFonts w:hint="eastAsia"/>
                    </w:rPr>
                    <w:t>本项目情况</w:t>
                  </w:r>
                </w:p>
              </w:tc>
              <w:tc>
                <w:tcPr>
                  <w:tcW w:w="709" w:type="dxa"/>
                </w:tcPr>
                <w:p w14:paraId="674A0433">
                  <w:pPr>
                    <w:jc w:val="center"/>
                  </w:pPr>
                  <w:r>
                    <w:rPr>
                      <w:rFonts w:hint="eastAsia"/>
                    </w:rPr>
                    <w:t>符合性</w:t>
                  </w:r>
                </w:p>
              </w:tc>
            </w:tr>
            <w:tr w14:paraId="60F6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92BF0F9">
                  <w:pPr>
                    <w:jc w:val="left"/>
                  </w:pPr>
                  <w:r>
                    <w:rPr>
                      <w:rFonts w:eastAsiaTheme="minorEastAsia"/>
                      <w:kern w:val="0"/>
                      <w:szCs w:val="21"/>
                    </w:rPr>
                    <w:t>空间布局约束</w:t>
                  </w:r>
                </w:p>
              </w:tc>
              <w:tc>
                <w:tcPr>
                  <w:tcW w:w="4536" w:type="dxa"/>
                </w:tcPr>
                <w:p w14:paraId="65C84EE8">
                  <w:r>
                    <w:rPr>
                      <w:rFonts w:eastAsiaTheme="minorEastAsia"/>
                      <w:kern w:val="0"/>
                      <w:szCs w:val="21"/>
                    </w:rPr>
                    <w:t>（1.1）严禁在城市建成区内新建石化、有机化工、包装印刷、沥青搅拌站、工业涂装等高VOCs排放建设项目。</w:t>
                  </w:r>
                  <w:r>
                    <w:rPr>
                      <w:rFonts w:eastAsiaTheme="minorEastAsia"/>
                      <w:kern w:val="0"/>
                      <w:szCs w:val="21"/>
                    </w:rPr>
                    <w:br w:type="textWrapping"/>
                  </w:r>
                  <w:r>
                    <w:rPr>
                      <w:rFonts w:eastAsiaTheme="minorEastAsia"/>
                      <w:kern w:val="0"/>
                      <w:szCs w:val="21"/>
                    </w:rPr>
                    <w:t>（1.2）科学划定畜禽养殖禁养区，在畜禽养殖污染防治规划编制和禁养区划定工作基础上，依法关闭或搬迁禁养区内的畜禽养殖场（小区）和养殖专业户。</w:t>
                  </w:r>
                </w:p>
              </w:tc>
              <w:tc>
                <w:tcPr>
                  <w:tcW w:w="1134" w:type="dxa"/>
                </w:tcPr>
                <w:p w14:paraId="5087FAF0">
                  <w:pPr>
                    <w:jc w:val="left"/>
                    <w:rPr>
                      <w:szCs w:val="21"/>
                    </w:rPr>
                  </w:pPr>
                  <w:r>
                    <w:rPr>
                      <w:rFonts w:hint="eastAsia"/>
                      <w:szCs w:val="21"/>
                    </w:rPr>
                    <w:t>本项目为电力、热力生产和供应业，不属于禁止行业</w:t>
                  </w:r>
                </w:p>
              </w:tc>
              <w:tc>
                <w:tcPr>
                  <w:tcW w:w="709" w:type="dxa"/>
                </w:tcPr>
                <w:p w14:paraId="0BB2AF2B">
                  <w:pPr>
                    <w:jc w:val="left"/>
                  </w:pPr>
                  <w:r>
                    <w:rPr>
                      <w:rFonts w:hint="eastAsia"/>
                    </w:rPr>
                    <w:t>符合</w:t>
                  </w:r>
                </w:p>
              </w:tc>
            </w:tr>
            <w:tr w14:paraId="7B0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53ABAA8">
                  <w:pPr>
                    <w:jc w:val="left"/>
                  </w:pPr>
                  <w:r>
                    <w:rPr>
                      <w:rFonts w:eastAsiaTheme="minorEastAsia"/>
                      <w:kern w:val="0"/>
                      <w:szCs w:val="21"/>
                    </w:rPr>
                    <w:t>污染物排放管控</w:t>
                  </w:r>
                </w:p>
              </w:tc>
              <w:tc>
                <w:tcPr>
                  <w:tcW w:w="4536" w:type="dxa"/>
                </w:tcPr>
                <w:p w14:paraId="6917A395">
                  <w:r>
                    <w:rPr>
                      <w:rFonts w:eastAsiaTheme="minorEastAsia"/>
                      <w:kern w:val="0"/>
                      <w:szCs w:val="21"/>
                    </w:rPr>
                    <w:t>（2.1）乡镇污水处理率达到80%以上。现有污水处理厂污泥处理处置设施全部完成达标改造。污泥应进行稳定化、无害化和资源化处理处置，禁止处理处置未达标的污泥进入耕地。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1134" w:type="dxa"/>
                </w:tcPr>
                <w:p w14:paraId="4AEB8257">
                  <w:pPr>
                    <w:jc w:val="left"/>
                  </w:pPr>
                  <w:r>
                    <w:rPr>
                      <w:rFonts w:hint="eastAsia"/>
                      <w:szCs w:val="21"/>
                    </w:rPr>
                    <w:t>本项目为电力、热力生产和供应业，各污染物经处理后均能达标排放；</w:t>
                  </w:r>
                  <w:r>
                    <w:rPr>
                      <w:rFonts w:eastAsiaTheme="minorEastAsia"/>
                      <w:kern w:val="0"/>
                      <w:szCs w:val="21"/>
                    </w:rPr>
                    <w:t>企业采取密闭</w:t>
                  </w:r>
                  <w:r>
                    <w:rPr>
                      <w:rFonts w:hint="eastAsia" w:eastAsiaTheme="minorEastAsia"/>
                      <w:kern w:val="0"/>
                      <w:szCs w:val="21"/>
                    </w:rPr>
                    <w:t>车间对</w:t>
                  </w:r>
                  <w:r>
                    <w:rPr>
                      <w:rFonts w:eastAsiaTheme="minorEastAsia"/>
                      <w:kern w:val="0"/>
                      <w:szCs w:val="21"/>
                    </w:rPr>
                    <w:t>物料的</w:t>
                  </w:r>
                  <w:r>
                    <w:rPr>
                      <w:rFonts w:hint="eastAsia" w:eastAsiaTheme="minorEastAsia"/>
                      <w:kern w:val="0"/>
                      <w:szCs w:val="21"/>
                    </w:rPr>
                    <w:t>进行</w:t>
                  </w:r>
                  <w:r>
                    <w:rPr>
                      <w:rFonts w:eastAsiaTheme="minorEastAsia"/>
                      <w:kern w:val="0"/>
                      <w:szCs w:val="21"/>
                    </w:rPr>
                    <w:t>堆存</w:t>
                  </w:r>
                  <w:r>
                    <w:rPr>
                      <w:rFonts w:hint="eastAsia" w:eastAsiaTheme="minorEastAsia"/>
                      <w:kern w:val="0"/>
                      <w:szCs w:val="21"/>
                    </w:rPr>
                    <w:t>，减少</w:t>
                  </w:r>
                  <w:r>
                    <w:rPr>
                      <w:rFonts w:eastAsiaTheme="minorEastAsia"/>
                      <w:kern w:val="0"/>
                      <w:szCs w:val="21"/>
                    </w:rPr>
                    <w:t>产生的粉尘和气态污染物的排放</w:t>
                  </w:r>
                </w:p>
              </w:tc>
              <w:tc>
                <w:tcPr>
                  <w:tcW w:w="709" w:type="dxa"/>
                </w:tcPr>
                <w:p w14:paraId="47F41D12">
                  <w:r>
                    <w:rPr>
                      <w:rFonts w:hint="eastAsia"/>
                    </w:rPr>
                    <w:t>符合</w:t>
                  </w:r>
                </w:p>
              </w:tc>
            </w:tr>
            <w:tr w14:paraId="4768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8EAC3EE">
                  <w:pPr>
                    <w:jc w:val="left"/>
                  </w:pPr>
                  <w:r>
                    <w:rPr>
                      <w:rFonts w:eastAsiaTheme="minorEastAsia"/>
                      <w:kern w:val="0"/>
                      <w:szCs w:val="21"/>
                    </w:rPr>
                    <w:t>环境风险防控</w:t>
                  </w:r>
                </w:p>
              </w:tc>
              <w:tc>
                <w:tcPr>
                  <w:tcW w:w="4536" w:type="dxa"/>
                </w:tcPr>
                <w:p w14:paraId="016B4DD1">
                  <w:pPr>
                    <w:jc w:val="left"/>
                  </w:pPr>
                  <w:r>
                    <w:rPr>
                      <w:rFonts w:eastAsiaTheme="minorEastAsia"/>
                      <w:kern w:val="0"/>
                      <w:szCs w:val="21"/>
                    </w:rPr>
                    <w:t>（3.1）</w:t>
                  </w:r>
                  <w:r>
                    <w:rPr>
                      <w:rFonts w:hint="eastAsia" w:eastAsiaTheme="minorEastAsia"/>
                      <w:kern w:val="0"/>
                      <w:szCs w:val="21"/>
                    </w:rPr>
                    <w:t>加强风险防范和控制能力建设，制定和完善水污染事故应急处置方案，并定期组织演练；</w:t>
                  </w:r>
                  <w:r>
                    <w:rPr>
                      <w:rFonts w:eastAsiaTheme="minorEastAsia"/>
                      <w:kern w:val="0"/>
                      <w:szCs w:val="21"/>
                    </w:rPr>
                    <w:t>开展尾矿库环境风险评估</w:t>
                  </w:r>
                  <w:r>
                    <w:rPr>
                      <w:rFonts w:hint="eastAsia" w:eastAsiaTheme="minorEastAsia"/>
                      <w:kern w:val="0"/>
                      <w:szCs w:val="21"/>
                    </w:rPr>
                    <w:t>，全面整治历史遗留尾矿库，建立突出环境风险隐患管理台账，逐一摸清污染成因，制定整治方案</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134" w:type="dxa"/>
                </w:tcPr>
                <w:p w14:paraId="0C9501ED">
                  <w:r>
                    <w:rPr>
                      <w:rFonts w:hint="eastAsia"/>
                    </w:rPr>
                    <w:t>本项目生产废水经沉淀池预处理后排入衡山国祯水处理有限公司，项目建成后将</w:t>
                  </w:r>
                  <w:r>
                    <w:rPr>
                      <w:rFonts w:eastAsiaTheme="minorEastAsia"/>
                      <w:color w:val="000000" w:themeColor="text1"/>
                      <w:szCs w:val="21"/>
                      <w14:textFill>
                        <w14:solidFill>
                          <w14:schemeClr w14:val="tx1"/>
                        </w14:solidFill>
                      </w14:textFill>
                    </w:rPr>
                    <w:t>按要求制定环境风险应急预案</w:t>
                  </w:r>
                  <w:r>
                    <w:rPr>
                      <w:rFonts w:hint="eastAsia" w:eastAsiaTheme="minorEastAsia"/>
                      <w:color w:val="000000" w:themeColor="text1"/>
                      <w:szCs w:val="21"/>
                      <w14:textFill>
                        <w14:solidFill>
                          <w14:schemeClr w14:val="tx1"/>
                        </w14:solidFill>
                      </w14:textFill>
                    </w:rPr>
                    <w:t>，配备应急物资</w:t>
                  </w:r>
                  <w:r>
                    <w:rPr>
                      <w:rFonts w:hint="eastAsia"/>
                    </w:rPr>
                    <w:t>，本项目用地为工业用地，满足当地土地利用总体规划要求</w:t>
                  </w:r>
                </w:p>
              </w:tc>
              <w:tc>
                <w:tcPr>
                  <w:tcW w:w="709" w:type="dxa"/>
                </w:tcPr>
                <w:p w14:paraId="4B77A103">
                  <w:r>
                    <w:rPr>
                      <w:rFonts w:hint="eastAsia"/>
                    </w:rPr>
                    <w:t>符合</w:t>
                  </w:r>
                </w:p>
              </w:tc>
            </w:tr>
            <w:tr w14:paraId="56BB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F568532">
                  <w:pPr>
                    <w:jc w:val="left"/>
                    <w:rPr>
                      <w:rFonts w:eastAsiaTheme="minorEastAsia"/>
                      <w:kern w:val="0"/>
                      <w:szCs w:val="21"/>
                    </w:rPr>
                  </w:pPr>
                  <w:r>
                    <w:rPr>
                      <w:rFonts w:eastAsiaTheme="minorEastAsia"/>
                      <w:kern w:val="0"/>
                      <w:szCs w:val="21"/>
                    </w:rPr>
                    <w:t>资源开发效率要求</w:t>
                  </w:r>
                </w:p>
              </w:tc>
              <w:tc>
                <w:tcPr>
                  <w:tcW w:w="4536" w:type="dxa"/>
                </w:tcPr>
                <w:p w14:paraId="4540B36B">
                  <w:pPr>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134" w:type="dxa"/>
                </w:tcPr>
                <w:p w14:paraId="5E2FEB0F">
                  <w:r>
                    <w:rPr>
                      <w:rFonts w:hint="eastAsia"/>
                      <w:szCs w:val="21"/>
                    </w:rPr>
                    <w:t>本项目为电力、热力生产和供应业，本项目生产采用电能和生物质颗粒等优质能源</w:t>
                  </w:r>
                </w:p>
              </w:tc>
              <w:tc>
                <w:tcPr>
                  <w:tcW w:w="709" w:type="dxa"/>
                </w:tcPr>
                <w:p w14:paraId="6F597A75">
                  <w:r>
                    <w:rPr>
                      <w:rFonts w:hint="eastAsia"/>
                    </w:rPr>
                    <w:t>符合</w:t>
                  </w:r>
                </w:p>
              </w:tc>
            </w:tr>
          </w:tbl>
          <w:p w14:paraId="1A9117DA"/>
          <w:p w14:paraId="03DF2347">
            <w:pPr>
              <w:autoSpaceDE w:val="0"/>
              <w:autoSpaceDN w:val="0"/>
              <w:adjustRightInd w:val="0"/>
              <w:snapToGrid w:val="0"/>
              <w:spacing w:line="360" w:lineRule="auto"/>
              <w:ind w:firstLine="480" w:firstLineChars="200"/>
              <w:rPr>
                <w:sz w:val="24"/>
              </w:rPr>
            </w:pPr>
            <w:r>
              <w:rPr>
                <w:sz w:val="24"/>
              </w:rPr>
              <w:t>由上表可知，本项目建设与衡阳市人民政府关于发布《衡阳市人 民政府关于实施“三线一单”生态环境分区管控的意见》相符</w:t>
            </w:r>
            <w:r>
              <w:rPr>
                <w:rFonts w:hint="eastAsia"/>
                <w:sz w:val="24"/>
              </w:rPr>
              <w:t>。</w:t>
            </w:r>
          </w:p>
          <w:p w14:paraId="59F3DBCF">
            <w:pPr>
              <w:autoSpaceDE w:val="0"/>
              <w:autoSpaceDN w:val="0"/>
              <w:adjustRightInd w:val="0"/>
              <w:snapToGrid w:val="0"/>
              <w:spacing w:line="360" w:lineRule="auto"/>
              <w:ind w:firstLine="482" w:firstLineChars="200"/>
              <w:rPr>
                <w:bCs/>
                <w:sz w:val="24"/>
              </w:rPr>
            </w:pPr>
            <w:r>
              <w:rPr>
                <w:rFonts w:hint="eastAsia"/>
                <w:b/>
                <w:sz w:val="24"/>
              </w:rPr>
              <w:t>3、平面布置合理性分析</w:t>
            </w:r>
          </w:p>
          <w:p w14:paraId="7B4474DA">
            <w:pPr>
              <w:pStyle w:val="67"/>
              <w:spacing w:line="360" w:lineRule="auto"/>
              <w:ind w:firstLine="480" w:firstLineChars="200"/>
              <w:rPr>
                <w:bCs/>
              </w:rPr>
            </w:pPr>
            <w:r>
              <w:rPr>
                <w:rFonts w:hint="eastAsia" w:hAnsi="宋体"/>
              </w:rPr>
              <w:t>进场道路西面连接东风路，生产线呈长方形分布，自西向东方向分别为锅炉供热区、熨烫折叠区、洗涤区等，本项目不设办公区。</w:t>
            </w:r>
            <w:r>
              <w:rPr>
                <w:bCs/>
              </w:rPr>
              <w:t>项目在施工期及运营期采取环评报告中提出的各项污染防治措施，确保污染源达标排放的前提下，对周围环境影响很小。</w:t>
            </w:r>
          </w:p>
          <w:p w14:paraId="0C43DB8A">
            <w:pPr>
              <w:spacing w:line="360" w:lineRule="auto"/>
              <w:ind w:firstLine="480" w:firstLineChars="200"/>
              <w:rPr>
                <w:bCs/>
                <w:spacing w:val="4"/>
                <w:sz w:val="24"/>
              </w:rPr>
            </w:pPr>
            <w:r>
              <w:rPr>
                <w:rFonts w:hint="eastAsia"/>
                <w:sz w:val="24"/>
              </w:rPr>
              <w:t>综合来看，</w:t>
            </w:r>
            <w:r>
              <w:rPr>
                <w:bCs/>
                <w:sz w:val="24"/>
              </w:rPr>
              <w:t>项目地功能分区明</w:t>
            </w:r>
            <w:r>
              <w:rPr>
                <w:rFonts w:hint="eastAsia"/>
                <w:bCs/>
                <w:sz w:val="24"/>
              </w:rPr>
              <w:t>确</w:t>
            </w:r>
            <w:r>
              <w:rPr>
                <w:bCs/>
                <w:sz w:val="24"/>
              </w:rPr>
              <w:t>，按照生产工艺流水线布局，</w:t>
            </w:r>
            <w:r>
              <w:rPr>
                <w:rFonts w:hint="eastAsia" w:hAnsi="宋体"/>
                <w:sz w:val="24"/>
              </w:rPr>
              <w:t>高噪声设备设置在远离居民的一侧</w:t>
            </w:r>
            <w:r>
              <w:rPr>
                <w:rFonts w:hint="eastAsia"/>
                <w:bCs/>
                <w:sz w:val="24"/>
              </w:rPr>
              <w:t>，</w:t>
            </w:r>
            <w:r>
              <w:rPr>
                <w:bCs/>
                <w:sz w:val="24"/>
              </w:rPr>
              <w:t>总体布局</w:t>
            </w:r>
            <w:r>
              <w:rPr>
                <w:rFonts w:hint="eastAsia"/>
                <w:bCs/>
                <w:sz w:val="24"/>
              </w:rPr>
              <w:t>从环保角度考虑</w:t>
            </w:r>
            <w:r>
              <w:rPr>
                <w:bCs/>
                <w:sz w:val="24"/>
              </w:rPr>
              <w:t>合理。</w:t>
            </w:r>
          </w:p>
          <w:p w14:paraId="2249F8DA">
            <w:pPr>
              <w:autoSpaceDE w:val="0"/>
              <w:autoSpaceDN w:val="0"/>
              <w:adjustRightInd w:val="0"/>
              <w:snapToGrid w:val="0"/>
              <w:spacing w:line="360" w:lineRule="auto"/>
              <w:ind w:firstLine="482" w:firstLineChars="200"/>
              <w:rPr>
                <w:bCs/>
                <w:sz w:val="24"/>
              </w:rPr>
            </w:pPr>
            <w:r>
              <w:rPr>
                <w:rFonts w:hint="eastAsia"/>
                <w:b/>
                <w:sz w:val="24"/>
              </w:rPr>
              <w:t>4、选址合理性分析</w:t>
            </w:r>
          </w:p>
          <w:p w14:paraId="7A3D0D36">
            <w:pPr>
              <w:autoSpaceDE w:val="0"/>
              <w:autoSpaceDN w:val="0"/>
              <w:adjustRightInd w:val="0"/>
              <w:snapToGrid w:val="0"/>
              <w:spacing w:line="360" w:lineRule="auto"/>
              <w:ind w:firstLine="496" w:firstLineChars="200"/>
              <w:rPr>
                <w:bCs/>
                <w:spacing w:val="4"/>
                <w:sz w:val="24"/>
              </w:rPr>
            </w:pPr>
            <w:r>
              <w:rPr>
                <w:rFonts w:hint="eastAsia"/>
                <w:bCs/>
                <w:spacing w:val="4"/>
                <w:sz w:val="24"/>
              </w:rPr>
              <w:t>项目位于衡山县</w:t>
            </w:r>
            <w:r>
              <w:rPr>
                <w:rFonts w:hint="eastAsia"/>
                <w:sz w:val="24"/>
              </w:rPr>
              <w:t>开云镇，南</w:t>
            </w:r>
            <w:r>
              <w:rPr>
                <w:rFonts w:hint="eastAsia"/>
                <w:bCs/>
                <w:spacing w:val="4"/>
                <w:sz w:val="24"/>
              </w:rPr>
              <w:t>面厂区进出口连接东风路，交通便利，地理位置优越；用地范围周边500m范围内无自然保护区、文物景观、饮用水源保护区等环境敏感点。根据环境质量现状调查，项目所在地环境空气、地表水及声环境质量良好，有足够的环境容量。项目在施工期及运营期采取环评报告中提出的各项污染防治措施，确保污染源达标排放的前提下，对周围环境影响很小。因此本项目选址从环保角度可行。</w:t>
            </w:r>
          </w:p>
          <w:p w14:paraId="3488D627">
            <w:pPr>
              <w:autoSpaceDE w:val="0"/>
              <w:autoSpaceDN w:val="0"/>
              <w:adjustRightInd w:val="0"/>
              <w:snapToGrid w:val="0"/>
              <w:spacing w:line="360" w:lineRule="auto"/>
              <w:ind w:firstLine="482" w:firstLineChars="200"/>
              <w:rPr>
                <w:b/>
                <w:sz w:val="24"/>
              </w:rPr>
            </w:pPr>
            <w:r>
              <w:rPr>
                <w:rFonts w:hint="eastAsia"/>
                <w:b/>
                <w:sz w:val="24"/>
              </w:rPr>
              <w:t>5、与《湖南省湘江保护条例》的相符性分析</w:t>
            </w:r>
          </w:p>
          <w:p w14:paraId="008C787A">
            <w:pPr>
              <w:spacing w:line="360" w:lineRule="auto"/>
              <w:ind w:firstLine="480" w:firstLineChars="200"/>
              <w:rPr>
                <w:sz w:val="24"/>
              </w:rPr>
            </w:pPr>
            <w:r>
              <w:rPr>
                <w:rFonts w:hint="eastAsia"/>
                <w:sz w:val="24"/>
              </w:rPr>
              <w:t>根据《湖南省湘江保护条例》:“(1)禁止在湘江流域饮用水水源级保护区内设置排污口(渠)，禁止新建、改建、扩建与供水设施和保护水源无关的建设项目;已经设置排污口(渠)、建成与供水设施和保护水源无关的建设项目，县级以上人民政府应当在省人民政府规定期限内组织拆除或者关闭。禁止在湘江流域饮用水水源一级保护区内从事网箱养殖旅游、游泳、垂钓或者其他可能污染饮用水水体的活动。(2)禁止在湘江流域饮用水水源二级保护区内设置排污口(渠)，禁止新建、改建、扩建排放污染物的建设项目;已经设置排污口(渠)、建成排放污染物的建设项目，县级以上人民政府应当在省人民政府规定期限内组织拆除或者关闭。(3)禁止在湘江干流岸线一公里范围内新建、扩建化工园区和化工项目。禁止在湘江干流岸线一公里范围内新建、改建、扩建尾矿库;但是以提升安全、生态环境保护水平为目的的改建除外。”</w:t>
            </w:r>
          </w:p>
          <w:p w14:paraId="27F69FC9">
            <w:pPr>
              <w:spacing w:line="360" w:lineRule="auto"/>
              <w:ind w:firstLine="480" w:firstLineChars="200"/>
              <w:rPr>
                <w:sz w:val="24"/>
              </w:rPr>
            </w:pPr>
            <w:r>
              <w:rPr>
                <w:rFonts w:hint="eastAsia"/>
                <w:sz w:val="24"/>
              </w:rPr>
              <w:t>本项目为电力、热力生产和供应业，废水排入衡山国祯水处理有限公司，不受上述政策限制。项目建设完成后污染物经过处理后可以达到国家和地方相应排放标准。因此，本项目符合《湖南省湘江保护条例》相关要求。</w:t>
            </w:r>
          </w:p>
          <w:p w14:paraId="5426EC70">
            <w:pPr>
              <w:ind w:firstLine="482" w:firstLineChars="200"/>
              <w:rPr>
                <w:b/>
                <w:sz w:val="24"/>
              </w:rPr>
            </w:pPr>
            <w:r>
              <w:rPr>
                <w:rFonts w:hint="eastAsia"/>
                <w:b/>
                <w:sz w:val="24"/>
              </w:rPr>
              <w:t>6、与《长江经济带生态环境保护规划》的相符性分析</w:t>
            </w:r>
          </w:p>
          <w:p w14:paraId="62293E87">
            <w:pPr>
              <w:ind w:firstLine="420" w:firstLineChars="200"/>
            </w:pPr>
          </w:p>
          <w:p w14:paraId="744957DB">
            <w:pPr>
              <w:spacing w:line="360" w:lineRule="auto"/>
              <w:ind w:firstLine="480" w:firstLineChars="200"/>
              <w:rPr>
                <w:sz w:val="24"/>
              </w:rPr>
            </w:pPr>
            <w:r>
              <w:rPr>
                <w:rFonts w:hint="eastAsia"/>
                <w:sz w:val="24"/>
              </w:rPr>
              <w:t>根据《长江经济带生态环境保护规划》文件的规定，确立水资源利用上线:强化水资源总量红线约束，促进区域经济布局与结构优化调整。严格总量指标管理,严格控制高耗水行业发展。强化水功能区水质达标管理严守生态保护红线:将生态保护红线作为空间规划编制的重要基础，相关规划要符合生态保护红线空间管控要求，不符合的要及时进行调整。生态保护红线原则上按禁止开发区域的要求进行管理，严禁不符合主体功能定位的各类开发活动，严禁任意改变用途。坚守环境质量底线:建立水环境质量底线管理制度，坚持点源、面源和流动源综合防治策略，突出抓好良好水体保护和严重污染水体治理。全面推进环境污染治理。强化突发环境事故预防应对，严格管控环境风险。</w:t>
            </w:r>
          </w:p>
          <w:p w14:paraId="0807FF04">
            <w:pPr>
              <w:spacing w:line="360" w:lineRule="auto"/>
              <w:ind w:firstLine="480" w:firstLineChars="200"/>
              <w:rPr>
                <w:sz w:val="24"/>
              </w:rPr>
            </w:pPr>
            <w:r>
              <w:rPr>
                <w:rFonts w:hint="eastAsia"/>
                <w:sz w:val="24"/>
              </w:rPr>
              <w:t>本项目营运期生产的生产废水经沉淀池预处理后排入衡山国祯水处理有限公司进一步处理达标后排入湘江。本项目位于衡山县开云镇不属于禁止开发区域，不在生态保护红线范围内。综上，本项目建设与《长江经济带生态环境保护规划》相符。</w:t>
            </w:r>
          </w:p>
          <w:p w14:paraId="125A43F1">
            <w:pPr>
              <w:pStyle w:val="2"/>
              <w:ind w:left="0" w:leftChars="0" w:firstLine="482"/>
              <w:rPr>
                <w:b/>
                <w:kern w:val="2"/>
                <w:szCs w:val="24"/>
              </w:rPr>
            </w:pPr>
            <w:r>
              <w:rPr>
                <w:rFonts w:hint="eastAsia"/>
                <w:b/>
                <w:kern w:val="2"/>
                <w:szCs w:val="24"/>
              </w:rPr>
              <w:t>7、与《湖南省长江经济带发展负面清单实施细则(试行)》相符性分析</w:t>
            </w:r>
          </w:p>
          <w:p w14:paraId="071B09C1">
            <w:pPr>
              <w:pStyle w:val="2"/>
              <w:ind w:left="0" w:leftChars="0" w:firstLine="480"/>
            </w:pPr>
            <w:r>
              <w:rPr>
                <w:rFonts w:hint="eastAsia"/>
              </w:rPr>
              <w:t>根据《湖南省长江经济带发展负面清单实施细则(试行)》，禁止在水产种质资源保护区内新建排污口、从事围湖造田造地等投资建设项目;生态保护红线原则上按禁止开发区域的要求进行管理。严禁不符合主体功能定位的各类开发活动，严禁任意改变用途。因国家重大基础设施、重大民生保障项目建设等需要调整的，依法按有关程序报批。因国家重大战略资源勘查需要，在不影响主体功能定位的前提下，经依法批准后予以安排勘查项目。禁止在长江干支流(长江干流湖南段、湘江沅江干流及洞庭湖)岸线1公里范围(指长江干支流岸线边界向陆域纵深1公里，边界指水利部门河道管理范围边界)内新建、扩建化工园区和化工项目。禁止在《中国开发区审核公告目录》公布的园区或省人民政府批准设立的园区外新建、扩建钢铁、石化、化工、焦化、建材、有色等高污染项目。禁止新建扩建法律法规和相关政策命令禁止的落后产能项目:对不符合要求的落后产能项目，依法依规退出。对最新版《产业结构调整指导目录》中限制类的新建项目，禁止投资;对淘汰类项目，禁止投资。国家级重点生态功能区，要严格执行国家重点生态功能区产业准入负面清单。</w:t>
            </w:r>
          </w:p>
          <w:p w14:paraId="4F2509A2">
            <w:pPr>
              <w:pStyle w:val="2"/>
              <w:ind w:left="0" w:leftChars="0" w:firstLine="480"/>
            </w:pPr>
            <w:r>
              <w:rPr>
                <w:rFonts w:hint="eastAsia"/>
              </w:rPr>
              <w:t>本项目运营期的生产废水经沉淀池预处理后排入</w:t>
            </w:r>
            <w:r>
              <w:rPr>
                <w:rFonts w:hint="eastAsia"/>
                <w:color w:val="000000" w:themeColor="text1"/>
                <w14:textFill>
                  <w14:solidFill>
                    <w14:schemeClr w14:val="tx1"/>
                  </w14:solidFill>
                </w14:textFill>
              </w:rPr>
              <w:t>衡山国祯水处理有限公司</w:t>
            </w:r>
            <w:r>
              <w:rPr>
                <w:rFonts w:hint="eastAsia"/>
              </w:rPr>
              <w:t>进一步处理达标后排入湘江，不另行新建排污口。</w:t>
            </w:r>
          </w:p>
          <w:p w14:paraId="5E61746F">
            <w:pPr>
              <w:pStyle w:val="2"/>
              <w:ind w:left="0" w:leftChars="0" w:firstLine="480"/>
            </w:pPr>
            <w:r>
              <w:rPr>
                <w:rFonts w:hint="eastAsia"/>
              </w:rPr>
              <w:t>本项目所属行业为电力、</w:t>
            </w:r>
            <w:r>
              <w:rPr>
                <w:rFonts w:hint="eastAsia"/>
                <w:szCs w:val="21"/>
              </w:rPr>
              <w:t>热力生产和供应业</w:t>
            </w:r>
            <w:r>
              <w:rPr>
                <w:rFonts w:hint="eastAsia"/>
              </w:rPr>
              <w:t>，项目建设符合《产业结构调整指导目录》要求，符合《湖南省生态功能区划》，不涉及国家级重点生态功能区。综上，本项目建设与《湖南省长江经济带发展负面清单实施细则(试行)》相符。</w:t>
            </w:r>
          </w:p>
          <w:p w14:paraId="2F2D96E5">
            <w:pPr>
              <w:adjustRightInd w:val="0"/>
              <w:snapToGrid w:val="0"/>
              <w:spacing w:line="360" w:lineRule="auto"/>
              <w:ind w:firstLine="482" w:firstLineChars="200"/>
              <w:contextualSpacing/>
              <w:rPr>
                <w:b/>
                <w:sz w:val="24"/>
              </w:rPr>
            </w:pPr>
            <w:r>
              <w:rPr>
                <w:rFonts w:hint="eastAsia"/>
                <w:b/>
                <w:sz w:val="24"/>
              </w:rPr>
              <w:t>8、</w:t>
            </w:r>
            <w:r>
              <w:rPr>
                <w:b/>
                <w:sz w:val="24"/>
              </w:rPr>
              <w:t>与《湖南省“十四五”生态环境保护规划》相符性分析</w:t>
            </w:r>
          </w:p>
          <w:p w14:paraId="0302A97C">
            <w:pPr>
              <w:pStyle w:val="24"/>
              <w:widowControl w:val="0"/>
              <w:adjustRightInd w:val="0"/>
              <w:snapToGrid w:val="0"/>
              <w:spacing w:before="0" w:beforeAutospacing="0" w:after="0" w:afterAutospacing="0" w:line="360" w:lineRule="auto"/>
              <w:ind w:firstLine="480" w:firstLineChars="200"/>
              <w:contextualSpacing/>
              <w:jc w:val="both"/>
              <w:rPr>
                <w:rFonts w:ascii="Times New Roman" w:hAnsi="Times New Roman"/>
                <w:kern w:val="2"/>
                <w:szCs w:val="24"/>
              </w:rPr>
            </w:pPr>
            <w:r>
              <w:rPr>
                <w:rFonts w:ascii="Times New Roman" w:hAnsi="Times New Roman"/>
                <w:kern w:val="2"/>
                <w:szCs w:val="24"/>
              </w:rPr>
              <w:t>根据《湖南省“十四五”生态环境保护规划》：“......按照《湖南省沿江化工企业搬迁改造实施方案》要求，沿江岸线1公里范围内严禁新建、扩建化工园区、化工生产项目；严禁现有合规化工园区在沿江岸线1公里范围内靠江扩建......”；“加强其他涉气污染物治理，加强恶臭、有毒有害大气污染物防控”。</w:t>
            </w:r>
          </w:p>
          <w:p w14:paraId="182CA8CE">
            <w:pPr>
              <w:pStyle w:val="24"/>
              <w:widowControl w:val="0"/>
              <w:adjustRightInd w:val="0"/>
              <w:snapToGrid w:val="0"/>
              <w:spacing w:before="0" w:beforeAutospacing="0" w:after="0" w:afterAutospacing="0" w:line="360" w:lineRule="auto"/>
              <w:ind w:firstLine="482" w:firstLineChars="200"/>
              <w:contextualSpacing/>
              <w:jc w:val="both"/>
              <w:rPr>
                <w:rFonts w:ascii="Times New Roman" w:hAnsi="Times New Roman"/>
                <w:kern w:val="2"/>
              </w:rPr>
            </w:pPr>
            <w:r>
              <w:rPr>
                <w:rFonts w:ascii="Times New Roman" w:hAnsi="Times New Roman"/>
                <w:b/>
                <w:bCs/>
                <w:kern w:val="2"/>
              </w:rPr>
              <w:t>相符性分析：</w:t>
            </w:r>
            <w:r>
              <w:rPr>
                <w:rFonts w:ascii="Times New Roman" w:hAnsi="Times New Roman"/>
                <w:kern w:val="2"/>
              </w:rPr>
              <w:t>本项目</w:t>
            </w:r>
            <w:r>
              <w:rPr>
                <w:rFonts w:hint="eastAsia" w:ascii="Times New Roman" w:hAnsi="Times New Roman"/>
                <w:kern w:val="2"/>
              </w:rPr>
              <w:t>为</w:t>
            </w:r>
            <w:r>
              <w:rPr>
                <w:rFonts w:hint="eastAsia"/>
              </w:rPr>
              <w:t>电力、</w:t>
            </w:r>
            <w:r>
              <w:rPr>
                <w:rFonts w:hint="eastAsia"/>
                <w:szCs w:val="21"/>
              </w:rPr>
              <w:t>热力生产和供应业</w:t>
            </w:r>
            <w:r>
              <w:rPr>
                <w:rFonts w:ascii="Times New Roman" w:hAnsi="Times New Roman"/>
                <w:kern w:val="24"/>
              </w:rPr>
              <w:t>，</w:t>
            </w:r>
            <w:r>
              <w:rPr>
                <w:rFonts w:hint="eastAsia" w:ascii="Times New Roman" w:hAnsi="Times New Roman"/>
                <w:kern w:val="24"/>
              </w:rPr>
              <w:t>不属于</w:t>
            </w:r>
            <w:r>
              <w:rPr>
                <w:rFonts w:ascii="Times New Roman" w:hAnsi="Times New Roman"/>
                <w:kern w:val="2"/>
                <w:szCs w:val="24"/>
              </w:rPr>
              <w:t>化工园区、化工生产项目</w:t>
            </w:r>
            <w:r>
              <w:rPr>
                <w:rFonts w:hint="eastAsia" w:ascii="Times New Roman" w:hAnsi="Times New Roman"/>
                <w:kern w:val="24"/>
              </w:rPr>
              <w:t>，</w:t>
            </w:r>
            <w:r>
              <w:rPr>
                <w:rFonts w:ascii="Times New Roman" w:hAnsi="Times New Roman"/>
                <w:kern w:val="2"/>
              </w:rPr>
              <w:t>符合湖南省“十四五”环境保护规划的要求。</w:t>
            </w:r>
          </w:p>
          <w:p w14:paraId="0454A781">
            <w:pPr>
              <w:adjustRightInd w:val="0"/>
              <w:snapToGrid w:val="0"/>
              <w:spacing w:line="360" w:lineRule="auto"/>
              <w:ind w:firstLine="482" w:firstLineChars="200"/>
              <w:contextualSpacing/>
              <w:rPr>
                <w:b/>
                <w:sz w:val="24"/>
              </w:rPr>
            </w:pPr>
            <w:r>
              <w:rPr>
                <w:rFonts w:hint="eastAsia"/>
                <w:b/>
                <w:sz w:val="24"/>
              </w:rPr>
              <w:t>9、</w:t>
            </w:r>
            <w:r>
              <w:rPr>
                <w:b/>
                <w:sz w:val="24"/>
              </w:rPr>
              <w:t>与《衡阳市“十四五”生态环境保护规划》相符性分析</w:t>
            </w:r>
          </w:p>
          <w:p w14:paraId="3EAAC0FA">
            <w:pPr>
              <w:pStyle w:val="24"/>
              <w:widowControl w:val="0"/>
              <w:adjustRightInd w:val="0"/>
              <w:snapToGrid w:val="0"/>
              <w:spacing w:before="0" w:beforeAutospacing="0" w:after="0" w:afterAutospacing="0" w:line="360" w:lineRule="auto"/>
              <w:ind w:firstLine="480" w:firstLineChars="200"/>
              <w:contextualSpacing/>
              <w:jc w:val="both"/>
              <w:rPr>
                <w:rFonts w:ascii="Times New Roman" w:hAnsi="Times New Roman"/>
                <w:kern w:val="2"/>
              </w:rPr>
            </w:pPr>
            <w:r>
              <w:rPr>
                <w:rFonts w:ascii="Times New Roman" w:hAnsi="Times New Roman"/>
                <w:kern w:val="2"/>
                <w:szCs w:val="24"/>
              </w:rPr>
              <w:t>根据《衡阳市“十四五”生态环境保护规划》：“......对全市湘江沿江1公里范围内已建成投产的</w:t>
            </w:r>
            <w:r>
              <w:rPr>
                <w:rFonts w:ascii="Times New Roman" w:hAnsi="Times New Roman"/>
                <w:kern w:val="2"/>
              </w:rPr>
              <w:t>化工企业且省直相关部门已同意保留的，原则上同意继续保留，严禁新建、扩建化工园区、化工生产项目......”；“......以钢铁、水泥、有色、化工、砖瓦、陶瓷等资源消耗大、能耗高、污染重的行业为重点，从技术工艺改造、原辅料替代、资源能源梯级利用等方面降低能耗和污染物排放......”</w:t>
            </w:r>
          </w:p>
          <w:p w14:paraId="37BA0ABE">
            <w:pPr>
              <w:pStyle w:val="24"/>
              <w:widowControl w:val="0"/>
              <w:adjustRightInd w:val="0"/>
              <w:snapToGrid w:val="0"/>
              <w:spacing w:before="0" w:beforeAutospacing="0" w:after="0" w:afterAutospacing="0" w:line="360" w:lineRule="auto"/>
              <w:ind w:firstLine="482" w:firstLineChars="200"/>
              <w:contextualSpacing/>
              <w:jc w:val="both"/>
              <w:rPr>
                <w:rFonts w:ascii="Times New Roman" w:hAnsi="Times New Roman"/>
                <w:kern w:val="2"/>
              </w:rPr>
            </w:pPr>
            <w:r>
              <w:rPr>
                <w:rFonts w:ascii="Times New Roman" w:hAnsi="Times New Roman"/>
                <w:b/>
                <w:bCs/>
                <w:kern w:val="2"/>
              </w:rPr>
              <w:t>相符性分析：</w:t>
            </w:r>
            <w:r>
              <w:rPr>
                <w:rFonts w:ascii="Times New Roman" w:hAnsi="Times New Roman"/>
                <w:kern w:val="2"/>
              </w:rPr>
              <w:t>本项目</w:t>
            </w:r>
            <w:r>
              <w:rPr>
                <w:rFonts w:hint="eastAsia" w:ascii="Times New Roman" w:hAnsi="Times New Roman"/>
                <w:kern w:val="2"/>
              </w:rPr>
              <w:t>为</w:t>
            </w:r>
            <w:r>
              <w:rPr>
                <w:rFonts w:hint="eastAsia"/>
              </w:rPr>
              <w:t>电力、</w:t>
            </w:r>
            <w:r>
              <w:rPr>
                <w:rFonts w:hint="eastAsia"/>
                <w:szCs w:val="21"/>
              </w:rPr>
              <w:t>热力生产和供应业</w:t>
            </w:r>
            <w:r>
              <w:rPr>
                <w:rFonts w:ascii="Times New Roman" w:hAnsi="Times New Roman"/>
                <w:kern w:val="24"/>
              </w:rPr>
              <w:t>，</w:t>
            </w:r>
            <w:r>
              <w:rPr>
                <w:rFonts w:hint="eastAsia" w:ascii="Times New Roman" w:hAnsi="Times New Roman"/>
                <w:kern w:val="24"/>
              </w:rPr>
              <w:t>不属于</w:t>
            </w:r>
            <w:r>
              <w:rPr>
                <w:rFonts w:ascii="Times New Roman" w:hAnsi="Times New Roman"/>
                <w:kern w:val="2"/>
                <w:szCs w:val="24"/>
              </w:rPr>
              <w:t>化工园区、化工生产项目</w:t>
            </w:r>
            <w:r>
              <w:rPr>
                <w:rFonts w:hint="eastAsia" w:ascii="Times New Roman" w:hAnsi="Times New Roman"/>
                <w:kern w:val="2"/>
                <w:szCs w:val="24"/>
              </w:rPr>
              <w:t>，也不属于</w:t>
            </w:r>
            <w:r>
              <w:rPr>
                <w:rFonts w:ascii="Times New Roman" w:hAnsi="Times New Roman"/>
                <w:kern w:val="2"/>
              </w:rPr>
              <w:t>资源消耗大、能耗高、污染重的行业，符合衡阳市“十四五”环境保护规划的要求。</w:t>
            </w:r>
          </w:p>
          <w:p w14:paraId="47F3A81B">
            <w:pPr>
              <w:pStyle w:val="17"/>
              <w:spacing w:after="0" w:line="360" w:lineRule="auto"/>
              <w:ind w:left="0" w:leftChars="0" w:firstLine="482" w:firstLineChars="200"/>
              <w:outlineLvl w:val="3"/>
              <w:rPr>
                <w:b/>
                <w:bCs/>
                <w:sz w:val="24"/>
              </w:rPr>
            </w:pPr>
            <w:r>
              <w:rPr>
                <w:rFonts w:hint="eastAsia"/>
                <w:b/>
                <w:bCs/>
                <w:sz w:val="24"/>
              </w:rPr>
              <w:t>10、</w:t>
            </w:r>
            <w:r>
              <w:rPr>
                <w:b/>
                <w:bCs/>
                <w:sz w:val="24"/>
              </w:rPr>
              <w:t>与湖南省人民政府办公厅关于印发《湖南省空气质量持续改善行动计划实施方案》的通知（湘政办发〔2024〕33号）</w:t>
            </w:r>
          </w:p>
          <w:p w14:paraId="6984FC8E">
            <w:pPr>
              <w:adjustRightInd w:val="0"/>
              <w:snapToGrid w:val="0"/>
              <w:spacing w:line="360" w:lineRule="auto"/>
              <w:ind w:firstLine="482"/>
              <w:contextualSpacing/>
              <w:rPr>
                <w:kern w:val="24"/>
                <w:sz w:val="24"/>
              </w:rPr>
            </w:pPr>
            <w:r>
              <w:rPr>
                <w:rFonts w:hint="eastAsia"/>
                <w:kern w:val="24"/>
                <w:sz w:val="24"/>
              </w:rPr>
              <w:t>根据《湖南省空气质量持续改善行动计划实施方案》：“（二）加快退出重点行业落后产能。严格执行《产业结构调整指导目录》，制定实施利用能耗、环保、质量、安全、技术等标准推动落后产能退出年度工作方案，加大重点行业落后产能淘汰力度，推动大规模设备更新，开展小型生物质锅炉清理整合。到2025年，全省砖瓦窑企业全部完成综合整治，基本完成2蒸吨/小时及以下生物质锅炉淘汰”、“（七）推进燃煤锅炉关停整合和散煤替代。县级及以上城市建成区原则上不再新建35蒸吨/小时及以下燃煤锅炉，加快重点城市35蒸吨/小时及以下燃煤锅炉淘汰，加大民用及农业散煤替代力度，高污染燃料禁燃区散煤动态清零。到2025年，全省基本淘汰燃煤热风炉、固定炉排燃煤锅炉和10蒸吨/小时及以下燃煤锅炉；完成燃煤烤烟房清洁能源替代12500座。发挥热电联产电厂供热能力，开展管网覆盖范围内燃煤锅炉、落后燃煤小热电机组（含自备电厂）和生物质锅炉关停或整合”。</w:t>
            </w:r>
          </w:p>
          <w:p w14:paraId="2DD9D13E">
            <w:pPr>
              <w:adjustRightInd w:val="0"/>
              <w:snapToGrid w:val="0"/>
              <w:spacing w:line="360" w:lineRule="auto"/>
              <w:ind w:firstLine="482"/>
              <w:contextualSpacing/>
              <w:rPr>
                <w:sz w:val="24"/>
              </w:rPr>
            </w:pPr>
            <w:r>
              <w:rPr>
                <w:rFonts w:hint="eastAsia"/>
                <w:kern w:val="24"/>
                <w:sz w:val="24"/>
              </w:rPr>
              <w:t>相符性分析：本项目建成后使用生物质蒸汽发生器为1.5t/h，符合相关要求。</w:t>
            </w:r>
          </w:p>
          <w:p w14:paraId="05AF3FC2"/>
          <w:p w14:paraId="0ADC941F"/>
        </w:tc>
      </w:tr>
    </w:tbl>
    <w:p w14:paraId="433B4D25">
      <w:pPr>
        <w:spacing w:line="360" w:lineRule="auto"/>
        <w:rPr>
          <w:rFonts w:eastAsia="黑体"/>
          <w:sz w:val="30"/>
        </w:rPr>
        <w:sectPr>
          <w:footerReference r:id="rId6" w:type="default"/>
          <w:pgSz w:w="11906" w:h="16838"/>
          <w:pgMar w:top="1701" w:right="1531" w:bottom="1701" w:left="1531" w:header="851" w:footer="1077" w:gutter="0"/>
          <w:pgNumType w:start="1"/>
          <w:cols w:space="720" w:num="1"/>
          <w:docGrid w:linePitch="312" w:charSpace="0"/>
        </w:sectPr>
      </w:pPr>
    </w:p>
    <w:p w14:paraId="550B4D7F">
      <w:pPr>
        <w:pStyle w:val="24"/>
        <w:jc w:val="center"/>
        <w:outlineLvl w:val="0"/>
        <w:rPr>
          <w:rFonts w:hint="eastAsia" w:ascii="黑体" w:hAnsi="黑体" w:eastAsia="黑体"/>
          <w:snapToGrid w:val="0"/>
          <w:sz w:val="30"/>
          <w:szCs w:val="30"/>
        </w:rPr>
      </w:pPr>
      <w:bookmarkStart w:id="3" w:name="_Toc12621"/>
      <w:r>
        <w:rPr>
          <w:rFonts w:hint="eastAsia" w:ascii="黑体" w:hAnsi="黑体" w:eastAsia="黑体"/>
          <w:snapToGrid w:val="0"/>
          <w:sz w:val="30"/>
          <w:szCs w:val="30"/>
        </w:rPr>
        <w:t>二、建设项目工程分析</w:t>
      </w:r>
      <w:bookmarkEnd w:id="3"/>
    </w:p>
    <w:tbl>
      <w:tblPr>
        <w:tblStyle w:val="2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8627"/>
      </w:tblGrid>
      <w:tr w14:paraId="3F1D2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589" w:type="dxa"/>
            <w:vAlign w:val="center"/>
          </w:tcPr>
          <w:p w14:paraId="2DA8DECC">
            <w:pPr>
              <w:pStyle w:val="24"/>
              <w:adjustRightInd w:val="0"/>
              <w:snapToGrid w:val="0"/>
              <w:spacing w:before="0" w:beforeAutospacing="0" w:after="0" w:afterAutospacing="0"/>
              <w:jc w:val="center"/>
              <w:rPr>
                <w:rFonts w:hint="eastAsia" w:cs="宋体"/>
                <w:szCs w:val="24"/>
              </w:rPr>
            </w:pPr>
            <w:r>
              <w:rPr>
                <w:rFonts w:hint="eastAsia" w:cs="宋体"/>
                <w:szCs w:val="24"/>
              </w:rPr>
              <w:t>建设内容</w:t>
            </w:r>
          </w:p>
        </w:tc>
        <w:tc>
          <w:tcPr>
            <w:tcW w:w="8471" w:type="dxa"/>
          </w:tcPr>
          <w:p w14:paraId="427813E6">
            <w:pPr>
              <w:keepNext/>
              <w:keepLines/>
              <w:widowControl/>
              <w:spacing w:line="360" w:lineRule="auto"/>
              <w:rPr>
                <w:b/>
                <w:bCs/>
                <w:sz w:val="24"/>
              </w:rPr>
            </w:pPr>
            <w:r>
              <w:rPr>
                <w:rFonts w:hint="eastAsia"/>
                <w:b/>
                <w:bCs/>
                <w:sz w:val="24"/>
              </w:rPr>
              <w:t>1、项目由来</w:t>
            </w:r>
          </w:p>
          <w:p w14:paraId="13A02597">
            <w:pPr>
              <w:keepNext/>
              <w:keepLines/>
              <w:widowControl/>
              <w:spacing w:line="360" w:lineRule="auto"/>
              <w:ind w:firstLine="480" w:firstLineChars="200"/>
              <w:rPr>
                <w:sz w:val="24"/>
              </w:rPr>
            </w:pPr>
            <w:r>
              <w:rPr>
                <w:rFonts w:hint="eastAsia"/>
                <w:sz w:val="24"/>
              </w:rPr>
              <w:t>本项目属于电力、热力生产和供应业项目，经查询《部令第16号 建设项目环境影响评价分类管理名录（2021年版）》，本项目属于“</w:t>
            </w:r>
            <w:r>
              <w:rPr>
                <w:sz w:val="24"/>
              </w:rPr>
              <w:t>四十一、电力、热力生产和供应业</w:t>
            </w:r>
            <w:r>
              <w:rPr>
                <w:rFonts w:hint="eastAsia"/>
                <w:sz w:val="24"/>
              </w:rPr>
              <w:t>—9</w:t>
            </w:r>
            <w:r>
              <w:rPr>
                <w:sz w:val="24"/>
              </w:rPr>
              <w:t>1 热力生产和供应工程 （包括建设单位自建 自用的供热工程）</w:t>
            </w:r>
            <w:r>
              <w:rPr>
                <w:rFonts w:hint="eastAsia"/>
                <w:sz w:val="24"/>
              </w:rPr>
              <w:t>”中</w:t>
            </w:r>
            <w:r>
              <w:rPr>
                <w:sz w:val="24"/>
              </w:rPr>
              <w:t>燃煤、燃油锅炉总容量65吨/ 小时（45.5兆瓦）及以下的； 天然气锅炉总容量1吨/小时 （0.7兆瓦）以上的；使用其他高污染燃料的 （高污染燃料指国环规大气 〔2017〕2号《高污染燃料目录》 中规定的燃料）</w:t>
            </w:r>
            <w:r>
              <w:rPr>
                <w:rFonts w:hint="eastAsia"/>
                <w:sz w:val="24"/>
              </w:rPr>
              <w:t>的类别，应编制报告表类别。据此，建设单位委托我公司编制环境影响评价报告表。</w:t>
            </w:r>
          </w:p>
          <w:p w14:paraId="01CECCD4">
            <w:pPr>
              <w:keepNext/>
              <w:keepLines/>
              <w:widowControl/>
              <w:spacing w:line="360" w:lineRule="auto"/>
              <w:rPr>
                <w:sz w:val="24"/>
              </w:rPr>
            </w:pPr>
            <w:r>
              <w:rPr>
                <w:rFonts w:hint="eastAsia"/>
                <w:b/>
                <w:bCs/>
                <w:sz w:val="24"/>
              </w:rPr>
              <w:t>2、项目概况</w:t>
            </w:r>
          </w:p>
          <w:p w14:paraId="7594929D">
            <w:pPr>
              <w:keepNext/>
              <w:keepLines/>
              <w:widowControl/>
              <w:spacing w:line="360" w:lineRule="auto"/>
              <w:ind w:firstLine="480" w:firstLineChars="200"/>
              <w:rPr>
                <w:sz w:val="24"/>
              </w:rPr>
            </w:pPr>
            <w:r>
              <w:rPr>
                <w:rFonts w:hint="eastAsia"/>
                <w:sz w:val="24"/>
              </w:rPr>
              <w:t>项目名称：衡山县洁净洗涤厂机器引进项目</w:t>
            </w:r>
          </w:p>
          <w:p w14:paraId="5FC99AAE">
            <w:pPr>
              <w:keepNext/>
              <w:keepLines/>
              <w:widowControl/>
              <w:spacing w:line="360" w:lineRule="auto"/>
              <w:ind w:firstLine="480" w:firstLineChars="200"/>
              <w:rPr>
                <w:sz w:val="24"/>
              </w:rPr>
            </w:pPr>
            <w:r>
              <w:rPr>
                <w:rFonts w:hint="eastAsia"/>
                <w:sz w:val="24"/>
              </w:rPr>
              <w:t>建设性质：新建</w:t>
            </w:r>
          </w:p>
          <w:p w14:paraId="543FE98A">
            <w:pPr>
              <w:keepNext/>
              <w:keepLines/>
              <w:widowControl/>
              <w:spacing w:line="360" w:lineRule="auto"/>
              <w:ind w:firstLine="480" w:firstLineChars="200"/>
              <w:rPr>
                <w:sz w:val="24"/>
              </w:rPr>
            </w:pPr>
            <w:r>
              <w:rPr>
                <w:rFonts w:hint="eastAsia"/>
                <w:sz w:val="24"/>
              </w:rPr>
              <w:t>建设单位：衡山县洁净洗涤厂</w:t>
            </w:r>
          </w:p>
          <w:p w14:paraId="32EF354A">
            <w:pPr>
              <w:keepNext/>
              <w:keepLines/>
              <w:widowControl/>
              <w:spacing w:line="360" w:lineRule="auto"/>
              <w:ind w:firstLine="480" w:firstLineChars="200"/>
              <w:rPr>
                <w:sz w:val="24"/>
              </w:rPr>
            </w:pPr>
            <w:r>
              <w:rPr>
                <w:rFonts w:hint="eastAsia"/>
                <w:sz w:val="24"/>
              </w:rPr>
              <w:t>建设地点：衡山县开云镇湘衡村八组</w:t>
            </w:r>
          </w:p>
          <w:p w14:paraId="1DDC2FC7">
            <w:pPr>
              <w:keepNext/>
              <w:keepLines/>
              <w:widowControl/>
              <w:spacing w:line="360" w:lineRule="auto"/>
              <w:ind w:firstLine="480" w:firstLineChars="200"/>
              <w:rPr>
                <w:color w:val="000000"/>
                <w:sz w:val="24"/>
              </w:rPr>
            </w:pPr>
            <w:r>
              <w:rPr>
                <w:rFonts w:hint="eastAsia"/>
                <w:color w:val="000000"/>
                <w:sz w:val="24"/>
              </w:rPr>
              <w:t>项目投资：总投资6</w:t>
            </w:r>
            <w:r>
              <w:rPr>
                <w:color w:val="000000"/>
                <w:sz w:val="24"/>
              </w:rPr>
              <w:t>0</w:t>
            </w:r>
            <w:r>
              <w:rPr>
                <w:rFonts w:hint="eastAsia"/>
                <w:color w:val="000000"/>
                <w:sz w:val="24"/>
              </w:rPr>
              <w:t>万元，环保投资6万元</w:t>
            </w:r>
          </w:p>
          <w:p w14:paraId="23219B3E">
            <w:pPr>
              <w:keepNext/>
              <w:keepLines/>
              <w:widowControl/>
              <w:spacing w:line="360" w:lineRule="auto"/>
              <w:ind w:firstLine="480" w:firstLineChars="200"/>
              <w:rPr>
                <w:sz w:val="24"/>
              </w:rPr>
            </w:pPr>
            <w:r>
              <w:rPr>
                <w:rFonts w:hint="eastAsia"/>
                <w:color w:val="000000"/>
                <w:sz w:val="24"/>
              </w:rPr>
              <w:t>用地面积：占地面积1487.88m</w:t>
            </w:r>
            <w:r>
              <w:rPr>
                <w:rFonts w:hint="eastAsia"/>
                <w:color w:val="000000"/>
                <w:sz w:val="24"/>
                <w:vertAlign w:val="superscript"/>
              </w:rPr>
              <w:t>2</w:t>
            </w:r>
          </w:p>
          <w:p w14:paraId="5B4D6AF8">
            <w:pPr>
              <w:keepNext/>
              <w:keepLines/>
              <w:widowControl/>
              <w:spacing w:line="360" w:lineRule="auto"/>
              <w:ind w:firstLine="480" w:firstLineChars="200"/>
              <w:rPr>
                <w:sz w:val="24"/>
              </w:rPr>
            </w:pPr>
            <w:r>
              <w:rPr>
                <w:rFonts w:hint="eastAsia"/>
                <w:sz w:val="24"/>
              </w:rPr>
              <w:t>劳动定员：共</w:t>
            </w:r>
            <w:r>
              <w:rPr>
                <w:sz w:val="24"/>
              </w:rPr>
              <w:t>10</w:t>
            </w:r>
            <w:r>
              <w:rPr>
                <w:rFonts w:hint="eastAsia"/>
                <w:sz w:val="24"/>
              </w:rPr>
              <w:t>人</w:t>
            </w:r>
          </w:p>
          <w:p w14:paraId="0A35DB8B">
            <w:pPr>
              <w:pStyle w:val="2"/>
              <w:ind w:left="0" w:leftChars="0" w:firstLine="480"/>
            </w:pPr>
            <w:r>
              <w:t>建设规模：厂房1栋，洗涤设备一套，引进蒸汽发生器1台，平烫折叠机1套，洗衣机100公斤</w:t>
            </w:r>
            <w:r>
              <w:rPr>
                <w:rFonts w:hint="eastAsia"/>
              </w:rPr>
              <w:t>4</w:t>
            </w:r>
            <w:r>
              <w:t>台，建成后预计年洗涤布草</w:t>
            </w:r>
            <w:r>
              <w:rPr>
                <w:rFonts w:hint="eastAsia"/>
              </w:rPr>
              <w:t>24万套</w:t>
            </w:r>
            <w:r>
              <w:t>；项目用地租赁现有厂房，其中设置有布草洗涤</w:t>
            </w:r>
            <w:r>
              <w:rPr>
                <w:rFonts w:hint="eastAsia"/>
              </w:rPr>
              <w:t>区</w:t>
            </w:r>
            <w:r>
              <w:t>、</w:t>
            </w:r>
            <w:r>
              <w:rPr>
                <w:rFonts w:hint="eastAsia"/>
              </w:rPr>
              <w:t>熨烫折叠区、</w:t>
            </w:r>
            <w:r>
              <w:t>锅炉房及配套电气、消防、给排水工程</w:t>
            </w:r>
            <w:r>
              <w:rPr>
                <w:rFonts w:hint="eastAsia"/>
              </w:rPr>
              <w:t>。</w:t>
            </w:r>
          </w:p>
          <w:p w14:paraId="58647623">
            <w:pPr>
              <w:adjustRightInd w:val="0"/>
              <w:snapToGrid w:val="0"/>
              <w:spacing w:line="360" w:lineRule="auto"/>
              <w:rPr>
                <w:b/>
                <w:bCs/>
                <w:sz w:val="24"/>
              </w:rPr>
            </w:pPr>
            <w:r>
              <w:rPr>
                <w:rFonts w:hint="eastAsia"/>
                <w:b/>
                <w:bCs/>
                <w:sz w:val="24"/>
              </w:rPr>
              <w:t>3、主要产品及产能</w:t>
            </w:r>
          </w:p>
          <w:p w14:paraId="7DC5D923">
            <w:pPr>
              <w:pStyle w:val="2"/>
              <w:ind w:firstLine="480"/>
            </w:pPr>
          </w:p>
          <w:p w14:paraId="5F8DE4BC"/>
          <w:p w14:paraId="77B832EC">
            <w:pPr>
              <w:pStyle w:val="2"/>
              <w:ind w:firstLine="480"/>
            </w:pPr>
          </w:p>
          <w:p w14:paraId="7198D0B2"/>
          <w:p w14:paraId="0E5A6605">
            <w:pPr>
              <w:pStyle w:val="2"/>
              <w:ind w:firstLine="480"/>
            </w:pPr>
          </w:p>
          <w:p w14:paraId="0B5A8027"/>
          <w:p w14:paraId="6D4BDC84">
            <w:pPr>
              <w:pStyle w:val="2"/>
              <w:ind w:firstLine="480"/>
            </w:pPr>
          </w:p>
          <w:p w14:paraId="21150DB5">
            <w:pPr>
              <w:keepNext/>
              <w:keepLines/>
              <w:widowControl/>
              <w:spacing w:line="360" w:lineRule="auto"/>
              <w:ind w:firstLine="480" w:firstLineChars="200"/>
              <w:rPr>
                <w:sz w:val="24"/>
              </w:rPr>
            </w:pPr>
            <w:r>
              <w:rPr>
                <w:rFonts w:hint="eastAsia"/>
                <w:sz w:val="24"/>
              </w:rPr>
              <w:t>本项目为布草洗涤项目，产品方案详见表2-1。</w:t>
            </w:r>
          </w:p>
          <w:p w14:paraId="3FBBAF4C">
            <w:pPr>
              <w:keepNext/>
              <w:keepLines/>
              <w:widowControl/>
              <w:ind w:firstLine="422" w:firstLineChars="200"/>
              <w:jc w:val="center"/>
              <w:rPr>
                <w:sz w:val="24"/>
              </w:rPr>
            </w:pPr>
            <w:r>
              <w:rPr>
                <w:rFonts w:hint="eastAsia"/>
                <w:b/>
                <w:bCs/>
                <w:szCs w:val="21"/>
              </w:rPr>
              <w:t>表2-1 产品方案一览表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58"/>
              <w:gridCol w:w="2167"/>
              <w:gridCol w:w="3494"/>
            </w:tblGrid>
            <w:tr w14:paraId="3F0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5" w:type="pct"/>
                  <w:vAlign w:val="center"/>
                </w:tcPr>
                <w:p w14:paraId="1E40C895">
                  <w:pPr>
                    <w:keepNext/>
                    <w:keepLines/>
                    <w:widowControl/>
                    <w:jc w:val="center"/>
                    <w:rPr>
                      <w:b/>
                      <w:bCs/>
                      <w:szCs w:val="21"/>
                    </w:rPr>
                  </w:pPr>
                  <w:r>
                    <w:rPr>
                      <w:rFonts w:hint="eastAsia"/>
                      <w:b/>
                      <w:bCs/>
                      <w:szCs w:val="21"/>
                    </w:rPr>
                    <w:t>序号</w:t>
                  </w:r>
                </w:p>
              </w:tc>
              <w:tc>
                <w:tcPr>
                  <w:tcW w:w="1225" w:type="pct"/>
                  <w:vAlign w:val="center"/>
                </w:tcPr>
                <w:p w14:paraId="365BCB08">
                  <w:pPr>
                    <w:keepNext/>
                    <w:keepLines/>
                    <w:widowControl/>
                    <w:jc w:val="center"/>
                    <w:rPr>
                      <w:b/>
                      <w:bCs/>
                      <w:szCs w:val="21"/>
                    </w:rPr>
                  </w:pPr>
                  <w:r>
                    <w:rPr>
                      <w:rFonts w:hint="eastAsia"/>
                      <w:b/>
                      <w:bCs/>
                      <w:szCs w:val="21"/>
                    </w:rPr>
                    <w:t>产品名称</w:t>
                  </w:r>
                </w:p>
              </w:tc>
              <w:tc>
                <w:tcPr>
                  <w:tcW w:w="1290" w:type="pct"/>
                  <w:vAlign w:val="center"/>
                </w:tcPr>
                <w:p w14:paraId="7A88AFA5">
                  <w:pPr>
                    <w:keepNext/>
                    <w:keepLines/>
                    <w:widowControl/>
                    <w:jc w:val="center"/>
                    <w:rPr>
                      <w:b/>
                      <w:bCs/>
                      <w:szCs w:val="21"/>
                    </w:rPr>
                  </w:pPr>
                  <w:r>
                    <w:rPr>
                      <w:rFonts w:hint="eastAsia"/>
                      <w:b/>
                      <w:bCs/>
                      <w:szCs w:val="21"/>
                    </w:rPr>
                    <w:t>年产量（套/a）</w:t>
                  </w:r>
                </w:p>
              </w:tc>
              <w:tc>
                <w:tcPr>
                  <w:tcW w:w="2080" w:type="pct"/>
                  <w:vAlign w:val="center"/>
                </w:tcPr>
                <w:p w14:paraId="68C7408E">
                  <w:pPr>
                    <w:keepNext/>
                    <w:keepLines/>
                    <w:widowControl/>
                    <w:jc w:val="center"/>
                    <w:rPr>
                      <w:b/>
                      <w:bCs/>
                      <w:szCs w:val="21"/>
                    </w:rPr>
                  </w:pPr>
                  <w:r>
                    <w:rPr>
                      <w:rFonts w:hint="eastAsia"/>
                      <w:b/>
                      <w:bCs/>
                      <w:szCs w:val="21"/>
                    </w:rPr>
                    <w:t>备注</w:t>
                  </w:r>
                </w:p>
              </w:tc>
            </w:tr>
            <w:tr w14:paraId="2B63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5" w:type="pct"/>
                  <w:vAlign w:val="center"/>
                </w:tcPr>
                <w:p w14:paraId="27ACD22A">
                  <w:pPr>
                    <w:keepNext/>
                    <w:keepLines/>
                    <w:widowControl/>
                    <w:jc w:val="center"/>
                    <w:rPr>
                      <w:szCs w:val="21"/>
                    </w:rPr>
                  </w:pPr>
                  <w:r>
                    <w:rPr>
                      <w:rFonts w:hint="eastAsia"/>
                      <w:szCs w:val="21"/>
                    </w:rPr>
                    <w:t>1</w:t>
                  </w:r>
                </w:p>
              </w:tc>
              <w:tc>
                <w:tcPr>
                  <w:tcW w:w="1225" w:type="pct"/>
                  <w:vAlign w:val="center"/>
                </w:tcPr>
                <w:p w14:paraId="2C076D26">
                  <w:pPr>
                    <w:keepNext/>
                    <w:keepLines/>
                    <w:widowControl/>
                    <w:jc w:val="center"/>
                    <w:rPr>
                      <w:szCs w:val="21"/>
                    </w:rPr>
                  </w:pPr>
                  <w:r>
                    <w:rPr>
                      <w:szCs w:val="21"/>
                    </w:rPr>
                    <w:t>布草洗涤</w:t>
                  </w:r>
                </w:p>
              </w:tc>
              <w:tc>
                <w:tcPr>
                  <w:tcW w:w="1290" w:type="pct"/>
                  <w:vAlign w:val="center"/>
                </w:tcPr>
                <w:p w14:paraId="33F3271E">
                  <w:pPr>
                    <w:keepNext/>
                    <w:keepLines/>
                    <w:widowControl/>
                    <w:jc w:val="center"/>
                    <w:rPr>
                      <w:szCs w:val="21"/>
                    </w:rPr>
                  </w:pPr>
                  <w:r>
                    <w:rPr>
                      <w:rFonts w:hint="eastAsia"/>
                      <w:szCs w:val="21"/>
                    </w:rPr>
                    <w:t>24万</w:t>
                  </w:r>
                </w:p>
              </w:tc>
              <w:tc>
                <w:tcPr>
                  <w:tcW w:w="2080" w:type="pct"/>
                  <w:vAlign w:val="center"/>
                </w:tcPr>
                <w:p w14:paraId="68F8C9D0">
                  <w:pPr>
                    <w:adjustRightInd w:val="0"/>
                    <w:snapToGrid w:val="0"/>
                    <w:jc w:val="center"/>
                    <w:rPr>
                      <w:szCs w:val="21"/>
                    </w:rPr>
                  </w:pPr>
                  <w:r>
                    <w:rPr>
                      <w:szCs w:val="21"/>
                    </w:rPr>
                    <w:t>本项目主要洗涤宾馆酒店床单、被套、枕巾、浴巾等日常住宿配套用品，每套布草约2kg</w:t>
                  </w:r>
                </w:p>
              </w:tc>
            </w:tr>
          </w:tbl>
          <w:p w14:paraId="54C58CEE">
            <w:pPr>
              <w:keepNext/>
              <w:keepLines/>
              <w:widowControl/>
              <w:spacing w:line="360" w:lineRule="auto"/>
              <w:rPr>
                <w:b/>
                <w:bCs/>
                <w:szCs w:val="21"/>
              </w:rPr>
            </w:pPr>
          </w:p>
          <w:p w14:paraId="39BC6AB7">
            <w:pPr>
              <w:keepNext/>
              <w:keepLines/>
              <w:widowControl/>
              <w:spacing w:line="360" w:lineRule="auto"/>
              <w:rPr>
                <w:sz w:val="24"/>
              </w:rPr>
            </w:pPr>
            <w:r>
              <w:rPr>
                <w:rFonts w:hint="eastAsia"/>
                <w:b/>
                <w:bCs/>
                <w:sz w:val="24"/>
              </w:rPr>
              <w:t>2、项目组成</w:t>
            </w:r>
          </w:p>
          <w:p w14:paraId="0C56C9AC">
            <w:pPr>
              <w:keepNext/>
              <w:keepLines/>
              <w:widowControl/>
              <w:spacing w:line="360" w:lineRule="auto"/>
              <w:ind w:firstLine="480" w:firstLineChars="200"/>
              <w:rPr>
                <w:sz w:val="24"/>
              </w:rPr>
            </w:pPr>
            <w:r>
              <w:rPr>
                <w:rFonts w:hint="eastAsia"/>
                <w:sz w:val="24"/>
              </w:rPr>
              <w:t>项目</w:t>
            </w:r>
            <w:r>
              <w:rPr>
                <w:rFonts w:hint="eastAsia"/>
                <w:color w:val="000000"/>
                <w:sz w:val="24"/>
              </w:rPr>
              <w:t>总占地面积为1487.88m</w:t>
            </w:r>
            <w:r>
              <w:rPr>
                <w:rFonts w:hint="eastAsia"/>
                <w:color w:val="000000"/>
                <w:sz w:val="24"/>
                <w:vertAlign w:val="superscript"/>
              </w:rPr>
              <w:t>2</w:t>
            </w:r>
            <w:r>
              <w:rPr>
                <w:rFonts w:hint="eastAsia"/>
                <w:color w:val="000000"/>
                <w:sz w:val="24"/>
              </w:rPr>
              <w:t>，总建筑面积2092.6m</w:t>
            </w:r>
            <w:r>
              <w:rPr>
                <w:rFonts w:hint="eastAsia"/>
                <w:color w:val="000000"/>
                <w:sz w:val="24"/>
                <w:vertAlign w:val="superscript"/>
              </w:rPr>
              <w:t>2</w:t>
            </w:r>
            <w:r>
              <w:rPr>
                <w:rFonts w:hint="eastAsia"/>
                <w:color w:val="000000"/>
                <w:sz w:val="24"/>
              </w:rPr>
              <w:t>。</w:t>
            </w:r>
            <w:r>
              <w:rPr>
                <w:rFonts w:hint="eastAsia"/>
                <w:sz w:val="24"/>
              </w:rPr>
              <w:t>项目组成详见下表。</w:t>
            </w:r>
          </w:p>
          <w:p w14:paraId="67FDD149">
            <w:pPr>
              <w:keepNext/>
              <w:keepLines/>
              <w:widowControl/>
              <w:tabs>
                <w:tab w:val="left" w:pos="2367"/>
              </w:tabs>
              <w:ind w:firstLine="422" w:firstLineChars="200"/>
              <w:jc w:val="left"/>
              <w:rPr>
                <w:b/>
                <w:bCs/>
                <w:szCs w:val="21"/>
              </w:rPr>
            </w:pPr>
            <w:r>
              <w:rPr>
                <w:rFonts w:hint="eastAsia"/>
                <w:b/>
                <w:bCs/>
                <w:szCs w:val="21"/>
              </w:rPr>
              <w:tab/>
            </w:r>
          </w:p>
          <w:p w14:paraId="0F52D8EE">
            <w:pPr>
              <w:keepNext/>
              <w:keepLines/>
              <w:widowControl/>
              <w:ind w:firstLine="422" w:firstLineChars="200"/>
              <w:jc w:val="center"/>
              <w:rPr>
                <w:sz w:val="24"/>
              </w:rPr>
            </w:pPr>
            <w:r>
              <w:rPr>
                <w:rFonts w:hint="eastAsia"/>
                <w:b/>
                <w:bCs/>
                <w:szCs w:val="21"/>
              </w:rPr>
              <w:t>表2-2  项目组成一览表</w:t>
            </w:r>
          </w:p>
          <w:tbl>
            <w:tblPr>
              <w:tblStyle w:val="26"/>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37"/>
              <w:gridCol w:w="748"/>
              <w:gridCol w:w="1488"/>
              <w:gridCol w:w="2818"/>
              <w:gridCol w:w="1731"/>
              <w:gridCol w:w="966"/>
            </w:tblGrid>
            <w:tr w14:paraId="5A4A45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 w:hRule="atLeast"/>
                <w:jc w:val="center"/>
              </w:trPr>
              <w:tc>
                <w:tcPr>
                  <w:tcW w:w="380" w:type="pct"/>
                  <w:vAlign w:val="center"/>
                </w:tcPr>
                <w:p w14:paraId="7858DC27">
                  <w:pPr>
                    <w:jc w:val="center"/>
                    <w:rPr>
                      <w:b/>
                      <w:bCs/>
                      <w:szCs w:val="21"/>
                    </w:rPr>
                  </w:pPr>
                  <w:r>
                    <w:rPr>
                      <w:szCs w:val="21"/>
                    </w:rPr>
                    <w:t>序号</w:t>
                  </w:r>
                </w:p>
              </w:tc>
              <w:tc>
                <w:tcPr>
                  <w:tcW w:w="1333" w:type="pct"/>
                  <w:gridSpan w:val="2"/>
                  <w:vAlign w:val="center"/>
                </w:tcPr>
                <w:p w14:paraId="0402BF21">
                  <w:pPr>
                    <w:jc w:val="center"/>
                    <w:rPr>
                      <w:b/>
                      <w:bCs/>
                      <w:szCs w:val="21"/>
                    </w:rPr>
                  </w:pPr>
                  <w:r>
                    <w:rPr>
                      <w:szCs w:val="21"/>
                    </w:rPr>
                    <w:t>项目类型</w:t>
                  </w:r>
                </w:p>
              </w:tc>
              <w:tc>
                <w:tcPr>
                  <w:tcW w:w="1680" w:type="pct"/>
                  <w:vAlign w:val="center"/>
                </w:tcPr>
                <w:p w14:paraId="786B0B4F">
                  <w:pPr>
                    <w:jc w:val="center"/>
                    <w:rPr>
                      <w:b/>
                      <w:bCs/>
                      <w:szCs w:val="21"/>
                    </w:rPr>
                  </w:pPr>
                  <w:r>
                    <w:rPr>
                      <w:szCs w:val="21"/>
                    </w:rPr>
                    <w:t>内容</w:t>
                  </w:r>
                  <w:r>
                    <w:rPr>
                      <w:rFonts w:hint="eastAsia"/>
                      <w:szCs w:val="21"/>
                    </w:rPr>
                    <w:t>、规模</w:t>
                  </w:r>
                </w:p>
              </w:tc>
              <w:tc>
                <w:tcPr>
                  <w:tcW w:w="1032" w:type="pct"/>
                  <w:vAlign w:val="center"/>
                </w:tcPr>
                <w:p w14:paraId="3D9DC9FD">
                  <w:pPr>
                    <w:jc w:val="center"/>
                    <w:rPr>
                      <w:szCs w:val="21"/>
                    </w:rPr>
                  </w:pPr>
                  <w:r>
                    <w:rPr>
                      <w:rFonts w:hint="eastAsia"/>
                      <w:szCs w:val="21"/>
                    </w:rPr>
                    <w:t>功能</w:t>
                  </w:r>
                </w:p>
              </w:tc>
              <w:tc>
                <w:tcPr>
                  <w:tcW w:w="575" w:type="pct"/>
                  <w:vAlign w:val="center"/>
                </w:tcPr>
                <w:p w14:paraId="695AC527">
                  <w:pPr>
                    <w:jc w:val="center"/>
                    <w:rPr>
                      <w:szCs w:val="21"/>
                    </w:rPr>
                  </w:pPr>
                  <w:r>
                    <w:rPr>
                      <w:rFonts w:hint="eastAsia"/>
                      <w:szCs w:val="21"/>
                    </w:rPr>
                    <w:t>备注</w:t>
                  </w:r>
                </w:p>
              </w:tc>
            </w:tr>
            <w:tr w14:paraId="42D9E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380" w:type="pct"/>
                  <w:vMerge w:val="restart"/>
                  <w:vAlign w:val="center"/>
                </w:tcPr>
                <w:p w14:paraId="6E5E10DF">
                  <w:pPr>
                    <w:autoSpaceDE w:val="0"/>
                    <w:autoSpaceDN w:val="0"/>
                    <w:jc w:val="center"/>
                    <w:rPr>
                      <w:bCs/>
                      <w:szCs w:val="21"/>
                    </w:rPr>
                  </w:pPr>
                  <w:r>
                    <w:rPr>
                      <w:bCs/>
                      <w:szCs w:val="21"/>
                    </w:rPr>
                    <w:t>1</w:t>
                  </w:r>
                </w:p>
              </w:tc>
              <w:tc>
                <w:tcPr>
                  <w:tcW w:w="446" w:type="pct"/>
                  <w:vMerge w:val="restart"/>
                  <w:vAlign w:val="center"/>
                </w:tcPr>
                <w:p w14:paraId="29BA1D9E">
                  <w:pPr>
                    <w:autoSpaceDE w:val="0"/>
                    <w:autoSpaceDN w:val="0"/>
                    <w:jc w:val="center"/>
                    <w:rPr>
                      <w:bCs/>
                      <w:szCs w:val="21"/>
                    </w:rPr>
                  </w:pPr>
                  <w:r>
                    <w:rPr>
                      <w:bCs/>
                      <w:szCs w:val="21"/>
                    </w:rPr>
                    <w:t>主体工程</w:t>
                  </w:r>
                </w:p>
              </w:tc>
              <w:tc>
                <w:tcPr>
                  <w:tcW w:w="887" w:type="pct"/>
                  <w:vAlign w:val="center"/>
                </w:tcPr>
                <w:p w14:paraId="640F11BC">
                  <w:pPr>
                    <w:autoSpaceDE w:val="0"/>
                    <w:autoSpaceDN w:val="0"/>
                    <w:jc w:val="center"/>
                    <w:rPr>
                      <w:bCs/>
                      <w:szCs w:val="21"/>
                    </w:rPr>
                  </w:pPr>
                  <w:r>
                    <w:rPr>
                      <w:rFonts w:hint="eastAsia"/>
                      <w:bCs/>
                      <w:szCs w:val="21"/>
                    </w:rPr>
                    <w:t>生产车间</w:t>
                  </w:r>
                </w:p>
              </w:tc>
              <w:tc>
                <w:tcPr>
                  <w:tcW w:w="1680" w:type="pct"/>
                  <w:vAlign w:val="center"/>
                </w:tcPr>
                <w:p w14:paraId="3128433F">
                  <w:pPr>
                    <w:autoSpaceDE w:val="0"/>
                    <w:autoSpaceDN w:val="0"/>
                    <w:jc w:val="center"/>
                    <w:rPr>
                      <w:bCs/>
                      <w:szCs w:val="21"/>
                    </w:rPr>
                  </w:pPr>
                  <w:r>
                    <w:rPr>
                      <w:rFonts w:hint="eastAsia"/>
                      <w:bCs/>
                      <w:color w:val="000000"/>
                      <w:szCs w:val="21"/>
                    </w:rPr>
                    <w:t>建筑</w:t>
                  </w:r>
                  <w:r>
                    <w:rPr>
                      <w:rFonts w:hint="eastAsia"/>
                      <w:bCs/>
                      <w:szCs w:val="21"/>
                    </w:rPr>
                    <w:t>面积约1400m</w:t>
                  </w:r>
                  <w:r>
                    <w:rPr>
                      <w:rFonts w:hint="eastAsia"/>
                      <w:bCs/>
                      <w:szCs w:val="21"/>
                      <w:vertAlign w:val="superscript"/>
                    </w:rPr>
                    <w:t>2</w:t>
                  </w:r>
                  <w:r>
                    <w:rPr>
                      <w:rFonts w:hint="eastAsia"/>
                      <w:bCs/>
                      <w:szCs w:val="21"/>
                    </w:rPr>
                    <w:t>，全封闭生产车间，钢结构，1层，层高7</w:t>
                  </w:r>
                  <w:r>
                    <w:rPr>
                      <w:bCs/>
                      <w:szCs w:val="21"/>
                    </w:rPr>
                    <w:t>m</w:t>
                  </w:r>
                  <w:r>
                    <w:rPr>
                      <w:rFonts w:hint="eastAsia"/>
                      <w:bCs/>
                      <w:szCs w:val="21"/>
                    </w:rPr>
                    <w:t>，设置熨烫折叠区域和洗涤区域，车间内设置</w:t>
                  </w:r>
                  <w:r>
                    <w:t>平烫折叠机1套，洗衣机100公斤</w:t>
                  </w:r>
                  <w:r>
                    <w:rPr>
                      <w:rFonts w:hint="eastAsia"/>
                    </w:rPr>
                    <w:t>4</w:t>
                  </w:r>
                  <w:r>
                    <w:t>台</w:t>
                  </w:r>
                  <w:r>
                    <w:rPr>
                      <w:rFonts w:hint="eastAsia"/>
                    </w:rPr>
                    <w:t>及其他辅助设备</w:t>
                  </w:r>
                </w:p>
              </w:tc>
              <w:tc>
                <w:tcPr>
                  <w:tcW w:w="1032" w:type="pct"/>
                  <w:vAlign w:val="center"/>
                </w:tcPr>
                <w:p w14:paraId="70A89B94">
                  <w:pPr>
                    <w:autoSpaceDE w:val="0"/>
                    <w:autoSpaceDN w:val="0"/>
                    <w:jc w:val="center"/>
                    <w:rPr>
                      <w:bCs/>
                      <w:szCs w:val="21"/>
                    </w:rPr>
                  </w:pPr>
                  <w:r>
                    <w:rPr>
                      <w:rFonts w:hint="eastAsia"/>
                    </w:rPr>
                    <w:t>洗涤区和熨烫折叠区域</w:t>
                  </w:r>
                </w:p>
              </w:tc>
              <w:tc>
                <w:tcPr>
                  <w:tcW w:w="575" w:type="pct"/>
                  <w:vAlign w:val="center"/>
                </w:tcPr>
                <w:p w14:paraId="0F6578DA">
                  <w:pPr>
                    <w:autoSpaceDE w:val="0"/>
                    <w:autoSpaceDN w:val="0"/>
                    <w:jc w:val="center"/>
                    <w:rPr>
                      <w:bCs/>
                      <w:szCs w:val="21"/>
                    </w:rPr>
                  </w:pPr>
                  <w:r>
                    <w:rPr>
                      <w:rFonts w:hint="eastAsia"/>
                      <w:bCs/>
                      <w:szCs w:val="21"/>
                    </w:rPr>
                    <w:t>依托现有厂房</w:t>
                  </w:r>
                </w:p>
              </w:tc>
            </w:tr>
            <w:tr w14:paraId="06D24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380" w:type="pct"/>
                  <w:vMerge w:val="continue"/>
                  <w:vAlign w:val="center"/>
                </w:tcPr>
                <w:p w14:paraId="4A2010BB">
                  <w:pPr>
                    <w:autoSpaceDE w:val="0"/>
                    <w:autoSpaceDN w:val="0"/>
                    <w:jc w:val="center"/>
                    <w:rPr>
                      <w:bCs/>
                      <w:szCs w:val="21"/>
                    </w:rPr>
                  </w:pPr>
                </w:p>
              </w:tc>
              <w:tc>
                <w:tcPr>
                  <w:tcW w:w="446" w:type="pct"/>
                  <w:vMerge w:val="continue"/>
                  <w:vAlign w:val="center"/>
                </w:tcPr>
                <w:p w14:paraId="4B2EB2B2">
                  <w:pPr>
                    <w:autoSpaceDE w:val="0"/>
                    <w:autoSpaceDN w:val="0"/>
                    <w:jc w:val="center"/>
                    <w:rPr>
                      <w:bCs/>
                      <w:szCs w:val="21"/>
                    </w:rPr>
                  </w:pPr>
                </w:p>
              </w:tc>
              <w:tc>
                <w:tcPr>
                  <w:tcW w:w="887" w:type="pct"/>
                  <w:vAlign w:val="center"/>
                </w:tcPr>
                <w:p w14:paraId="598A2B8E">
                  <w:pPr>
                    <w:autoSpaceDE w:val="0"/>
                    <w:autoSpaceDN w:val="0"/>
                    <w:jc w:val="center"/>
                    <w:rPr>
                      <w:bCs/>
                      <w:szCs w:val="21"/>
                    </w:rPr>
                  </w:pPr>
                  <w:r>
                    <w:rPr>
                      <w:rFonts w:hint="eastAsia"/>
                      <w:bCs/>
                      <w:szCs w:val="21"/>
                    </w:rPr>
                    <w:t>锅炉房</w:t>
                  </w:r>
                </w:p>
              </w:tc>
              <w:tc>
                <w:tcPr>
                  <w:tcW w:w="1680" w:type="pct"/>
                  <w:vAlign w:val="center"/>
                </w:tcPr>
                <w:p w14:paraId="24B5DF13">
                  <w:pPr>
                    <w:autoSpaceDE w:val="0"/>
                    <w:autoSpaceDN w:val="0"/>
                    <w:jc w:val="center"/>
                    <w:rPr>
                      <w:bCs/>
                      <w:color w:val="000000"/>
                      <w:szCs w:val="21"/>
                    </w:rPr>
                  </w:pPr>
                  <w:r>
                    <w:rPr>
                      <w:rFonts w:hint="eastAsia"/>
                      <w:bCs/>
                      <w:color w:val="000000"/>
                      <w:szCs w:val="21"/>
                    </w:rPr>
                    <w:t>建筑</w:t>
                  </w:r>
                  <w:r>
                    <w:rPr>
                      <w:rFonts w:hint="eastAsia"/>
                      <w:bCs/>
                      <w:szCs w:val="21"/>
                    </w:rPr>
                    <w:t>面积约692.6m</w:t>
                  </w:r>
                  <w:r>
                    <w:rPr>
                      <w:rFonts w:hint="eastAsia"/>
                      <w:bCs/>
                      <w:szCs w:val="21"/>
                      <w:vertAlign w:val="superscript"/>
                    </w:rPr>
                    <w:t>2</w:t>
                  </w:r>
                  <w:r>
                    <w:rPr>
                      <w:rFonts w:hint="eastAsia"/>
                      <w:bCs/>
                      <w:szCs w:val="21"/>
                    </w:rPr>
                    <w:t>，</w:t>
                  </w:r>
                  <w:r>
                    <w:rPr>
                      <w:bCs/>
                      <w:szCs w:val="21"/>
                    </w:rPr>
                    <w:t>安装1台</w:t>
                  </w:r>
                  <w:r>
                    <w:rPr>
                      <w:rFonts w:hint="eastAsia"/>
                      <w:bCs/>
                      <w:szCs w:val="21"/>
                    </w:rPr>
                    <w:t>生物质蒸汽发生器</w:t>
                  </w:r>
                  <w:r>
                    <w:rPr>
                      <w:bCs/>
                      <w:szCs w:val="21"/>
                    </w:rPr>
                    <w:t>（</w:t>
                  </w:r>
                  <w:r>
                    <w:rPr>
                      <w:rFonts w:hint="eastAsia"/>
                      <w:bCs/>
                      <w:szCs w:val="21"/>
                    </w:rPr>
                    <w:t>1.5</w:t>
                  </w:r>
                  <w:r>
                    <w:rPr>
                      <w:bCs/>
                      <w:szCs w:val="21"/>
                    </w:rPr>
                    <w:t>t/h）</w:t>
                  </w:r>
                  <w:r>
                    <w:rPr>
                      <w:rFonts w:hint="eastAsia"/>
                      <w:bCs/>
                      <w:szCs w:val="21"/>
                    </w:rPr>
                    <w:t>及</w:t>
                  </w:r>
                  <w:r>
                    <w:rPr>
                      <w:bCs/>
                      <w:szCs w:val="21"/>
                    </w:rPr>
                    <w:t>1套软水制备设施，位于厂房西侧</w:t>
                  </w:r>
                </w:p>
              </w:tc>
              <w:tc>
                <w:tcPr>
                  <w:tcW w:w="1032" w:type="pct"/>
                  <w:vAlign w:val="center"/>
                </w:tcPr>
                <w:p w14:paraId="703B925F">
                  <w:pPr>
                    <w:autoSpaceDE w:val="0"/>
                    <w:autoSpaceDN w:val="0"/>
                    <w:jc w:val="center"/>
                    <w:rPr>
                      <w:bCs/>
                      <w:szCs w:val="21"/>
                    </w:rPr>
                  </w:pPr>
                  <w:r>
                    <w:rPr>
                      <w:rFonts w:hint="eastAsia"/>
                      <w:bCs/>
                      <w:szCs w:val="21"/>
                    </w:rPr>
                    <w:t>主要为布草洗涤、烘干熨烫提供蒸汽</w:t>
                  </w:r>
                </w:p>
              </w:tc>
              <w:tc>
                <w:tcPr>
                  <w:tcW w:w="575" w:type="pct"/>
                  <w:vAlign w:val="center"/>
                </w:tcPr>
                <w:p w14:paraId="386B48BD">
                  <w:pPr>
                    <w:autoSpaceDE w:val="0"/>
                    <w:autoSpaceDN w:val="0"/>
                    <w:jc w:val="center"/>
                    <w:rPr>
                      <w:bCs/>
                      <w:szCs w:val="21"/>
                    </w:rPr>
                  </w:pPr>
                  <w:r>
                    <w:rPr>
                      <w:rFonts w:hint="eastAsia"/>
                      <w:bCs/>
                      <w:szCs w:val="21"/>
                    </w:rPr>
                    <w:t>依托现有厂房</w:t>
                  </w:r>
                </w:p>
              </w:tc>
            </w:tr>
            <w:tr w14:paraId="54D7E3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restart"/>
                  <w:vAlign w:val="center"/>
                </w:tcPr>
                <w:p w14:paraId="1652C80B">
                  <w:pPr>
                    <w:autoSpaceDE w:val="0"/>
                    <w:autoSpaceDN w:val="0"/>
                    <w:jc w:val="center"/>
                    <w:rPr>
                      <w:bCs/>
                      <w:szCs w:val="21"/>
                    </w:rPr>
                  </w:pPr>
                  <w:r>
                    <w:rPr>
                      <w:rFonts w:hint="eastAsia"/>
                      <w:bCs/>
                      <w:szCs w:val="21"/>
                    </w:rPr>
                    <w:t>2</w:t>
                  </w:r>
                </w:p>
              </w:tc>
              <w:tc>
                <w:tcPr>
                  <w:tcW w:w="446" w:type="pct"/>
                  <w:vMerge w:val="restart"/>
                  <w:vAlign w:val="center"/>
                </w:tcPr>
                <w:p w14:paraId="00D10CDD">
                  <w:pPr>
                    <w:autoSpaceDE w:val="0"/>
                    <w:autoSpaceDN w:val="0"/>
                    <w:jc w:val="center"/>
                    <w:rPr>
                      <w:bCs/>
                      <w:szCs w:val="21"/>
                    </w:rPr>
                  </w:pPr>
                  <w:r>
                    <w:rPr>
                      <w:rFonts w:hint="eastAsia"/>
                      <w:bCs/>
                      <w:szCs w:val="21"/>
                    </w:rPr>
                    <w:t>储运工程</w:t>
                  </w:r>
                </w:p>
              </w:tc>
              <w:tc>
                <w:tcPr>
                  <w:tcW w:w="887" w:type="pct"/>
                  <w:vAlign w:val="center"/>
                </w:tcPr>
                <w:p w14:paraId="6EE73CF8">
                  <w:pPr>
                    <w:autoSpaceDE w:val="0"/>
                    <w:autoSpaceDN w:val="0"/>
                    <w:jc w:val="center"/>
                    <w:rPr>
                      <w:bCs/>
                      <w:szCs w:val="21"/>
                    </w:rPr>
                  </w:pPr>
                  <w:r>
                    <w:rPr>
                      <w:bCs/>
                      <w:szCs w:val="21"/>
                    </w:rPr>
                    <w:t>脏布草储存区</w:t>
                  </w:r>
                </w:p>
              </w:tc>
              <w:tc>
                <w:tcPr>
                  <w:tcW w:w="1680" w:type="pct"/>
                  <w:vAlign w:val="center"/>
                </w:tcPr>
                <w:p w14:paraId="381AE943">
                  <w:pPr>
                    <w:autoSpaceDE w:val="0"/>
                    <w:autoSpaceDN w:val="0"/>
                    <w:jc w:val="center"/>
                    <w:rPr>
                      <w:bCs/>
                      <w:szCs w:val="21"/>
                    </w:rPr>
                  </w:pPr>
                  <w:r>
                    <w:rPr>
                      <w:rFonts w:hint="eastAsia"/>
                      <w:bCs/>
                      <w:szCs w:val="21"/>
                    </w:rPr>
                    <w:t>位于生产车间洗涤区域内</w:t>
                  </w:r>
                </w:p>
              </w:tc>
              <w:tc>
                <w:tcPr>
                  <w:tcW w:w="1032" w:type="pct"/>
                  <w:vAlign w:val="center"/>
                </w:tcPr>
                <w:p w14:paraId="7B737565">
                  <w:pPr>
                    <w:autoSpaceDE w:val="0"/>
                    <w:autoSpaceDN w:val="0"/>
                    <w:jc w:val="center"/>
                    <w:rPr>
                      <w:bCs/>
                      <w:szCs w:val="21"/>
                    </w:rPr>
                  </w:pPr>
                  <w:r>
                    <w:rPr>
                      <w:rFonts w:hint="eastAsia"/>
                      <w:bCs/>
                      <w:szCs w:val="21"/>
                    </w:rPr>
                    <w:t>原料储存</w:t>
                  </w:r>
                </w:p>
              </w:tc>
              <w:tc>
                <w:tcPr>
                  <w:tcW w:w="575" w:type="pct"/>
                  <w:vMerge w:val="restart"/>
                  <w:vAlign w:val="center"/>
                </w:tcPr>
                <w:p w14:paraId="176B9D87">
                  <w:pPr>
                    <w:autoSpaceDE w:val="0"/>
                    <w:autoSpaceDN w:val="0"/>
                    <w:jc w:val="center"/>
                    <w:rPr>
                      <w:bCs/>
                      <w:szCs w:val="21"/>
                    </w:rPr>
                  </w:pPr>
                </w:p>
                <w:p w14:paraId="16870502">
                  <w:pPr>
                    <w:autoSpaceDE w:val="0"/>
                    <w:autoSpaceDN w:val="0"/>
                    <w:jc w:val="center"/>
                    <w:rPr>
                      <w:bCs/>
                      <w:szCs w:val="21"/>
                    </w:rPr>
                  </w:pPr>
                  <w:r>
                    <w:rPr>
                      <w:rFonts w:hint="eastAsia"/>
                      <w:bCs/>
                      <w:szCs w:val="21"/>
                    </w:rPr>
                    <w:t>依托现有厂房</w:t>
                  </w:r>
                </w:p>
              </w:tc>
            </w:tr>
            <w:tr w14:paraId="43533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7947899E">
                  <w:pPr>
                    <w:autoSpaceDE w:val="0"/>
                    <w:autoSpaceDN w:val="0"/>
                    <w:jc w:val="center"/>
                    <w:rPr>
                      <w:bCs/>
                      <w:szCs w:val="21"/>
                    </w:rPr>
                  </w:pPr>
                </w:p>
              </w:tc>
              <w:tc>
                <w:tcPr>
                  <w:tcW w:w="446" w:type="pct"/>
                  <w:vMerge w:val="continue"/>
                  <w:vAlign w:val="center"/>
                </w:tcPr>
                <w:p w14:paraId="48775DB2">
                  <w:pPr>
                    <w:autoSpaceDE w:val="0"/>
                    <w:autoSpaceDN w:val="0"/>
                    <w:jc w:val="center"/>
                    <w:rPr>
                      <w:bCs/>
                      <w:szCs w:val="21"/>
                    </w:rPr>
                  </w:pPr>
                </w:p>
              </w:tc>
              <w:tc>
                <w:tcPr>
                  <w:tcW w:w="887" w:type="pct"/>
                  <w:vAlign w:val="center"/>
                </w:tcPr>
                <w:p w14:paraId="265253B3">
                  <w:pPr>
                    <w:autoSpaceDE w:val="0"/>
                    <w:autoSpaceDN w:val="0"/>
                    <w:jc w:val="center"/>
                    <w:rPr>
                      <w:bCs/>
                      <w:szCs w:val="21"/>
                    </w:rPr>
                  </w:pPr>
                  <w:r>
                    <w:rPr>
                      <w:rFonts w:hint="eastAsia"/>
                      <w:bCs/>
                      <w:szCs w:val="21"/>
                    </w:rPr>
                    <w:t>成品储存区</w:t>
                  </w:r>
                </w:p>
              </w:tc>
              <w:tc>
                <w:tcPr>
                  <w:tcW w:w="1680" w:type="pct"/>
                  <w:vAlign w:val="center"/>
                </w:tcPr>
                <w:p w14:paraId="3F61D24B">
                  <w:pPr>
                    <w:autoSpaceDE w:val="0"/>
                    <w:autoSpaceDN w:val="0"/>
                    <w:jc w:val="center"/>
                    <w:rPr>
                      <w:bCs/>
                      <w:szCs w:val="21"/>
                    </w:rPr>
                  </w:pPr>
                  <w:r>
                    <w:rPr>
                      <w:rFonts w:hint="eastAsia"/>
                      <w:bCs/>
                      <w:szCs w:val="21"/>
                    </w:rPr>
                    <w:t>位于生产车间</w:t>
                  </w:r>
                  <w:r>
                    <w:rPr>
                      <w:rFonts w:hint="eastAsia"/>
                    </w:rPr>
                    <w:t>熨烫折叠区</w:t>
                  </w:r>
                  <w:r>
                    <w:rPr>
                      <w:rFonts w:hint="eastAsia"/>
                      <w:bCs/>
                      <w:szCs w:val="21"/>
                    </w:rPr>
                    <w:t>内</w:t>
                  </w:r>
                </w:p>
              </w:tc>
              <w:tc>
                <w:tcPr>
                  <w:tcW w:w="1032" w:type="pct"/>
                  <w:vAlign w:val="center"/>
                </w:tcPr>
                <w:p w14:paraId="26CD600A">
                  <w:pPr>
                    <w:autoSpaceDE w:val="0"/>
                    <w:autoSpaceDN w:val="0"/>
                    <w:jc w:val="center"/>
                    <w:rPr>
                      <w:bCs/>
                      <w:szCs w:val="21"/>
                    </w:rPr>
                  </w:pPr>
                  <w:r>
                    <w:rPr>
                      <w:rFonts w:hint="eastAsia"/>
                      <w:bCs/>
                      <w:szCs w:val="21"/>
                    </w:rPr>
                    <w:t>成品储存，打包储存</w:t>
                  </w:r>
                </w:p>
              </w:tc>
              <w:tc>
                <w:tcPr>
                  <w:tcW w:w="575" w:type="pct"/>
                  <w:vMerge w:val="continue"/>
                  <w:vAlign w:val="center"/>
                </w:tcPr>
                <w:p w14:paraId="2FEA1C7A">
                  <w:pPr>
                    <w:autoSpaceDE w:val="0"/>
                    <w:autoSpaceDN w:val="0"/>
                    <w:jc w:val="center"/>
                    <w:rPr>
                      <w:bCs/>
                      <w:szCs w:val="21"/>
                    </w:rPr>
                  </w:pPr>
                </w:p>
              </w:tc>
            </w:tr>
            <w:tr w14:paraId="762A5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restart"/>
                  <w:vAlign w:val="center"/>
                </w:tcPr>
                <w:p w14:paraId="1B07F796">
                  <w:pPr>
                    <w:autoSpaceDE w:val="0"/>
                    <w:autoSpaceDN w:val="0"/>
                    <w:jc w:val="center"/>
                  </w:pPr>
                  <w:r>
                    <w:rPr>
                      <w:rFonts w:hint="eastAsia"/>
                    </w:rPr>
                    <w:t>3</w:t>
                  </w:r>
                </w:p>
              </w:tc>
              <w:tc>
                <w:tcPr>
                  <w:tcW w:w="446" w:type="pct"/>
                  <w:vMerge w:val="restart"/>
                  <w:vAlign w:val="center"/>
                </w:tcPr>
                <w:p w14:paraId="1BB1FD80">
                  <w:pPr>
                    <w:autoSpaceDE w:val="0"/>
                    <w:autoSpaceDN w:val="0"/>
                    <w:jc w:val="center"/>
                    <w:rPr>
                      <w:bCs/>
                      <w:szCs w:val="21"/>
                    </w:rPr>
                  </w:pPr>
                  <w:r>
                    <w:rPr>
                      <w:rFonts w:hint="eastAsia"/>
                      <w:bCs/>
                      <w:szCs w:val="21"/>
                    </w:rPr>
                    <w:t>公用工程</w:t>
                  </w:r>
                </w:p>
              </w:tc>
              <w:tc>
                <w:tcPr>
                  <w:tcW w:w="887" w:type="pct"/>
                  <w:vAlign w:val="center"/>
                </w:tcPr>
                <w:p w14:paraId="1656E055">
                  <w:pPr>
                    <w:autoSpaceDE w:val="0"/>
                    <w:autoSpaceDN w:val="0"/>
                    <w:jc w:val="center"/>
                    <w:rPr>
                      <w:bCs/>
                      <w:szCs w:val="21"/>
                    </w:rPr>
                  </w:pPr>
                  <w:r>
                    <w:rPr>
                      <w:rFonts w:hint="eastAsia"/>
                      <w:bCs/>
                      <w:szCs w:val="21"/>
                    </w:rPr>
                    <w:t>供电</w:t>
                  </w:r>
                </w:p>
              </w:tc>
              <w:tc>
                <w:tcPr>
                  <w:tcW w:w="2712" w:type="pct"/>
                  <w:gridSpan w:val="2"/>
                  <w:vAlign w:val="center"/>
                </w:tcPr>
                <w:p w14:paraId="0ABE6001">
                  <w:pPr>
                    <w:autoSpaceDE w:val="0"/>
                    <w:autoSpaceDN w:val="0"/>
                    <w:jc w:val="center"/>
                    <w:rPr>
                      <w:bCs/>
                      <w:szCs w:val="21"/>
                    </w:rPr>
                  </w:pPr>
                  <w:r>
                    <w:rPr>
                      <w:szCs w:val="21"/>
                    </w:rPr>
                    <w:t>由厂区接入当地电网供电</w:t>
                  </w:r>
                  <w:r>
                    <w:rPr>
                      <w:rFonts w:hint="eastAsia"/>
                      <w:szCs w:val="21"/>
                    </w:rPr>
                    <w:t>，项目用电量为2万kWh/a</w:t>
                  </w:r>
                </w:p>
              </w:tc>
              <w:tc>
                <w:tcPr>
                  <w:tcW w:w="575" w:type="pct"/>
                  <w:vAlign w:val="center"/>
                </w:tcPr>
                <w:p w14:paraId="4475CC45">
                  <w:pPr>
                    <w:autoSpaceDE w:val="0"/>
                    <w:autoSpaceDN w:val="0"/>
                    <w:jc w:val="center"/>
                    <w:rPr>
                      <w:bCs/>
                      <w:szCs w:val="21"/>
                    </w:rPr>
                  </w:pPr>
                  <w:r>
                    <w:rPr>
                      <w:rFonts w:hint="eastAsia"/>
                      <w:bCs/>
                      <w:szCs w:val="21"/>
                    </w:rPr>
                    <w:t>依托</w:t>
                  </w:r>
                </w:p>
              </w:tc>
            </w:tr>
            <w:tr w14:paraId="3FFC0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1405DAE9">
                  <w:pPr>
                    <w:autoSpaceDE w:val="0"/>
                    <w:autoSpaceDN w:val="0"/>
                    <w:jc w:val="center"/>
                    <w:rPr>
                      <w:bCs/>
                      <w:szCs w:val="21"/>
                    </w:rPr>
                  </w:pPr>
                </w:p>
              </w:tc>
              <w:tc>
                <w:tcPr>
                  <w:tcW w:w="446" w:type="pct"/>
                  <w:vMerge w:val="continue"/>
                  <w:vAlign w:val="center"/>
                </w:tcPr>
                <w:p w14:paraId="3FABC88E">
                  <w:pPr>
                    <w:autoSpaceDE w:val="0"/>
                    <w:autoSpaceDN w:val="0"/>
                    <w:jc w:val="center"/>
                    <w:rPr>
                      <w:bCs/>
                      <w:szCs w:val="21"/>
                    </w:rPr>
                  </w:pPr>
                </w:p>
              </w:tc>
              <w:tc>
                <w:tcPr>
                  <w:tcW w:w="887" w:type="pct"/>
                  <w:vAlign w:val="center"/>
                </w:tcPr>
                <w:p w14:paraId="3C39B3FF">
                  <w:pPr>
                    <w:autoSpaceDE w:val="0"/>
                    <w:autoSpaceDN w:val="0"/>
                    <w:jc w:val="center"/>
                    <w:rPr>
                      <w:bCs/>
                      <w:szCs w:val="21"/>
                    </w:rPr>
                  </w:pPr>
                  <w:r>
                    <w:rPr>
                      <w:rFonts w:hint="eastAsia"/>
                      <w:bCs/>
                      <w:szCs w:val="21"/>
                    </w:rPr>
                    <w:t>供水</w:t>
                  </w:r>
                </w:p>
              </w:tc>
              <w:tc>
                <w:tcPr>
                  <w:tcW w:w="2712" w:type="pct"/>
                  <w:gridSpan w:val="2"/>
                  <w:vAlign w:val="center"/>
                </w:tcPr>
                <w:p w14:paraId="7F91DFB9">
                  <w:pPr>
                    <w:autoSpaceDE w:val="0"/>
                    <w:autoSpaceDN w:val="0"/>
                    <w:jc w:val="center"/>
                    <w:rPr>
                      <w:bCs/>
                      <w:szCs w:val="21"/>
                    </w:rPr>
                  </w:pPr>
                  <w:r>
                    <w:rPr>
                      <w:rFonts w:hint="eastAsia"/>
                      <w:bCs/>
                      <w:szCs w:val="21"/>
                    </w:rPr>
                    <w:t>生活用水为当地市政自来水管网</w:t>
                  </w:r>
                </w:p>
              </w:tc>
              <w:tc>
                <w:tcPr>
                  <w:tcW w:w="575" w:type="pct"/>
                  <w:vAlign w:val="center"/>
                </w:tcPr>
                <w:p w14:paraId="1A40B8BE">
                  <w:pPr>
                    <w:autoSpaceDE w:val="0"/>
                    <w:autoSpaceDN w:val="0"/>
                    <w:jc w:val="center"/>
                    <w:rPr>
                      <w:bCs/>
                      <w:szCs w:val="21"/>
                    </w:rPr>
                  </w:pPr>
                  <w:r>
                    <w:rPr>
                      <w:rFonts w:hint="eastAsia"/>
                      <w:bCs/>
                      <w:szCs w:val="21"/>
                    </w:rPr>
                    <w:t>依托</w:t>
                  </w:r>
                </w:p>
              </w:tc>
            </w:tr>
            <w:tr w14:paraId="7977B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2207BE9F">
                  <w:pPr>
                    <w:autoSpaceDE w:val="0"/>
                    <w:autoSpaceDN w:val="0"/>
                    <w:jc w:val="center"/>
                    <w:rPr>
                      <w:bCs/>
                      <w:szCs w:val="21"/>
                    </w:rPr>
                  </w:pPr>
                </w:p>
              </w:tc>
              <w:tc>
                <w:tcPr>
                  <w:tcW w:w="446" w:type="pct"/>
                  <w:vMerge w:val="continue"/>
                  <w:vAlign w:val="center"/>
                </w:tcPr>
                <w:p w14:paraId="1E289110">
                  <w:pPr>
                    <w:autoSpaceDE w:val="0"/>
                    <w:autoSpaceDN w:val="0"/>
                    <w:jc w:val="center"/>
                    <w:rPr>
                      <w:bCs/>
                      <w:szCs w:val="21"/>
                    </w:rPr>
                  </w:pPr>
                </w:p>
              </w:tc>
              <w:tc>
                <w:tcPr>
                  <w:tcW w:w="887" w:type="pct"/>
                  <w:vAlign w:val="center"/>
                </w:tcPr>
                <w:p w14:paraId="1551C83D">
                  <w:pPr>
                    <w:autoSpaceDE w:val="0"/>
                    <w:autoSpaceDN w:val="0"/>
                    <w:jc w:val="center"/>
                    <w:rPr>
                      <w:bCs/>
                      <w:szCs w:val="21"/>
                    </w:rPr>
                  </w:pPr>
                  <w:r>
                    <w:rPr>
                      <w:rFonts w:hint="eastAsia"/>
                      <w:bCs/>
                      <w:szCs w:val="21"/>
                    </w:rPr>
                    <w:t>排水</w:t>
                  </w:r>
                </w:p>
              </w:tc>
              <w:tc>
                <w:tcPr>
                  <w:tcW w:w="2712" w:type="pct"/>
                  <w:gridSpan w:val="2"/>
                  <w:vAlign w:val="center"/>
                </w:tcPr>
                <w:p w14:paraId="08CAA023">
                  <w:pPr>
                    <w:autoSpaceDE w:val="0"/>
                    <w:autoSpaceDN w:val="0"/>
                    <w:rPr>
                      <w:bCs/>
                      <w:szCs w:val="21"/>
                    </w:rPr>
                  </w:pPr>
                  <w:r>
                    <w:rPr>
                      <w:rFonts w:hint="eastAsia"/>
                      <w:bCs/>
                      <w:szCs w:val="21"/>
                    </w:rPr>
                    <w:t>雨污分流，</w:t>
                  </w:r>
                  <w:r>
                    <w:rPr>
                      <w:rFonts w:hint="eastAsia"/>
                      <w:szCs w:val="21"/>
                    </w:rPr>
                    <w:t>厂区设雨水和污水管网，项目生活污水经化粪池预处理后排入</w:t>
                  </w:r>
                  <w:r>
                    <w:rPr>
                      <w:rFonts w:hint="eastAsia"/>
                      <w:color w:val="000000" w:themeColor="text1"/>
                      <w:szCs w:val="21"/>
                      <w14:textFill>
                        <w14:solidFill>
                          <w14:schemeClr w14:val="tx1"/>
                        </w14:solidFill>
                      </w14:textFill>
                    </w:rPr>
                    <w:t>衡山国祯水处理有限公司</w:t>
                  </w:r>
                  <w:r>
                    <w:rPr>
                      <w:rFonts w:hint="eastAsia"/>
                      <w:szCs w:val="21"/>
                    </w:rPr>
                    <w:t>；生产废水经两级沉淀池预处理后由单独专用管道排入</w:t>
                  </w:r>
                  <w:r>
                    <w:rPr>
                      <w:rFonts w:hint="eastAsia"/>
                      <w:color w:val="000000" w:themeColor="text1"/>
                      <w:szCs w:val="21"/>
                      <w14:textFill>
                        <w14:solidFill>
                          <w14:schemeClr w14:val="tx1"/>
                        </w14:solidFill>
                      </w14:textFill>
                    </w:rPr>
                    <w:t>衡山国祯水处理有限公司</w:t>
                  </w:r>
                  <w:r>
                    <w:rPr>
                      <w:rFonts w:hint="eastAsia"/>
                      <w:szCs w:val="21"/>
                    </w:rPr>
                    <w:t>进一步处理</w:t>
                  </w:r>
                </w:p>
              </w:tc>
              <w:tc>
                <w:tcPr>
                  <w:tcW w:w="575" w:type="pct"/>
                  <w:vAlign w:val="center"/>
                </w:tcPr>
                <w:p w14:paraId="606E1064">
                  <w:pPr>
                    <w:autoSpaceDE w:val="0"/>
                    <w:autoSpaceDN w:val="0"/>
                    <w:jc w:val="center"/>
                    <w:rPr>
                      <w:bCs/>
                      <w:szCs w:val="21"/>
                    </w:rPr>
                  </w:pPr>
                  <w:r>
                    <w:rPr>
                      <w:rFonts w:hint="eastAsia"/>
                      <w:bCs/>
                      <w:szCs w:val="21"/>
                    </w:rPr>
                    <w:t>依托</w:t>
                  </w:r>
                </w:p>
              </w:tc>
            </w:tr>
            <w:tr w14:paraId="37FD22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restart"/>
                  <w:vAlign w:val="center"/>
                </w:tcPr>
                <w:p w14:paraId="6AFEEE30">
                  <w:pPr>
                    <w:autoSpaceDE w:val="0"/>
                    <w:autoSpaceDN w:val="0"/>
                    <w:jc w:val="center"/>
                    <w:rPr>
                      <w:bCs/>
                      <w:szCs w:val="21"/>
                    </w:rPr>
                  </w:pPr>
                  <w:r>
                    <w:rPr>
                      <w:rFonts w:hint="eastAsia"/>
                      <w:bCs/>
                      <w:szCs w:val="21"/>
                    </w:rPr>
                    <w:t>4</w:t>
                  </w:r>
                </w:p>
              </w:tc>
              <w:tc>
                <w:tcPr>
                  <w:tcW w:w="446" w:type="pct"/>
                  <w:vMerge w:val="restart"/>
                  <w:vAlign w:val="center"/>
                </w:tcPr>
                <w:p w14:paraId="5104A47E">
                  <w:pPr>
                    <w:autoSpaceDE w:val="0"/>
                    <w:autoSpaceDN w:val="0"/>
                    <w:jc w:val="center"/>
                    <w:rPr>
                      <w:bCs/>
                      <w:szCs w:val="21"/>
                    </w:rPr>
                  </w:pPr>
                  <w:r>
                    <w:rPr>
                      <w:rFonts w:hint="eastAsia"/>
                      <w:bCs/>
                      <w:szCs w:val="21"/>
                    </w:rPr>
                    <w:t>环保工程</w:t>
                  </w:r>
                </w:p>
              </w:tc>
              <w:tc>
                <w:tcPr>
                  <w:tcW w:w="887" w:type="pct"/>
                  <w:vAlign w:val="center"/>
                </w:tcPr>
                <w:p w14:paraId="3A2755C2">
                  <w:pPr>
                    <w:autoSpaceDE w:val="0"/>
                    <w:autoSpaceDN w:val="0"/>
                    <w:jc w:val="center"/>
                    <w:rPr>
                      <w:bCs/>
                      <w:szCs w:val="21"/>
                    </w:rPr>
                  </w:pPr>
                  <w:r>
                    <w:rPr>
                      <w:rFonts w:hint="eastAsia"/>
                      <w:bCs/>
                      <w:szCs w:val="21"/>
                    </w:rPr>
                    <w:t>废气处理</w:t>
                  </w:r>
                </w:p>
              </w:tc>
              <w:tc>
                <w:tcPr>
                  <w:tcW w:w="3287" w:type="pct"/>
                  <w:gridSpan w:val="3"/>
                  <w:vAlign w:val="center"/>
                </w:tcPr>
                <w:p w14:paraId="4E29E32D">
                  <w:pPr>
                    <w:autoSpaceDE w:val="0"/>
                    <w:autoSpaceDN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生物质蒸汽发生器燃烧废气：经密闭管道收集后经水喷淋塔装置处理后经25m排气筒排放（DA001）。</w:t>
                  </w:r>
                </w:p>
              </w:tc>
            </w:tr>
            <w:tr w14:paraId="4C99D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419BA565">
                  <w:pPr>
                    <w:autoSpaceDE w:val="0"/>
                    <w:autoSpaceDN w:val="0"/>
                    <w:jc w:val="center"/>
                    <w:rPr>
                      <w:bCs/>
                      <w:szCs w:val="21"/>
                    </w:rPr>
                  </w:pPr>
                </w:p>
              </w:tc>
              <w:tc>
                <w:tcPr>
                  <w:tcW w:w="446" w:type="pct"/>
                  <w:vMerge w:val="continue"/>
                  <w:vAlign w:val="center"/>
                </w:tcPr>
                <w:p w14:paraId="0B24EC09">
                  <w:pPr>
                    <w:autoSpaceDE w:val="0"/>
                    <w:autoSpaceDN w:val="0"/>
                    <w:jc w:val="center"/>
                    <w:rPr>
                      <w:bCs/>
                      <w:szCs w:val="21"/>
                    </w:rPr>
                  </w:pPr>
                </w:p>
              </w:tc>
              <w:tc>
                <w:tcPr>
                  <w:tcW w:w="887" w:type="pct"/>
                  <w:vAlign w:val="center"/>
                </w:tcPr>
                <w:p w14:paraId="227FCEAB">
                  <w:pPr>
                    <w:autoSpaceDE w:val="0"/>
                    <w:autoSpaceDN w:val="0"/>
                    <w:jc w:val="center"/>
                    <w:rPr>
                      <w:bCs/>
                      <w:szCs w:val="21"/>
                    </w:rPr>
                  </w:pPr>
                  <w:r>
                    <w:rPr>
                      <w:bCs/>
                      <w:szCs w:val="21"/>
                    </w:rPr>
                    <w:t>噪声处理</w:t>
                  </w:r>
                </w:p>
              </w:tc>
              <w:tc>
                <w:tcPr>
                  <w:tcW w:w="3287" w:type="pct"/>
                  <w:gridSpan w:val="3"/>
                  <w:vAlign w:val="center"/>
                </w:tcPr>
                <w:p w14:paraId="1C282ED8">
                  <w:pPr>
                    <w:autoSpaceDE w:val="0"/>
                    <w:autoSpaceDN w:val="0"/>
                    <w:jc w:val="center"/>
                    <w:rPr>
                      <w:bCs/>
                      <w:color w:val="000000" w:themeColor="text1"/>
                      <w:szCs w:val="21"/>
                      <w14:textFill>
                        <w14:solidFill>
                          <w14:schemeClr w14:val="tx1"/>
                        </w14:solidFill>
                      </w14:textFill>
                    </w:rPr>
                  </w:pPr>
                  <w:r>
                    <w:rPr>
                      <w:szCs w:val="21"/>
                    </w:rPr>
                    <w:t>采用低噪设备，</w:t>
                  </w:r>
                  <w:r>
                    <w:rPr>
                      <w:rFonts w:hint="eastAsia"/>
                      <w:szCs w:val="21"/>
                    </w:rPr>
                    <w:t>配套基础减振、隔声、消声、吸声、空压机设于单独房间内等降噪措施</w:t>
                  </w:r>
                </w:p>
              </w:tc>
            </w:tr>
            <w:tr w14:paraId="3DB4F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457B1F59">
                  <w:pPr>
                    <w:autoSpaceDE w:val="0"/>
                    <w:autoSpaceDN w:val="0"/>
                    <w:jc w:val="center"/>
                    <w:rPr>
                      <w:bCs/>
                      <w:szCs w:val="21"/>
                    </w:rPr>
                  </w:pPr>
                </w:p>
              </w:tc>
              <w:tc>
                <w:tcPr>
                  <w:tcW w:w="446" w:type="pct"/>
                  <w:vMerge w:val="continue"/>
                  <w:vAlign w:val="center"/>
                </w:tcPr>
                <w:p w14:paraId="1F6E81C9">
                  <w:pPr>
                    <w:autoSpaceDE w:val="0"/>
                    <w:autoSpaceDN w:val="0"/>
                    <w:jc w:val="center"/>
                    <w:rPr>
                      <w:bCs/>
                      <w:szCs w:val="21"/>
                    </w:rPr>
                  </w:pPr>
                </w:p>
              </w:tc>
              <w:tc>
                <w:tcPr>
                  <w:tcW w:w="887" w:type="pct"/>
                  <w:vAlign w:val="center"/>
                </w:tcPr>
                <w:p w14:paraId="6D75B76F">
                  <w:pPr>
                    <w:autoSpaceDE w:val="0"/>
                    <w:autoSpaceDN w:val="0"/>
                    <w:jc w:val="center"/>
                    <w:rPr>
                      <w:bCs/>
                      <w:szCs w:val="21"/>
                    </w:rPr>
                  </w:pPr>
                  <w:r>
                    <w:rPr>
                      <w:bCs/>
                      <w:szCs w:val="21"/>
                    </w:rPr>
                    <w:t>固废处理</w:t>
                  </w:r>
                </w:p>
              </w:tc>
              <w:tc>
                <w:tcPr>
                  <w:tcW w:w="3287" w:type="pct"/>
                  <w:gridSpan w:val="3"/>
                  <w:vAlign w:val="center"/>
                </w:tcPr>
                <w:p w14:paraId="580B1F19">
                  <w:pPr>
                    <w:autoSpaceDE w:val="0"/>
                    <w:autoSpaceDN w:val="0"/>
                    <w:jc w:val="center"/>
                    <w:rPr>
                      <w:color w:val="000000" w:themeColor="text1"/>
                      <w14:textFill>
                        <w14:solidFill>
                          <w14:schemeClr w14:val="tx1"/>
                        </w14:solidFill>
                      </w14:textFill>
                    </w:rPr>
                  </w:pPr>
                  <w:r>
                    <w:rPr>
                      <w:rFonts w:hint="eastAsia"/>
                      <w:szCs w:val="21"/>
                    </w:rPr>
                    <w:t>设一般固废暂存间1间，建筑面积为1</w:t>
                  </w:r>
                  <w:r>
                    <w:rPr>
                      <w:szCs w:val="21"/>
                    </w:rPr>
                    <w:t>0m</w:t>
                  </w:r>
                  <w:r>
                    <w:rPr>
                      <w:szCs w:val="21"/>
                      <w:vertAlign w:val="superscript"/>
                    </w:rPr>
                    <w:t>2</w:t>
                  </w:r>
                  <w:r>
                    <w:rPr>
                      <w:rFonts w:hint="eastAsia"/>
                      <w:szCs w:val="21"/>
                    </w:rPr>
                    <w:t>，位于锅炉房内；</w:t>
                  </w:r>
                  <w:r>
                    <w:rPr>
                      <w:color w:val="000000" w:themeColor="text1"/>
                      <w14:textFill>
                        <w14:solidFill>
                          <w14:schemeClr w14:val="tx1"/>
                        </w14:solidFill>
                      </w14:textFill>
                    </w:rPr>
                    <w:t xml:space="preserve"> </w:t>
                  </w:r>
                </w:p>
              </w:tc>
            </w:tr>
            <w:tr w14:paraId="50BD5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380" w:type="pct"/>
                  <w:vMerge w:val="continue"/>
                  <w:vAlign w:val="center"/>
                </w:tcPr>
                <w:p w14:paraId="61DB1692">
                  <w:pPr>
                    <w:autoSpaceDE w:val="0"/>
                    <w:autoSpaceDN w:val="0"/>
                    <w:jc w:val="center"/>
                    <w:rPr>
                      <w:bCs/>
                      <w:szCs w:val="21"/>
                    </w:rPr>
                  </w:pPr>
                </w:p>
              </w:tc>
              <w:tc>
                <w:tcPr>
                  <w:tcW w:w="446" w:type="pct"/>
                  <w:vMerge w:val="continue"/>
                  <w:vAlign w:val="center"/>
                </w:tcPr>
                <w:p w14:paraId="2CFDDB7F">
                  <w:pPr>
                    <w:autoSpaceDE w:val="0"/>
                    <w:autoSpaceDN w:val="0"/>
                    <w:jc w:val="center"/>
                    <w:rPr>
                      <w:bCs/>
                      <w:szCs w:val="21"/>
                    </w:rPr>
                  </w:pPr>
                </w:p>
              </w:tc>
              <w:tc>
                <w:tcPr>
                  <w:tcW w:w="887" w:type="pct"/>
                  <w:vAlign w:val="center"/>
                </w:tcPr>
                <w:p w14:paraId="21DA65AA">
                  <w:pPr>
                    <w:autoSpaceDE w:val="0"/>
                    <w:autoSpaceDN w:val="0"/>
                    <w:jc w:val="center"/>
                    <w:rPr>
                      <w:bCs/>
                      <w:szCs w:val="21"/>
                    </w:rPr>
                  </w:pPr>
                  <w:r>
                    <w:rPr>
                      <w:rFonts w:hint="eastAsia"/>
                      <w:bCs/>
                      <w:szCs w:val="21"/>
                    </w:rPr>
                    <w:t>废水处理</w:t>
                  </w:r>
                </w:p>
              </w:tc>
              <w:tc>
                <w:tcPr>
                  <w:tcW w:w="3287" w:type="pct"/>
                  <w:gridSpan w:val="3"/>
                  <w:vAlign w:val="center"/>
                </w:tcPr>
                <w:p w14:paraId="527AEC05">
                  <w:pPr>
                    <w:autoSpaceDE w:val="0"/>
                    <w:autoSpaceDN w:val="0"/>
                    <w:jc w:val="center"/>
                    <w:rPr>
                      <w:bCs/>
                      <w:color w:val="000000" w:themeColor="text1"/>
                      <w:szCs w:val="21"/>
                      <w14:textFill>
                        <w14:solidFill>
                          <w14:schemeClr w14:val="tx1"/>
                        </w14:solidFill>
                      </w14:textFill>
                    </w:rPr>
                  </w:pPr>
                  <w:r>
                    <w:rPr>
                      <w:rFonts w:hint="eastAsia"/>
                      <w:szCs w:val="21"/>
                    </w:rPr>
                    <w:t>实行雨、污分流制，厂区设雨水和污水管网，项目生活污水经化粪池预处理后排入</w:t>
                  </w:r>
                  <w:r>
                    <w:rPr>
                      <w:rFonts w:hint="eastAsia"/>
                      <w:color w:val="000000" w:themeColor="text1"/>
                      <w:szCs w:val="21"/>
                      <w14:textFill>
                        <w14:solidFill>
                          <w14:schemeClr w14:val="tx1"/>
                        </w14:solidFill>
                      </w14:textFill>
                    </w:rPr>
                    <w:t>衡山国祯水处理有限公司</w:t>
                  </w:r>
                  <w:r>
                    <w:rPr>
                      <w:rFonts w:hint="eastAsia"/>
                      <w:szCs w:val="21"/>
                    </w:rPr>
                    <w:t>；生产</w:t>
                  </w:r>
                  <w:r>
                    <w:rPr>
                      <w:szCs w:val="21"/>
                    </w:rPr>
                    <w:t>废水</w:t>
                  </w:r>
                  <w:r>
                    <w:rPr>
                      <w:rFonts w:hint="eastAsia"/>
                      <w:szCs w:val="21"/>
                    </w:rPr>
                    <w:t>经两级沉淀池预处理后排入</w:t>
                  </w:r>
                  <w:r>
                    <w:rPr>
                      <w:rFonts w:hint="eastAsia"/>
                      <w:color w:val="000000" w:themeColor="text1"/>
                      <w:szCs w:val="21"/>
                      <w14:textFill>
                        <w14:solidFill>
                          <w14:schemeClr w14:val="tx1"/>
                        </w14:solidFill>
                      </w14:textFill>
                    </w:rPr>
                    <w:t>衡山国祯水处理有限公司</w:t>
                  </w:r>
                  <w:r>
                    <w:rPr>
                      <w:rFonts w:hint="eastAsia"/>
                      <w:szCs w:val="21"/>
                    </w:rPr>
                    <w:t>进一步处理</w:t>
                  </w:r>
                </w:p>
              </w:tc>
            </w:tr>
          </w:tbl>
          <w:p w14:paraId="020EBC76">
            <w:pPr>
              <w:keepNext/>
              <w:keepLines/>
              <w:widowControl/>
              <w:spacing w:line="360" w:lineRule="auto"/>
              <w:ind w:firstLine="480" w:firstLineChars="200"/>
              <w:rPr>
                <w:sz w:val="24"/>
              </w:rPr>
            </w:pPr>
          </w:p>
          <w:p w14:paraId="0A609FA9">
            <w:pPr>
              <w:keepNext/>
              <w:keepLines/>
              <w:widowControl/>
              <w:spacing w:line="360" w:lineRule="auto"/>
              <w:rPr>
                <w:sz w:val="24"/>
              </w:rPr>
            </w:pPr>
            <w:r>
              <w:rPr>
                <w:rFonts w:hint="eastAsia"/>
                <w:b/>
                <w:bCs/>
                <w:sz w:val="24"/>
              </w:rPr>
              <w:t>3、设备清单</w:t>
            </w:r>
          </w:p>
          <w:p w14:paraId="37D9D0FE">
            <w:pPr>
              <w:keepNext/>
              <w:keepLines/>
              <w:widowControl/>
              <w:spacing w:line="360" w:lineRule="auto"/>
              <w:ind w:firstLine="480" w:firstLineChars="200"/>
              <w:rPr>
                <w:sz w:val="24"/>
              </w:rPr>
            </w:pPr>
            <w:r>
              <w:rPr>
                <w:rFonts w:hint="eastAsia"/>
                <w:sz w:val="24"/>
              </w:rPr>
              <w:t>本项目主要生产设备见表2-3。</w:t>
            </w:r>
          </w:p>
          <w:p w14:paraId="3A336C64">
            <w:pPr>
              <w:keepNext/>
              <w:keepLines/>
              <w:widowControl/>
              <w:ind w:firstLine="422" w:firstLineChars="200"/>
              <w:jc w:val="center"/>
              <w:rPr>
                <w:sz w:val="24"/>
              </w:rPr>
            </w:pPr>
            <w:r>
              <w:rPr>
                <w:rFonts w:hint="eastAsia"/>
                <w:b/>
                <w:bCs/>
                <w:szCs w:val="21"/>
              </w:rPr>
              <w:t>表2-3  项目主要生产设备一览表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72"/>
              <w:gridCol w:w="862"/>
              <w:gridCol w:w="1028"/>
              <w:gridCol w:w="1292"/>
              <w:gridCol w:w="1776"/>
              <w:gridCol w:w="1717"/>
            </w:tblGrid>
            <w:tr w14:paraId="2699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 w:type="pct"/>
                  <w:vAlign w:val="center"/>
                </w:tcPr>
                <w:p w14:paraId="61D217DC">
                  <w:pPr>
                    <w:keepNext/>
                    <w:keepLines/>
                    <w:widowControl/>
                    <w:jc w:val="center"/>
                    <w:rPr>
                      <w:b/>
                      <w:bCs/>
                      <w:szCs w:val="21"/>
                    </w:rPr>
                  </w:pPr>
                  <w:r>
                    <w:rPr>
                      <w:rFonts w:hint="eastAsia"/>
                      <w:b/>
                      <w:bCs/>
                      <w:szCs w:val="21"/>
                    </w:rPr>
                    <w:t>序号</w:t>
                  </w:r>
                </w:p>
              </w:tc>
              <w:tc>
                <w:tcPr>
                  <w:tcW w:w="638" w:type="pct"/>
                  <w:vAlign w:val="center"/>
                </w:tcPr>
                <w:p w14:paraId="53EA4377">
                  <w:pPr>
                    <w:keepNext/>
                    <w:keepLines/>
                    <w:widowControl/>
                    <w:jc w:val="center"/>
                    <w:rPr>
                      <w:b/>
                      <w:bCs/>
                      <w:szCs w:val="21"/>
                    </w:rPr>
                  </w:pPr>
                  <w:r>
                    <w:rPr>
                      <w:rFonts w:hint="eastAsia"/>
                      <w:b/>
                      <w:bCs/>
                      <w:szCs w:val="21"/>
                    </w:rPr>
                    <w:t>设备名称</w:t>
                  </w:r>
                </w:p>
              </w:tc>
              <w:tc>
                <w:tcPr>
                  <w:tcW w:w="513" w:type="pct"/>
                  <w:vAlign w:val="center"/>
                </w:tcPr>
                <w:p w14:paraId="5D2AFF53">
                  <w:pPr>
                    <w:keepNext/>
                    <w:keepLines/>
                    <w:widowControl/>
                    <w:jc w:val="center"/>
                    <w:rPr>
                      <w:b/>
                      <w:bCs/>
                      <w:szCs w:val="21"/>
                    </w:rPr>
                  </w:pPr>
                  <w:r>
                    <w:rPr>
                      <w:rFonts w:hint="eastAsia"/>
                      <w:b/>
                      <w:bCs/>
                      <w:szCs w:val="21"/>
                    </w:rPr>
                    <w:t>单位</w:t>
                  </w:r>
                </w:p>
              </w:tc>
              <w:tc>
                <w:tcPr>
                  <w:tcW w:w="612" w:type="pct"/>
                  <w:vAlign w:val="center"/>
                </w:tcPr>
                <w:p w14:paraId="5591FDD9">
                  <w:pPr>
                    <w:keepNext/>
                    <w:keepLines/>
                    <w:widowControl/>
                    <w:jc w:val="center"/>
                    <w:rPr>
                      <w:b/>
                      <w:bCs/>
                      <w:szCs w:val="21"/>
                    </w:rPr>
                  </w:pPr>
                  <w:r>
                    <w:rPr>
                      <w:rFonts w:hint="eastAsia"/>
                      <w:b/>
                      <w:bCs/>
                      <w:szCs w:val="21"/>
                    </w:rPr>
                    <w:t>数量</w:t>
                  </w:r>
                </w:p>
              </w:tc>
              <w:tc>
                <w:tcPr>
                  <w:tcW w:w="769" w:type="pct"/>
                  <w:vAlign w:val="center"/>
                </w:tcPr>
                <w:p w14:paraId="5CC460D8">
                  <w:pPr>
                    <w:keepNext/>
                    <w:keepLines/>
                    <w:widowControl/>
                    <w:jc w:val="center"/>
                    <w:rPr>
                      <w:b/>
                      <w:bCs/>
                      <w:szCs w:val="21"/>
                    </w:rPr>
                  </w:pPr>
                  <w:r>
                    <w:rPr>
                      <w:rFonts w:hint="eastAsia"/>
                      <w:b/>
                      <w:bCs/>
                      <w:szCs w:val="21"/>
                    </w:rPr>
                    <w:t>型号</w:t>
                  </w:r>
                </w:p>
              </w:tc>
              <w:tc>
                <w:tcPr>
                  <w:tcW w:w="1057" w:type="pct"/>
                  <w:vAlign w:val="center"/>
                </w:tcPr>
                <w:p w14:paraId="7C980D60">
                  <w:pPr>
                    <w:keepNext/>
                    <w:keepLines/>
                    <w:jc w:val="center"/>
                    <w:rPr>
                      <w:b/>
                      <w:bCs/>
                      <w:szCs w:val="21"/>
                    </w:rPr>
                  </w:pPr>
                  <w:r>
                    <w:rPr>
                      <w:rFonts w:hint="eastAsia"/>
                      <w:b/>
                      <w:bCs/>
                      <w:szCs w:val="21"/>
                    </w:rPr>
                    <w:t>用途</w:t>
                  </w:r>
                </w:p>
              </w:tc>
              <w:tc>
                <w:tcPr>
                  <w:tcW w:w="1022" w:type="pct"/>
                  <w:vAlign w:val="center"/>
                </w:tcPr>
                <w:p w14:paraId="74C437B3">
                  <w:pPr>
                    <w:keepNext/>
                    <w:keepLines/>
                    <w:widowControl/>
                    <w:jc w:val="center"/>
                    <w:rPr>
                      <w:b/>
                      <w:bCs/>
                      <w:szCs w:val="21"/>
                    </w:rPr>
                  </w:pPr>
                  <w:r>
                    <w:rPr>
                      <w:rFonts w:hint="eastAsia"/>
                      <w:b/>
                      <w:bCs/>
                      <w:szCs w:val="21"/>
                    </w:rPr>
                    <w:t>备注</w:t>
                  </w:r>
                </w:p>
              </w:tc>
            </w:tr>
            <w:tr w14:paraId="34C4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74EE4629">
                  <w:pPr>
                    <w:keepNext/>
                    <w:keepLines/>
                    <w:widowControl/>
                    <w:jc w:val="center"/>
                    <w:rPr>
                      <w:szCs w:val="21"/>
                    </w:rPr>
                  </w:pPr>
                  <w:r>
                    <w:rPr>
                      <w:rFonts w:hint="eastAsia"/>
                      <w:szCs w:val="21"/>
                    </w:rPr>
                    <w:t>1</w:t>
                  </w:r>
                </w:p>
              </w:tc>
              <w:tc>
                <w:tcPr>
                  <w:tcW w:w="638" w:type="pct"/>
                  <w:vAlign w:val="center"/>
                </w:tcPr>
                <w:p w14:paraId="740691F8">
                  <w:pPr>
                    <w:adjustRightInd w:val="0"/>
                    <w:snapToGrid w:val="0"/>
                    <w:jc w:val="center"/>
                    <w:rPr>
                      <w:szCs w:val="21"/>
                      <w:highlight w:val="yellow"/>
                    </w:rPr>
                  </w:pPr>
                  <w:r>
                    <w:rPr>
                      <w:color w:val="000000" w:themeColor="text1"/>
                      <w:szCs w:val="21"/>
                      <w14:textFill>
                        <w14:solidFill>
                          <w14:schemeClr w14:val="tx1"/>
                        </w14:solidFill>
                      </w14:textFill>
                    </w:rPr>
                    <w:t>生物质蒸汽</w:t>
                  </w:r>
                  <w:r>
                    <w:rPr>
                      <w:rFonts w:hint="eastAsia"/>
                      <w:color w:val="000000" w:themeColor="text1"/>
                      <w:szCs w:val="21"/>
                      <w14:textFill>
                        <w14:solidFill>
                          <w14:schemeClr w14:val="tx1"/>
                        </w14:solidFill>
                      </w14:textFill>
                    </w:rPr>
                    <w:t>发生器</w:t>
                  </w:r>
                </w:p>
              </w:tc>
              <w:tc>
                <w:tcPr>
                  <w:tcW w:w="513" w:type="pct"/>
                  <w:vAlign w:val="center"/>
                </w:tcPr>
                <w:p w14:paraId="3B1AD9B2">
                  <w:pPr>
                    <w:keepNext/>
                    <w:keepLines/>
                    <w:widowControl/>
                    <w:jc w:val="center"/>
                    <w:rPr>
                      <w:szCs w:val="21"/>
                    </w:rPr>
                  </w:pPr>
                  <w:r>
                    <w:rPr>
                      <w:rFonts w:hint="eastAsia"/>
                      <w:szCs w:val="21"/>
                    </w:rPr>
                    <w:t>台</w:t>
                  </w:r>
                </w:p>
              </w:tc>
              <w:tc>
                <w:tcPr>
                  <w:tcW w:w="612" w:type="pct"/>
                  <w:vAlign w:val="center"/>
                </w:tcPr>
                <w:p w14:paraId="101E4C39">
                  <w:pPr>
                    <w:keepNext/>
                    <w:keepLines/>
                    <w:widowControl/>
                    <w:jc w:val="center"/>
                    <w:rPr>
                      <w:szCs w:val="21"/>
                    </w:rPr>
                  </w:pPr>
                  <w:r>
                    <w:rPr>
                      <w:rFonts w:hint="eastAsia"/>
                      <w:szCs w:val="21"/>
                    </w:rPr>
                    <w:t>1</w:t>
                  </w:r>
                </w:p>
              </w:tc>
              <w:tc>
                <w:tcPr>
                  <w:tcW w:w="769" w:type="pct"/>
                  <w:vAlign w:val="center"/>
                </w:tcPr>
                <w:p w14:paraId="755ECFEA">
                  <w:pPr>
                    <w:keepNext/>
                    <w:keepLines/>
                    <w:widowControl/>
                    <w:jc w:val="center"/>
                    <w:rPr>
                      <w:szCs w:val="21"/>
                    </w:rPr>
                  </w:pPr>
                  <w:r>
                    <w:rPr>
                      <w:rFonts w:hint="eastAsia"/>
                      <w:szCs w:val="21"/>
                    </w:rPr>
                    <w:t>1.5t/h</w:t>
                  </w:r>
                </w:p>
              </w:tc>
              <w:tc>
                <w:tcPr>
                  <w:tcW w:w="1057" w:type="pct"/>
                  <w:vAlign w:val="center"/>
                </w:tcPr>
                <w:p w14:paraId="6F3E6A91">
                  <w:pPr>
                    <w:keepNext/>
                    <w:keepLines/>
                    <w:jc w:val="center"/>
                    <w:rPr>
                      <w:szCs w:val="21"/>
                    </w:rPr>
                  </w:pPr>
                  <w:r>
                    <w:rPr>
                      <w:rFonts w:hint="eastAsia"/>
                      <w:szCs w:val="21"/>
                    </w:rPr>
                    <w:t>洗涤、烘干熨烫供热</w:t>
                  </w:r>
                </w:p>
              </w:tc>
              <w:tc>
                <w:tcPr>
                  <w:tcW w:w="1022" w:type="pct"/>
                  <w:vAlign w:val="center"/>
                </w:tcPr>
                <w:p w14:paraId="515B4077">
                  <w:pPr>
                    <w:keepNext/>
                    <w:keepLines/>
                    <w:widowControl/>
                    <w:jc w:val="center"/>
                    <w:rPr>
                      <w:szCs w:val="21"/>
                    </w:rPr>
                  </w:pPr>
                  <w:r>
                    <w:rPr>
                      <w:rFonts w:hint="eastAsia"/>
                      <w:szCs w:val="21"/>
                    </w:rPr>
                    <w:t>生物质颗粒为燃料</w:t>
                  </w:r>
                </w:p>
              </w:tc>
            </w:tr>
            <w:tr w14:paraId="5CEB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00652A9D">
                  <w:pPr>
                    <w:keepNext/>
                    <w:keepLines/>
                    <w:widowControl/>
                    <w:jc w:val="center"/>
                    <w:rPr>
                      <w:szCs w:val="21"/>
                    </w:rPr>
                  </w:pPr>
                  <w:r>
                    <w:rPr>
                      <w:rFonts w:hint="eastAsia"/>
                      <w:szCs w:val="21"/>
                    </w:rPr>
                    <w:t>2</w:t>
                  </w:r>
                </w:p>
              </w:tc>
              <w:tc>
                <w:tcPr>
                  <w:tcW w:w="638" w:type="pct"/>
                  <w:vAlign w:val="center"/>
                </w:tcPr>
                <w:p w14:paraId="44208068">
                  <w:pPr>
                    <w:adjustRightInd w:val="0"/>
                    <w:snapToGrid w:val="0"/>
                    <w:jc w:val="center"/>
                    <w:rPr>
                      <w:szCs w:val="21"/>
                      <w:highlight w:val="yellow"/>
                    </w:rPr>
                  </w:pPr>
                  <w:r>
                    <w:rPr>
                      <w:color w:val="000000" w:themeColor="text1"/>
                      <w:szCs w:val="21"/>
                      <w14:textFill>
                        <w14:solidFill>
                          <w14:schemeClr w14:val="tx1"/>
                        </w14:solidFill>
                      </w14:textFill>
                    </w:rPr>
                    <w:t>炉</w:t>
                  </w:r>
                  <w:r>
                    <w:rPr>
                      <w:rFonts w:hint="eastAsia"/>
                      <w:color w:val="000000" w:themeColor="text1"/>
                      <w:szCs w:val="21"/>
                      <w14:textFill>
                        <w14:solidFill>
                          <w14:schemeClr w14:val="tx1"/>
                        </w14:solidFill>
                      </w14:textFill>
                    </w:rPr>
                    <w:t>软水设备</w:t>
                  </w:r>
                </w:p>
              </w:tc>
              <w:tc>
                <w:tcPr>
                  <w:tcW w:w="513" w:type="pct"/>
                  <w:vAlign w:val="center"/>
                </w:tcPr>
                <w:p w14:paraId="2DEAF88A">
                  <w:pPr>
                    <w:keepNext/>
                    <w:keepLines/>
                    <w:widowControl/>
                    <w:jc w:val="center"/>
                    <w:rPr>
                      <w:szCs w:val="21"/>
                    </w:rPr>
                  </w:pPr>
                  <w:r>
                    <w:rPr>
                      <w:rFonts w:hint="eastAsia"/>
                      <w:szCs w:val="21"/>
                    </w:rPr>
                    <w:t>套</w:t>
                  </w:r>
                </w:p>
              </w:tc>
              <w:tc>
                <w:tcPr>
                  <w:tcW w:w="612" w:type="pct"/>
                  <w:vAlign w:val="center"/>
                </w:tcPr>
                <w:p w14:paraId="2A4D976F">
                  <w:pPr>
                    <w:keepNext/>
                    <w:keepLines/>
                    <w:widowControl/>
                    <w:jc w:val="center"/>
                    <w:rPr>
                      <w:szCs w:val="21"/>
                    </w:rPr>
                  </w:pPr>
                  <w:r>
                    <w:rPr>
                      <w:rFonts w:hint="eastAsia"/>
                      <w:szCs w:val="21"/>
                    </w:rPr>
                    <w:t>1</w:t>
                  </w:r>
                </w:p>
              </w:tc>
              <w:tc>
                <w:tcPr>
                  <w:tcW w:w="769" w:type="pct"/>
                  <w:vAlign w:val="center"/>
                </w:tcPr>
                <w:p w14:paraId="7DB733DE">
                  <w:pPr>
                    <w:keepNext/>
                    <w:keepLines/>
                    <w:widowControl/>
                    <w:jc w:val="center"/>
                    <w:rPr>
                      <w:szCs w:val="21"/>
                    </w:rPr>
                  </w:pPr>
                  <w:r>
                    <w:rPr>
                      <w:rFonts w:hint="eastAsia"/>
                      <w:szCs w:val="21"/>
                    </w:rPr>
                    <w:t>/</w:t>
                  </w:r>
                </w:p>
              </w:tc>
              <w:tc>
                <w:tcPr>
                  <w:tcW w:w="1057" w:type="pct"/>
                  <w:vAlign w:val="center"/>
                </w:tcPr>
                <w:p w14:paraId="33711267">
                  <w:pPr>
                    <w:keepNext/>
                    <w:keepLines/>
                    <w:jc w:val="center"/>
                    <w:rPr>
                      <w:szCs w:val="21"/>
                    </w:rPr>
                  </w:pPr>
                  <w:r>
                    <w:rPr>
                      <w:rFonts w:hint="eastAsia"/>
                      <w:szCs w:val="21"/>
                    </w:rPr>
                    <w:t>软水制备</w:t>
                  </w:r>
                </w:p>
              </w:tc>
              <w:tc>
                <w:tcPr>
                  <w:tcW w:w="1022" w:type="pct"/>
                  <w:vAlign w:val="center"/>
                </w:tcPr>
                <w:p w14:paraId="784DD4D7">
                  <w:pPr>
                    <w:keepNext/>
                    <w:keepLines/>
                    <w:widowControl/>
                    <w:jc w:val="center"/>
                    <w:rPr>
                      <w:szCs w:val="21"/>
                    </w:rPr>
                  </w:pPr>
                  <w:r>
                    <w:rPr>
                      <w:rFonts w:hint="eastAsia"/>
                      <w:szCs w:val="21"/>
                    </w:rPr>
                    <w:t>蒸汽发生器自带</w:t>
                  </w:r>
                </w:p>
              </w:tc>
            </w:tr>
            <w:tr w14:paraId="3172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45140FDD">
                  <w:pPr>
                    <w:keepNext/>
                    <w:keepLines/>
                    <w:widowControl/>
                    <w:jc w:val="center"/>
                    <w:rPr>
                      <w:szCs w:val="21"/>
                    </w:rPr>
                  </w:pPr>
                  <w:r>
                    <w:rPr>
                      <w:rFonts w:hint="eastAsia"/>
                      <w:szCs w:val="21"/>
                    </w:rPr>
                    <w:t>3</w:t>
                  </w:r>
                </w:p>
              </w:tc>
              <w:tc>
                <w:tcPr>
                  <w:tcW w:w="638" w:type="pct"/>
                  <w:vAlign w:val="center"/>
                </w:tcPr>
                <w:p w14:paraId="2DB168F4">
                  <w:pPr>
                    <w:adjustRightInd w:val="0"/>
                    <w:snapToGrid w:val="0"/>
                    <w:jc w:val="center"/>
                    <w:rPr>
                      <w:szCs w:val="21"/>
                      <w:highlight w:val="yellow"/>
                    </w:rPr>
                  </w:pPr>
                  <w:r>
                    <w:rPr>
                      <w:color w:val="000000" w:themeColor="text1"/>
                      <w:szCs w:val="21"/>
                      <w14:textFill>
                        <w14:solidFill>
                          <w14:schemeClr w14:val="tx1"/>
                        </w14:solidFill>
                      </w14:textFill>
                    </w:rPr>
                    <w:t>平烫折叠机</w:t>
                  </w:r>
                </w:p>
              </w:tc>
              <w:tc>
                <w:tcPr>
                  <w:tcW w:w="513" w:type="pct"/>
                  <w:vAlign w:val="center"/>
                </w:tcPr>
                <w:p w14:paraId="0A14200D">
                  <w:pPr>
                    <w:keepNext/>
                    <w:keepLines/>
                    <w:widowControl/>
                    <w:jc w:val="center"/>
                    <w:rPr>
                      <w:szCs w:val="21"/>
                    </w:rPr>
                  </w:pPr>
                  <w:r>
                    <w:rPr>
                      <w:rFonts w:hint="eastAsia"/>
                      <w:szCs w:val="21"/>
                    </w:rPr>
                    <w:t>套</w:t>
                  </w:r>
                </w:p>
              </w:tc>
              <w:tc>
                <w:tcPr>
                  <w:tcW w:w="612" w:type="pct"/>
                  <w:vAlign w:val="center"/>
                </w:tcPr>
                <w:p w14:paraId="411E4A2B">
                  <w:pPr>
                    <w:keepNext/>
                    <w:keepLines/>
                    <w:widowControl/>
                    <w:jc w:val="center"/>
                    <w:rPr>
                      <w:szCs w:val="21"/>
                    </w:rPr>
                  </w:pPr>
                  <w:r>
                    <w:rPr>
                      <w:szCs w:val="21"/>
                    </w:rPr>
                    <w:t>1</w:t>
                  </w:r>
                </w:p>
              </w:tc>
              <w:tc>
                <w:tcPr>
                  <w:tcW w:w="769" w:type="pct"/>
                  <w:vAlign w:val="center"/>
                </w:tcPr>
                <w:p w14:paraId="42103D58">
                  <w:pPr>
                    <w:keepNext/>
                    <w:keepLines/>
                    <w:widowControl/>
                    <w:ind w:firstLine="420" w:firstLineChars="200"/>
                    <w:rPr>
                      <w:szCs w:val="21"/>
                    </w:rPr>
                  </w:pPr>
                  <w:r>
                    <w:rPr>
                      <w:rFonts w:hint="eastAsia"/>
                      <w:szCs w:val="21"/>
                    </w:rPr>
                    <w:t>/</w:t>
                  </w:r>
                </w:p>
              </w:tc>
              <w:tc>
                <w:tcPr>
                  <w:tcW w:w="1057" w:type="pct"/>
                  <w:vAlign w:val="center"/>
                </w:tcPr>
                <w:p w14:paraId="40AAC5F3">
                  <w:pPr>
                    <w:keepNext/>
                    <w:keepLines/>
                    <w:jc w:val="center"/>
                    <w:rPr>
                      <w:szCs w:val="21"/>
                    </w:rPr>
                  </w:pPr>
                  <w:r>
                    <w:rPr>
                      <w:rFonts w:hint="eastAsia"/>
                      <w:szCs w:val="21"/>
                    </w:rPr>
                    <w:t>烘干、熨烫</w:t>
                  </w:r>
                </w:p>
              </w:tc>
              <w:tc>
                <w:tcPr>
                  <w:tcW w:w="1022" w:type="pct"/>
                  <w:vAlign w:val="center"/>
                </w:tcPr>
                <w:p w14:paraId="040E3E20">
                  <w:pPr>
                    <w:keepNext/>
                    <w:keepLines/>
                    <w:widowControl/>
                    <w:jc w:val="center"/>
                    <w:rPr>
                      <w:szCs w:val="21"/>
                    </w:rPr>
                  </w:pPr>
                  <w:r>
                    <w:rPr>
                      <w:rFonts w:hint="eastAsia"/>
                      <w:szCs w:val="21"/>
                    </w:rPr>
                    <w:t>蒸汽发生器供热</w:t>
                  </w:r>
                </w:p>
              </w:tc>
            </w:tr>
            <w:tr w14:paraId="163A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7F76B9E3">
                  <w:pPr>
                    <w:keepNext/>
                    <w:keepLines/>
                    <w:widowControl/>
                    <w:jc w:val="center"/>
                    <w:rPr>
                      <w:szCs w:val="21"/>
                    </w:rPr>
                  </w:pPr>
                  <w:r>
                    <w:rPr>
                      <w:rFonts w:hint="eastAsia"/>
                      <w:szCs w:val="21"/>
                    </w:rPr>
                    <w:t>4</w:t>
                  </w:r>
                </w:p>
              </w:tc>
              <w:tc>
                <w:tcPr>
                  <w:tcW w:w="638" w:type="pct"/>
                  <w:vAlign w:val="center"/>
                </w:tcPr>
                <w:p w14:paraId="08C64044">
                  <w:pPr>
                    <w:adjustRightInd w:val="0"/>
                    <w:snapToGrid w:val="0"/>
                    <w:jc w:val="center"/>
                    <w:rPr>
                      <w:szCs w:val="21"/>
                    </w:rPr>
                  </w:pPr>
                  <w:r>
                    <w:rPr>
                      <w:color w:val="000000" w:themeColor="text1"/>
                      <w:szCs w:val="21"/>
                      <w14:textFill>
                        <w14:solidFill>
                          <w14:schemeClr w14:val="tx1"/>
                        </w14:solidFill>
                      </w14:textFill>
                    </w:rPr>
                    <w:t>洗涤设备</w:t>
                  </w:r>
                </w:p>
              </w:tc>
              <w:tc>
                <w:tcPr>
                  <w:tcW w:w="513" w:type="pct"/>
                  <w:vAlign w:val="center"/>
                </w:tcPr>
                <w:p w14:paraId="389C1B7D">
                  <w:pPr>
                    <w:keepNext/>
                    <w:keepLines/>
                    <w:widowControl/>
                    <w:jc w:val="center"/>
                    <w:rPr>
                      <w:szCs w:val="21"/>
                    </w:rPr>
                  </w:pPr>
                  <w:r>
                    <w:rPr>
                      <w:rFonts w:hint="eastAsia"/>
                      <w:szCs w:val="21"/>
                    </w:rPr>
                    <w:t>套</w:t>
                  </w:r>
                </w:p>
              </w:tc>
              <w:tc>
                <w:tcPr>
                  <w:tcW w:w="612" w:type="pct"/>
                  <w:vAlign w:val="center"/>
                </w:tcPr>
                <w:p w14:paraId="57D75962">
                  <w:pPr>
                    <w:keepNext/>
                    <w:keepLines/>
                    <w:widowControl/>
                    <w:jc w:val="center"/>
                    <w:rPr>
                      <w:szCs w:val="21"/>
                    </w:rPr>
                  </w:pPr>
                  <w:r>
                    <w:rPr>
                      <w:rFonts w:hint="eastAsia"/>
                      <w:szCs w:val="21"/>
                    </w:rPr>
                    <w:t>1</w:t>
                  </w:r>
                </w:p>
              </w:tc>
              <w:tc>
                <w:tcPr>
                  <w:tcW w:w="769" w:type="pct"/>
                  <w:vAlign w:val="center"/>
                </w:tcPr>
                <w:p w14:paraId="7B8CEFAC">
                  <w:pPr>
                    <w:keepNext/>
                    <w:keepLines/>
                    <w:widowControl/>
                    <w:jc w:val="center"/>
                    <w:rPr>
                      <w:szCs w:val="21"/>
                    </w:rPr>
                  </w:pPr>
                  <w:r>
                    <w:rPr>
                      <w:rFonts w:hint="eastAsia"/>
                      <w:szCs w:val="21"/>
                    </w:rPr>
                    <w:t>/</w:t>
                  </w:r>
                </w:p>
              </w:tc>
              <w:tc>
                <w:tcPr>
                  <w:tcW w:w="1057" w:type="pct"/>
                  <w:vAlign w:val="center"/>
                </w:tcPr>
                <w:p w14:paraId="04A66C02">
                  <w:pPr>
                    <w:keepNext/>
                    <w:keepLines/>
                    <w:jc w:val="center"/>
                    <w:rPr>
                      <w:szCs w:val="21"/>
                    </w:rPr>
                  </w:pPr>
                  <w:r>
                    <w:rPr>
                      <w:rFonts w:hint="eastAsia"/>
                      <w:szCs w:val="21"/>
                    </w:rPr>
                    <w:t>清洗、脱水</w:t>
                  </w:r>
                </w:p>
              </w:tc>
              <w:tc>
                <w:tcPr>
                  <w:tcW w:w="1022" w:type="pct"/>
                  <w:vAlign w:val="center"/>
                </w:tcPr>
                <w:p w14:paraId="68D388FA">
                  <w:pPr>
                    <w:keepNext/>
                    <w:keepLines/>
                    <w:widowControl/>
                    <w:jc w:val="center"/>
                    <w:rPr>
                      <w:szCs w:val="21"/>
                    </w:rPr>
                  </w:pPr>
                  <w:r>
                    <w:rPr>
                      <w:rFonts w:hint="eastAsia"/>
                      <w:szCs w:val="21"/>
                    </w:rPr>
                    <w:t>/</w:t>
                  </w:r>
                </w:p>
              </w:tc>
            </w:tr>
            <w:tr w14:paraId="6A0E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88" w:type="pct"/>
                  <w:vAlign w:val="center"/>
                </w:tcPr>
                <w:p w14:paraId="6768EA71">
                  <w:pPr>
                    <w:keepNext/>
                    <w:keepLines/>
                    <w:widowControl/>
                    <w:jc w:val="center"/>
                    <w:rPr>
                      <w:szCs w:val="21"/>
                    </w:rPr>
                  </w:pPr>
                  <w:r>
                    <w:rPr>
                      <w:rFonts w:hint="eastAsia"/>
                      <w:szCs w:val="21"/>
                    </w:rPr>
                    <w:t>5</w:t>
                  </w:r>
                </w:p>
              </w:tc>
              <w:tc>
                <w:tcPr>
                  <w:tcW w:w="638" w:type="pct"/>
                  <w:vAlign w:val="center"/>
                </w:tcPr>
                <w:p w14:paraId="3EF6DED2">
                  <w:pPr>
                    <w:adjustRightInd w:val="0"/>
                    <w:snapToGrid w:val="0"/>
                    <w:jc w:val="center"/>
                    <w:rPr>
                      <w:szCs w:val="21"/>
                    </w:rPr>
                  </w:pPr>
                  <w:r>
                    <w:rPr>
                      <w:color w:val="000000" w:themeColor="text1"/>
                      <w:szCs w:val="21"/>
                      <w14:textFill>
                        <w14:solidFill>
                          <w14:schemeClr w14:val="tx1"/>
                        </w14:solidFill>
                      </w14:textFill>
                    </w:rPr>
                    <w:t>洗衣机</w:t>
                  </w:r>
                  <w:r>
                    <w:rPr>
                      <w:szCs w:val="21"/>
                    </w:rPr>
                    <w:t xml:space="preserve"> </w:t>
                  </w:r>
                </w:p>
              </w:tc>
              <w:tc>
                <w:tcPr>
                  <w:tcW w:w="513" w:type="pct"/>
                  <w:vAlign w:val="center"/>
                </w:tcPr>
                <w:p w14:paraId="1FCEFC1A">
                  <w:pPr>
                    <w:keepNext/>
                    <w:keepLines/>
                    <w:widowControl/>
                    <w:jc w:val="center"/>
                    <w:rPr>
                      <w:szCs w:val="21"/>
                    </w:rPr>
                  </w:pPr>
                  <w:r>
                    <w:rPr>
                      <w:rFonts w:hint="eastAsia"/>
                      <w:szCs w:val="21"/>
                    </w:rPr>
                    <w:t>台</w:t>
                  </w:r>
                </w:p>
              </w:tc>
              <w:tc>
                <w:tcPr>
                  <w:tcW w:w="612" w:type="pct"/>
                  <w:vAlign w:val="center"/>
                </w:tcPr>
                <w:p w14:paraId="62AA34CE">
                  <w:pPr>
                    <w:keepNext/>
                    <w:keepLines/>
                    <w:widowControl/>
                    <w:jc w:val="center"/>
                    <w:rPr>
                      <w:szCs w:val="21"/>
                    </w:rPr>
                  </w:pPr>
                  <w:r>
                    <w:rPr>
                      <w:rFonts w:hint="eastAsia"/>
                      <w:szCs w:val="21"/>
                    </w:rPr>
                    <w:t>4</w:t>
                  </w:r>
                </w:p>
              </w:tc>
              <w:tc>
                <w:tcPr>
                  <w:tcW w:w="769" w:type="pct"/>
                  <w:vAlign w:val="center"/>
                </w:tcPr>
                <w:p w14:paraId="36B8A7FD">
                  <w:pPr>
                    <w:keepNext/>
                    <w:keepLines/>
                    <w:widowControl/>
                    <w:jc w:val="center"/>
                    <w:rPr>
                      <w:szCs w:val="21"/>
                    </w:rPr>
                  </w:pPr>
                  <w:r>
                    <w:rPr>
                      <w:rFonts w:hint="eastAsia"/>
                      <w:szCs w:val="21"/>
                    </w:rPr>
                    <w:t>100kg</w:t>
                  </w:r>
                </w:p>
              </w:tc>
              <w:tc>
                <w:tcPr>
                  <w:tcW w:w="1057" w:type="pct"/>
                  <w:vAlign w:val="center"/>
                </w:tcPr>
                <w:p w14:paraId="0D48C47E">
                  <w:pPr>
                    <w:keepNext/>
                    <w:keepLines/>
                    <w:jc w:val="center"/>
                    <w:rPr>
                      <w:szCs w:val="21"/>
                    </w:rPr>
                  </w:pPr>
                  <w:r>
                    <w:rPr>
                      <w:rFonts w:hint="eastAsia"/>
                      <w:szCs w:val="21"/>
                    </w:rPr>
                    <w:t>洗涤、脱水</w:t>
                  </w:r>
                </w:p>
              </w:tc>
              <w:tc>
                <w:tcPr>
                  <w:tcW w:w="1022" w:type="pct"/>
                  <w:vAlign w:val="center"/>
                </w:tcPr>
                <w:p w14:paraId="651176FD">
                  <w:pPr>
                    <w:keepNext/>
                    <w:keepLines/>
                    <w:widowControl/>
                    <w:jc w:val="center"/>
                    <w:rPr>
                      <w:szCs w:val="21"/>
                    </w:rPr>
                  </w:pPr>
                  <w:r>
                    <w:rPr>
                      <w:rFonts w:hint="eastAsia"/>
                      <w:szCs w:val="21"/>
                    </w:rPr>
                    <w:t>蒸汽发生器供热</w:t>
                  </w:r>
                </w:p>
              </w:tc>
            </w:tr>
            <w:tr w14:paraId="6C1E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88" w:type="pct"/>
                  <w:vAlign w:val="center"/>
                </w:tcPr>
                <w:p w14:paraId="52C9C199">
                  <w:pPr>
                    <w:keepNext/>
                    <w:keepLines/>
                    <w:widowControl/>
                    <w:jc w:val="center"/>
                    <w:rPr>
                      <w:szCs w:val="21"/>
                    </w:rPr>
                  </w:pPr>
                  <w:r>
                    <w:rPr>
                      <w:rFonts w:hint="eastAsia"/>
                      <w:szCs w:val="21"/>
                    </w:rPr>
                    <w:t>6</w:t>
                  </w:r>
                </w:p>
              </w:tc>
              <w:tc>
                <w:tcPr>
                  <w:tcW w:w="638" w:type="pct"/>
                  <w:vAlign w:val="center"/>
                </w:tcPr>
                <w:p w14:paraId="2114DBA8">
                  <w:pPr>
                    <w:adjustRightInd w:val="0"/>
                    <w:snapToGrid w:val="0"/>
                    <w:jc w:val="center"/>
                    <w:rPr>
                      <w:szCs w:val="21"/>
                    </w:rPr>
                  </w:pPr>
                  <w:r>
                    <w:rPr>
                      <w:rFonts w:hint="eastAsia"/>
                      <w:szCs w:val="21"/>
                    </w:rPr>
                    <w:t>空气储罐</w:t>
                  </w:r>
                </w:p>
              </w:tc>
              <w:tc>
                <w:tcPr>
                  <w:tcW w:w="513" w:type="pct"/>
                  <w:vAlign w:val="center"/>
                </w:tcPr>
                <w:p w14:paraId="383B840A">
                  <w:pPr>
                    <w:keepNext/>
                    <w:keepLines/>
                    <w:widowControl/>
                    <w:jc w:val="center"/>
                    <w:rPr>
                      <w:szCs w:val="21"/>
                    </w:rPr>
                  </w:pPr>
                  <w:r>
                    <w:rPr>
                      <w:rFonts w:hint="eastAsia"/>
                      <w:szCs w:val="21"/>
                    </w:rPr>
                    <w:t>台</w:t>
                  </w:r>
                </w:p>
              </w:tc>
              <w:tc>
                <w:tcPr>
                  <w:tcW w:w="612" w:type="pct"/>
                  <w:vAlign w:val="center"/>
                </w:tcPr>
                <w:p w14:paraId="5E453C76">
                  <w:pPr>
                    <w:keepNext/>
                    <w:keepLines/>
                    <w:widowControl/>
                    <w:jc w:val="center"/>
                    <w:rPr>
                      <w:szCs w:val="21"/>
                    </w:rPr>
                  </w:pPr>
                  <w:r>
                    <w:rPr>
                      <w:rFonts w:hint="eastAsia"/>
                      <w:szCs w:val="21"/>
                    </w:rPr>
                    <w:t>1</w:t>
                  </w:r>
                </w:p>
              </w:tc>
              <w:tc>
                <w:tcPr>
                  <w:tcW w:w="769" w:type="pct"/>
                  <w:vAlign w:val="center"/>
                </w:tcPr>
                <w:p w14:paraId="212D69FD">
                  <w:pPr>
                    <w:keepNext/>
                    <w:keepLines/>
                    <w:widowControl/>
                    <w:jc w:val="center"/>
                    <w:rPr>
                      <w:szCs w:val="21"/>
                    </w:rPr>
                  </w:pPr>
                  <w:r>
                    <w:rPr>
                      <w:rFonts w:hint="eastAsia"/>
                      <w:szCs w:val="21"/>
                    </w:rPr>
                    <w:t>0.5m</w:t>
                  </w:r>
                  <w:r>
                    <w:rPr>
                      <w:rFonts w:hint="eastAsia"/>
                      <w:szCs w:val="21"/>
                      <w:vertAlign w:val="superscript"/>
                    </w:rPr>
                    <w:t>3</w:t>
                  </w:r>
                </w:p>
              </w:tc>
              <w:tc>
                <w:tcPr>
                  <w:tcW w:w="1057" w:type="pct"/>
                  <w:vAlign w:val="center"/>
                </w:tcPr>
                <w:p w14:paraId="4F0AA565">
                  <w:pPr>
                    <w:keepNext/>
                    <w:keepLines/>
                    <w:jc w:val="center"/>
                    <w:rPr>
                      <w:szCs w:val="21"/>
                    </w:rPr>
                  </w:pPr>
                  <w:r>
                    <w:rPr>
                      <w:rFonts w:hint="eastAsia"/>
                      <w:szCs w:val="21"/>
                    </w:rPr>
                    <w:t>辅助</w:t>
                  </w:r>
                </w:p>
              </w:tc>
              <w:tc>
                <w:tcPr>
                  <w:tcW w:w="1022" w:type="pct"/>
                  <w:vAlign w:val="center"/>
                </w:tcPr>
                <w:p w14:paraId="6647D0B2">
                  <w:pPr>
                    <w:keepNext/>
                    <w:keepLines/>
                    <w:widowControl/>
                    <w:rPr>
                      <w:szCs w:val="21"/>
                    </w:rPr>
                  </w:pPr>
                  <w:r>
                    <w:rPr>
                      <w:rFonts w:hint="eastAsia"/>
                      <w:szCs w:val="21"/>
                    </w:rPr>
                    <w:t xml:space="preserve">    辅助</w:t>
                  </w:r>
                </w:p>
              </w:tc>
            </w:tr>
            <w:tr w14:paraId="675D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2B1195F8">
                  <w:pPr>
                    <w:keepNext/>
                    <w:keepLines/>
                    <w:widowControl/>
                    <w:jc w:val="center"/>
                    <w:rPr>
                      <w:szCs w:val="21"/>
                    </w:rPr>
                  </w:pPr>
                  <w:r>
                    <w:rPr>
                      <w:rFonts w:hint="eastAsia"/>
                      <w:szCs w:val="21"/>
                    </w:rPr>
                    <w:t>7</w:t>
                  </w:r>
                </w:p>
              </w:tc>
              <w:tc>
                <w:tcPr>
                  <w:tcW w:w="638" w:type="pct"/>
                  <w:vAlign w:val="center"/>
                </w:tcPr>
                <w:p w14:paraId="5CB3265B">
                  <w:pPr>
                    <w:adjustRightInd w:val="0"/>
                    <w:snapToGrid w:val="0"/>
                    <w:jc w:val="center"/>
                    <w:rPr>
                      <w:szCs w:val="21"/>
                    </w:rPr>
                  </w:pPr>
                  <w:r>
                    <w:rPr>
                      <w:szCs w:val="21"/>
                    </w:rPr>
                    <w:t>风机</w:t>
                  </w:r>
                </w:p>
              </w:tc>
              <w:tc>
                <w:tcPr>
                  <w:tcW w:w="513" w:type="pct"/>
                  <w:vAlign w:val="center"/>
                </w:tcPr>
                <w:p w14:paraId="5FD3540A">
                  <w:pPr>
                    <w:keepNext/>
                    <w:keepLines/>
                    <w:widowControl/>
                    <w:jc w:val="center"/>
                    <w:rPr>
                      <w:szCs w:val="21"/>
                    </w:rPr>
                  </w:pPr>
                  <w:r>
                    <w:rPr>
                      <w:rFonts w:hint="eastAsia"/>
                      <w:szCs w:val="21"/>
                    </w:rPr>
                    <w:t>台</w:t>
                  </w:r>
                </w:p>
              </w:tc>
              <w:tc>
                <w:tcPr>
                  <w:tcW w:w="612" w:type="pct"/>
                  <w:vAlign w:val="center"/>
                </w:tcPr>
                <w:p w14:paraId="494BDB73">
                  <w:pPr>
                    <w:keepNext/>
                    <w:keepLines/>
                    <w:widowControl/>
                    <w:jc w:val="center"/>
                    <w:rPr>
                      <w:szCs w:val="21"/>
                    </w:rPr>
                  </w:pPr>
                  <w:r>
                    <w:rPr>
                      <w:rFonts w:hint="eastAsia"/>
                      <w:szCs w:val="21"/>
                    </w:rPr>
                    <w:t>1</w:t>
                  </w:r>
                </w:p>
              </w:tc>
              <w:tc>
                <w:tcPr>
                  <w:tcW w:w="769" w:type="pct"/>
                  <w:vAlign w:val="center"/>
                </w:tcPr>
                <w:p w14:paraId="7E2EA01E">
                  <w:pPr>
                    <w:keepNext/>
                    <w:keepLines/>
                    <w:widowControl/>
                    <w:jc w:val="center"/>
                    <w:rPr>
                      <w:szCs w:val="21"/>
                    </w:rPr>
                  </w:pPr>
                  <w:r>
                    <w:rPr>
                      <w:rFonts w:hint="eastAsia"/>
                      <w:szCs w:val="21"/>
                    </w:rPr>
                    <w:t>/</w:t>
                  </w:r>
                </w:p>
              </w:tc>
              <w:tc>
                <w:tcPr>
                  <w:tcW w:w="1057" w:type="pct"/>
                  <w:vAlign w:val="center"/>
                </w:tcPr>
                <w:p w14:paraId="69751175">
                  <w:pPr>
                    <w:keepNext/>
                    <w:keepLines/>
                    <w:jc w:val="center"/>
                    <w:rPr>
                      <w:szCs w:val="21"/>
                    </w:rPr>
                  </w:pPr>
                  <w:r>
                    <w:rPr>
                      <w:rFonts w:hint="eastAsia"/>
                      <w:szCs w:val="21"/>
                    </w:rPr>
                    <w:t>辅助</w:t>
                  </w:r>
                </w:p>
              </w:tc>
              <w:tc>
                <w:tcPr>
                  <w:tcW w:w="1022" w:type="pct"/>
                  <w:vAlign w:val="center"/>
                </w:tcPr>
                <w:p w14:paraId="5DC19AD4">
                  <w:pPr>
                    <w:keepNext/>
                    <w:keepLines/>
                    <w:widowControl/>
                    <w:jc w:val="center"/>
                    <w:rPr>
                      <w:szCs w:val="21"/>
                    </w:rPr>
                  </w:pPr>
                  <w:r>
                    <w:rPr>
                      <w:rFonts w:hint="eastAsia"/>
                      <w:szCs w:val="21"/>
                    </w:rPr>
                    <w:t>/</w:t>
                  </w:r>
                </w:p>
              </w:tc>
            </w:tr>
            <w:tr w14:paraId="50CE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0E0ED644">
                  <w:pPr>
                    <w:keepNext/>
                    <w:keepLines/>
                    <w:widowControl/>
                    <w:jc w:val="center"/>
                    <w:rPr>
                      <w:szCs w:val="21"/>
                    </w:rPr>
                  </w:pPr>
                  <w:r>
                    <w:rPr>
                      <w:rFonts w:hint="eastAsia"/>
                      <w:szCs w:val="21"/>
                    </w:rPr>
                    <w:t>8</w:t>
                  </w:r>
                </w:p>
              </w:tc>
              <w:tc>
                <w:tcPr>
                  <w:tcW w:w="638" w:type="pct"/>
                  <w:vAlign w:val="center"/>
                </w:tcPr>
                <w:p w14:paraId="6A3E9F54">
                  <w:pPr>
                    <w:keepNext/>
                    <w:keepLines/>
                    <w:widowControl/>
                    <w:jc w:val="center"/>
                    <w:rPr>
                      <w:szCs w:val="21"/>
                    </w:rPr>
                  </w:pPr>
                  <w:r>
                    <w:rPr>
                      <w:rFonts w:hint="eastAsia"/>
                      <w:szCs w:val="21"/>
                    </w:rPr>
                    <w:t>水泵</w:t>
                  </w:r>
                </w:p>
              </w:tc>
              <w:tc>
                <w:tcPr>
                  <w:tcW w:w="513" w:type="pct"/>
                  <w:vAlign w:val="center"/>
                </w:tcPr>
                <w:p w14:paraId="7F73554B">
                  <w:pPr>
                    <w:keepNext/>
                    <w:keepLines/>
                    <w:widowControl/>
                    <w:jc w:val="center"/>
                    <w:rPr>
                      <w:szCs w:val="21"/>
                    </w:rPr>
                  </w:pPr>
                  <w:r>
                    <w:rPr>
                      <w:rFonts w:hint="eastAsia"/>
                      <w:szCs w:val="21"/>
                    </w:rPr>
                    <w:t>台</w:t>
                  </w:r>
                </w:p>
              </w:tc>
              <w:tc>
                <w:tcPr>
                  <w:tcW w:w="612" w:type="pct"/>
                  <w:vAlign w:val="center"/>
                </w:tcPr>
                <w:p w14:paraId="069C2126">
                  <w:pPr>
                    <w:keepNext/>
                    <w:keepLines/>
                    <w:widowControl/>
                    <w:jc w:val="center"/>
                    <w:rPr>
                      <w:szCs w:val="21"/>
                    </w:rPr>
                  </w:pPr>
                  <w:r>
                    <w:rPr>
                      <w:rFonts w:hint="eastAsia"/>
                      <w:szCs w:val="21"/>
                    </w:rPr>
                    <w:t>1</w:t>
                  </w:r>
                </w:p>
              </w:tc>
              <w:tc>
                <w:tcPr>
                  <w:tcW w:w="769" w:type="pct"/>
                  <w:vAlign w:val="center"/>
                </w:tcPr>
                <w:p w14:paraId="2EB06EDF">
                  <w:pPr>
                    <w:keepNext/>
                    <w:keepLines/>
                    <w:widowControl/>
                    <w:jc w:val="center"/>
                    <w:rPr>
                      <w:szCs w:val="21"/>
                    </w:rPr>
                  </w:pPr>
                  <w:r>
                    <w:rPr>
                      <w:rFonts w:hint="eastAsia"/>
                      <w:szCs w:val="21"/>
                    </w:rPr>
                    <w:t>/</w:t>
                  </w:r>
                </w:p>
              </w:tc>
              <w:tc>
                <w:tcPr>
                  <w:tcW w:w="1057" w:type="pct"/>
                  <w:vAlign w:val="center"/>
                </w:tcPr>
                <w:p w14:paraId="10719A1A">
                  <w:pPr>
                    <w:keepNext/>
                    <w:keepLines/>
                    <w:jc w:val="center"/>
                    <w:rPr>
                      <w:szCs w:val="21"/>
                    </w:rPr>
                  </w:pPr>
                  <w:r>
                    <w:rPr>
                      <w:rFonts w:hint="eastAsia"/>
                      <w:szCs w:val="21"/>
                    </w:rPr>
                    <w:t>辅助</w:t>
                  </w:r>
                </w:p>
              </w:tc>
              <w:tc>
                <w:tcPr>
                  <w:tcW w:w="1022" w:type="pct"/>
                  <w:vAlign w:val="center"/>
                </w:tcPr>
                <w:p w14:paraId="419A201A">
                  <w:pPr>
                    <w:keepNext/>
                    <w:keepLines/>
                    <w:widowControl/>
                    <w:jc w:val="center"/>
                    <w:rPr>
                      <w:szCs w:val="21"/>
                    </w:rPr>
                  </w:pPr>
                  <w:r>
                    <w:rPr>
                      <w:rFonts w:hint="eastAsia"/>
                      <w:szCs w:val="21"/>
                    </w:rPr>
                    <w:t>/</w:t>
                  </w:r>
                </w:p>
              </w:tc>
            </w:tr>
          </w:tbl>
          <w:p w14:paraId="1332B84B">
            <w:pPr>
              <w:keepNext/>
              <w:keepLines/>
              <w:widowControl/>
              <w:spacing w:line="360" w:lineRule="auto"/>
              <w:ind w:firstLine="241" w:firstLineChars="100"/>
              <w:rPr>
                <w:b/>
                <w:bCs/>
                <w:sz w:val="24"/>
              </w:rPr>
            </w:pPr>
          </w:p>
          <w:p w14:paraId="3C6CD979">
            <w:pPr>
              <w:keepNext/>
              <w:keepLines/>
              <w:widowControl/>
              <w:spacing w:line="360" w:lineRule="auto"/>
              <w:rPr>
                <w:sz w:val="24"/>
              </w:rPr>
            </w:pPr>
            <w:r>
              <w:rPr>
                <w:rFonts w:hint="eastAsia"/>
                <w:b/>
                <w:bCs/>
                <w:sz w:val="24"/>
              </w:rPr>
              <w:t>4、主要原辅材料及能源消耗</w:t>
            </w:r>
          </w:p>
          <w:p w14:paraId="36DFB9F2">
            <w:pPr>
              <w:keepNext/>
              <w:keepLines/>
              <w:widowControl/>
              <w:spacing w:line="360" w:lineRule="auto"/>
              <w:ind w:firstLine="480" w:firstLineChars="200"/>
              <w:rPr>
                <w:sz w:val="24"/>
              </w:rPr>
            </w:pPr>
            <w:r>
              <w:rPr>
                <w:rFonts w:hint="eastAsia"/>
                <w:sz w:val="24"/>
              </w:rPr>
              <w:t>本项目主要原辅材料及能源年用量见表2-4。</w:t>
            </w:r>
          </w:p>
          <w:p w14:paraId="3FED3B3A">
            <w:pPr>
              <w:keepNext/>
              <w:keepLines/>
              <w:widowControl/>
              <w:ind w:firstLine="422" w:firstLineChars="200"/>
              <w:jc w:val="center"/>
              <w:rPr>
                <w:szCs w:val="21"/>
              </w:rPr>
            </w:pPr>
            <w:r>
              <w:rPr>
                <w:rFonts w:hint="eastAsia"/>
                <w:b/>
                <w:bCs/>
                <w:szCs w:val="21"/>
              </w:rPr>
              <w:t>表2-4  原辅材料一览表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537"/>
              <w:gridCol w:w="1589"/>
              <w:gridCol w:w="1628"/>
              <w:gridCol w:w="2299"/>
            </w:tblGrid>
            <w:tr w14:paraId="6C9B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14:paraId="0B05F066">
                  <w:pPr>
                    <w:keepNext/>
                    <w:keepLines/>
                    <w:widowControl/>
                    <w:jc w:val="center"/>
                    <w:rPr>
                      <w:b/>
                      <w:bCs/>
                      <w:szCs w:val="21"/>
                    </w:rPr>
                  </w:pPr>
                  <w:r>
                    <w:rPr>
                      <w:rFonts w:hint="eastAsia"/>
                      <w:b/>
                      <w:bCs/>
                      <w:szCs w:val="21"/>
                    </w:rPr>
                    <w:t>名称</w:t>
                  </w:r>
                </w:p>
              </w:tc>
              <w:tc>
                <w:tcPr>
                  <w:tcW w:w="915" w:type="pct"/>
                  <w:vAlign w:val="center"/>
                </w:tcPr>
                <w:p w14:paraId="7DE421BD">
                  <w:pPr>
                    <w:keepNext/>
                    <w:keepLines/>
                    <w:widowControl/>
                    <w:jc w:val="center"/>
                    <w:rPr>
                      <w:b/>
                      <w:bCs/>
                      <w:szCs w:val="21"/>
                    </w:rPr>
                  </w:pPr>
                  <w:r>
                    <w:rPr>
                      <w:rFonts w:hint="eastAsia"/>
                      <w:b/>
                      <w:bCs/>
                      <w:szCs w:val="21"/>
                    </w:rPr>
                    <w:t>年用量t</w:t>
                  </w:r>
                </w:p>
              </w:tc>
              <w:tc>
                <w:tcPr>
                  <w:tcW w:w="946" w:type="pct"/>
                  <w:vAlign w:val="center"/>
                </w:tcPr>
                <w:p w14:paraId="33EF41B4">
                  <w:pPr>
                    <w:keepNext/>
                    <w:keepLines/>
                    <w:widowControl/>
                    <w:jc w:val="center"/>
                    <w:rPr>
                      <w:b/>
                      <w:bCs/>
                      <w:szCs w:val="21"/>
                    </w:rPr>
                  </w:pPr>
                  <w:r>
                    <w:rPr>
                      <w:rFonts w:hint="eastAsia"/>
                      <w:b/>
                      <w:bCs/>
                      <w:szCs w:val="21"/>
                    </w:rPr>
                    <w:t>最大储存量t</w:t>
                  </w:r>
                </w:p>
              </w:tc>
              <w:tc>
                <w:tcPr>
                  <w:tcW w:w="969" w:type="pct"/>
                  <w:vAlign w:val="center"/>
                </w:tcPr>
                <w:p w14:paraId="7CB85B8C">
                  <w:pPr>
                    <w:keepNext/>
                    <w:keepLines/>
                    <w:widowControl/>
                    <w:jc w:val="center"/>
                    <w:rPr>
                      <w:b/>
                      <w:bCs/>
                      <w:szCs w:val="21"/>
                    </w:rPr>
                  </w:pPr>
                  <w:r>
                    <w:rPr>
                      <w:rFonts w:hint="eastAsia"/>
                      <w:b/>
                      <w:bCs/>
                      <w:szCs w:val="21"/>
                    </w:rPr>
                    <w:t>形状</w:t>
                  </w:r>
                </w:p>
              </w:tc>
              <w:tc>
                <w:tcPr>
                  <w:tcW w:w="1369" w:type="pct"/>
                  <w:vAlign w:val="center"/>
                </w:tcPr>
                <w:p w14:paraId="479CFCCD">
                  <w:pPr>
                    <w:keepNext/>
                    <w:keepLines/>
                    <w:widowControl/>
                    <w:jc w:val="center"/>
                    <w:rPr>
                      <w:b/>
                      <w:bCs/>
                      <w:szCs w:val="21"/>
                    </w:rPr>
                  </w:pPr>
                  <w:r>
                    <w:rPr>
                      <w:rFonts w:hint="eastAsia"/>
                      <w:b/>
                      <w:bCs/>
                      <w:szCs w:val="21"/>
                    </w:rPr>
                    <w:t>备注</w:t>
                  </w:r>
                </w:p>
              </w:tc>
            </w:tr>
            <w:tr w14:paraId="6581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 w:type="pct"/>
                  <w:vAlign w:val="center"/>
                </w:tcPr>
                <w:p w14:paraId="13D5CC89">
                  <w:pPr>
                    <w:keepNext/>
                    <w:keepLines/>
                    <w:widowControl/>
                    <w:jc w:val="center"/>
                    <w:rPr>
                      <w:color w:val="000000" w:themeColor="text1"/>
                      <w:szCs w:val="21"/>
                      <w14:textFill>
                        <w14:solidFill>
                          <w14:schemeClr w14:val="tx1"/>
                        </w14:solidFill>
                      </w14:textFill>
                    </w:rPr>
                  </w:pPr>
                  <w:r>
                    <w:rPr>
                      <w:rFonts w:hint="eastAsia"/>
                      <w:szCs w:val="21"/>
                    </w:rPr>
                    <w:t>洗衣粉</w:t>
                  </w:r>
                </w:p>
              </w:tc>
              <w:tc>
                <w:tcPr>
                  <w:tcW w:w="915" w:type="pct"/>
                  <w:vAlign w:val="center"/>
                </w:tcPr>
                <w:p w14:paraId="0C144DF5">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w:t>
                  </w:r>
                </w:p>
              </w:tc>
              <w:tc>
                <w:tcPr>
                  <w:tcW w:w="946" w:type="pct"/>
                  <w:vAlign w:val="center"/>
                </w:tcPr>
                <w:p w14:paraId="01FF6D99">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969" w:type="pct"/>
                  <w:vAlign w:val="center"/>
                </w:tcPr>
                <w:p w14:paraId="3F1C45E6">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369" w:type="pct"/>
                  <w:vAlign w:val="center"/>
                </w:tcPr>
                <w:p w14:paraId="3AB24EB1">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33EC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14:paraId="1CFB1604">
                  <w:pPr>
                    <w:keepNext/>
                    <w:keepLines/>
                    <w:widowControl/>
                    <w:jc w:val="center"/>
                    <w:rPr>
                      <w:color w:val="000000" w:themeColor="text1"/>
                      <w:szCs w:val="21"/>
                      <w14:textFill>
                        <w14:solidFill>
                          <w14:schemeClr w14:val="tx1"/>
                        </w14:solidFill>
                      </w14:textFill>
                    </w:rPr>
                  </w:pPr>
                  <w:r>
                    <w:rPr>
                      <w:szCs w:val="21"/>
                    </w:rPr>
                    <w:t>彩漂</w:t>
                  </w:r>
                  <w:r>
                    <w:rPr>
                      <w:rFonts w:hint="eastAsia"/>
                      <w:szCs w:val="21"/>
                    </w:rPr>
                    <w:t>粉</w:t>
                  </w:r>
                </w:p>
              </w:tc>
              <w:tc>
                <w:tcPr>
                  <w:tcW w:w="915" w:type="pct"/>
                  <w:vAlign w:val="center"/>
                </w:tcPr>
                <w:p w14:paraId="67886813">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946" w:type="pct"/>
                  <w:vAlign w:val="center"/>
                </w:tcPr>
                <w:p w14:paraId="770D8BD2">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969" w:type="pct"/>
                  <w:vAlign w:val="center"/>
                </w:tcPr>
                <w:p w14:paraId="5DB9FF35">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369" w:type="pct"/>
                  <w:vAlign w:val="center"/>
                </w:tcPr>
                <w:p w14:paraId="43808146">
                  <w:pPr>
                    <w:keepNext/>
                    <w:keepLines/>
                    <w:widowControl/>
                    <w:jc w:val="center"/>
                    <w:rPr>
                      <w:color w:val="000000" w:themeColor="text1"/>
                      <w:szCs w:val="21"/>
                      <w14:textFill>
                        <w14:solidFill>
                          <w14:schemeClr w14:val="tx1"/>
                        </w14:solidFill>
                      </w14:textFill>
                    </w:rPr>
                  </w:pPr>
                  <w:r>
                    <w:rPr>
                      <w:rFonts w:hint="eastAsia"/>
                      <w:szCs w:val="21"/>
                    </w:rPr>
                    <w:t>/</w:t>
                  </w:r>
                </w:p>
              </w:tc>
            </w:tr>
            <w:tr w14:paraId="3A6B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14:paraId="2D0B2AFD">
                  <w:pPr>
                    <w:keepNext/>
                    <w:keepLines/>
                    <w:widowControl/>
                    <w:jc w:val="center"/>
                    <w:rPr>
                      <w:color w:val="000000" w:themeColor="text1"/>
                      <w:szCs w:val="21"/>
                      <w14:textFill>
                        <w14:solidFill>
                          <w14:schemeClr w14:val="tx1"/>
                        </w14:solidFill>
                      </w14:textFill>
                    </w:rPr>
                  </w:pPr>
                  <w:r>
                    <w:rPr>
                      <w:szCs w:val="21"/>
                    </w:rPr>
                    <w:t>中和剂</w:t>
                  </w:r>
                </w:p>
              </w:tc>
              <w:tc>
                <w:tcPr>
                  <w:tcW w:w="915" w:type="pct"/>
                  <w:vAlign w:val="center"/>
                </w:tcPr>
                <w:p w14:paraId="207CF378">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946" w:type="pct"/>
                  <w:vAlign w:val="center"/>
                </w:tcPr>
                <w:p w14:paraId="749507F9">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969" w:type="pct"/>
                  <w:vAlign w:val="center"/>
                </w:tcPr>
                <w:p w14:paraId="145FE34E">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369" w:type="pct"/>
                  <w:vAlign w:val="center"/>
                </w:tcPr>
                <w:p w14:paraId="3D9FE6F3">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133C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pct"/>
                  <w:vAlign w:val="center"/>
                </w:tcPr>
                <w:p w14:paraId="39FF0E3A">
                  <w:pPr>
                    <w:keepNext/>
                    <w:keepLines/>
                    <w:widowControl/>
                    <w:jc w:val="center"/>
                    <w:rPr>
                      <w:szCs w:val="21"/>
                    </w:rPr>
                  </w:pPr>
                  <w:r>
                    <w:rPr>
                      <w:rFonts w:hint="eastAsia"/>
                      <w:szCs w:val="21"/>
                    </w:rPr>
                    <w:t>水</w:t>
                  </w:r>
                </w:p>
              </w:tc>
              <w:tc>
                <w:tcPr>
                  <w:tcW w:w="915" w:type="pct"/>
                  <w:vAlign w:val="center"/>
                </w:tcPr>
                <w:p w14:paraId="08D1A6AF">
                  <w:pPr>
                    <w:keepNext/>
                    <w:keepLines/>
                    <w:widowControl/>
                    <w:jc w:val="center"/>
                    <w:rPr>
                      <w:szCs w:val="21"/>
                      <w:highlight w:val="yellow"/>
                    </w:rPr>
                  </w:pPr>
                  <w:r>
                    <w:rPr>
                      <w:rFonts w:hint="eastAsia"/>
                      <w:color w:val="000000" w:themeColor="text1"/>
                      <w:szCs w:val="21"/>
                      <w14:textFill>
                        <w14:solidFill>
                          <w14:schemeClr w14:val="tx1"/>
                        </w14:solidFill>
                      </w14:textFill>
                    </w:rPr>
                    <w:t>30122.8</w:t>
                  </w:r>
                  <w:r>
                    <w:rPr>
                      <w:rFonts w:hint="eastAsia"/>
                      <w:szCs w:val="21"/>
                    </w:rPr>
                    <w:t>t/a</w:t>
                  </w:r>
                </w:p>
              </w:tc>
              <w:tc>
                <w:tcPr>
                  <w:tcW w:w="946" w:type="pct"/>
                  <w:vAlign w:val="center"/>
                </w:tcPr>
                <w:p w14:paraId="6DF4325B">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69" w:type="pct"/>
                  <w:vAlign w:val="center"/>
                </w:tcPr>
                <w:p w14:paraId="4C3CC265">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369" w:type="pct"/>
                  <w:vAlign w:val="center"/>
                </w:tcPr>
                <w:p w14:paraId="51FA87EA">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市政供水管网</w:t>
                  </w:r>
                </w:p>
              </w:tc>
            </w:tr>
            <w:tr w14:paraId="7044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14:paraId="2445FC4A">
                  <w:pPr>
                    <w:keepNext/>
                    <w:keepLines/>
                    <w:widowControl/>
                    <w:jc w:val="center"/>
                    <w:rPr>
                      <w:szCs w:val="21"/>
                    </w:rPr>
                  </w:pPr>
                  <w:r>
                    <w:rPr>
                      <w:rFonts w:hint="eastAsia"/>
                      <w:szCs w:val="21"/>
                    </w:rPr>
                    <w:t>电</w:t>
                  </w:r>
                </w:p>
              </w:tc>
              <w:tc>
                <w:tcPr>
                  <w:tcW w:w="915" w:type="pct"/>
                  <w:vAlign w:val="center"/>
                </w:tcPr>
                <w:p w14:paraId="2BEC7B4D">
                  <w:pPr>
                    <w:keepNext/>
                    <w:keepLines/>
                    <w:widowControl/>
                    <w:jc w:val="center"/>
                    <w:rPr>
                      <w:szCs w:val="21"/>
                    </w:rPr>
                  </w:pPr>
                  <w:r>
                    <w:rPr>
                      <w:rFonts w:hint="eastAsia"/>
                      <w:szCs w:val="21"/>
                    </w:rPr>
                    <w:t>2万度/a</w:t>
                  </w:r>
                </w:p>
              </w:tc>
              <w:tc>
                <w:tcPr>
                  <w:tcW w:w="946" w:type="pct"/>
                  <w:vAlign w:val="center"/>
                </w:tcPr>
                <w:p w14:paraId="2A42F956">
                  <w:pPr>
                    <w:keepNext/>
                    <w:keepLines/>
                    <w:widowControl/>
                    <w:jc w:val="center"/>
                    <w:rPr>
                      <w:szCs w:val="21"/>
                    </w:rPr>
                  </w:pPr>
                  <w:r>
                    <w:rPr>
                      <w:rFonts w:hint="eastAsia"/>
                      <w:szCs w:val="21"/>
                    </w:rPr>
                    <w:t>/</w:t>
                  </w:r>
                </w:p>
              </w:tc>
              <w:tc>
                <w:tcPr>
                  <w:tcW w:w="969" w:type="pct"/>
                  <w:vAlign w:val="center"/>
                </w:tcPr>
                <w:p w14:paraId="66643334">
                  <w:pPr>
                    <w:keepNext/>
                    <w:keepLines/>
                    <w:widowControl/>
                    <w:jc w:val="center"/>
                    <w:rPr>
                      <w:szCs w:val="21"/>
                    </w:rPr>
                  </w:pPr>
                  <w:r>
                    <w:rPr>
                      <w:rFonts w:hint="eastAsia"/>
                      <w:szCs w:val="21"/>
                    </w:rPr>
                    <w:t>/</w:t>
                  </w:r>
                </w:p>
              </w:tc>
              <w:tc>
                <w:tcPr>
                  <w:tcW w:w="1369" w:type="pct"/>
                  <w:vAlign w:val="center"/>
                </w:tcPr>
                <w:p w14:paraId="2D0D3F5D">
                  <w:pPr>
                    <w:keepNext/>
                    <w:keepLines/>
                    <w:widowControl/>
                    <w:jc w:val="center"/>
                    <w:rPr>
                      <w:szCs w:val="21"/>
                    </w:rPr>
                  </w:pPr>
                  <w:r>
                    <w:rPr>
                      <w:rFonts w:hint="eastAsia"/>
                      <w:szCs w:val="21"/>
                    </w:rPr>
                    <w:t>市政供电网</w:t>
                  </w:r>
                </w:p>
              </w:tc>
            </w:tr>
            <w:tr w14:paraId="45AF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Align w:val="center"/>
                </w:tcPr>
                <w:p w14:paraId="120A510E">
                  <w:pPr>
                    <w:keepNext/>
                    <w:keepLines/>
                    <w:widowControl/>
                    <w:rPr>
                      <w:szCs w:val="21"/>
                    </w:rPr>
                  </w:pPr>
                  <w:r>
                    <w:rPr>
                      <w:color w:val="000000" w:themeColor="text1"/>
                      <w:szCs w:val="21"/>
                      <w14:textFill>
                        <w14:solidFill>
                          <w14:schemeClr w14:val="tx1"/>
                        </w14:solidFill>
                      </w14:textFill>
                    </w:rPr>
                    <w:t>生物质颗粒</w:t>
                  </w:r>
                </w:p>
              </w:tc>
              <w:tc>
                <w:tcPr>
                  <w:tcW w:w="915" w:type="pct"/>
                  <w:vAlign w:val="center"/>
                </w:tcPr>
                <w:p w14:paraId="30D44374">
                  <w:pPr>
                    <w:keepNext/>
                    <w:keepLines/>
                    <w:widowControl/>
                    <w:jc w:val="center"/>
                    <w:rPr>
                      <w:szCs w:val="21"/>
                    </w:rPr>
                  </w:pPr>
                  <w:r>
                    <w:rPr>
                      <w:rFonts w:hint="eastAsia"/>
                      <w:szCs w:val="21"/>
                    </w:rPr>
                    <w:t>564t/a</w:t>
                  </w:r>
                </w:p>
              </w:tc>
              <w:tc>
                <w:tcPr>
                  <w:tcW w:w="946" w:type="pct"/>
                  <w:vAlign w:val="center"/>
                </w:tcPr>
                <w:p w14:paraId="5A2C89E9">
                  <w:pPr>
                    <w:keepNext/>
                    <w:keepLines/>
                    <w:widowControl/>
                    <w:jc w:val="center"/>
                    <w:rPr>
                      <w:szCs w:val="21"/>
                    </w:rPr>
                  </w:pPr>
                  <w:r>
                    <w:rPr>
                      <w:rFonts w:hint="eastAsia"/>
                      <w:szCs w:val="21"/>
                    </w:rPr>
                    <w:t>50t</w:t>
                  </w:r>
                </w:p>
              </w:tc>
              <w:tc>
                <w:tcPr>
                  <w:tcW w:w="969" w:type="pct"/>
                  <w:vAlign w:val="center"/>
                </w:tcPr>
                <w:p w14:paraId="79B3A880">
                  <w:pPr>
                    <w:keepNext/>
                    <w:keepLines/>
                    <w:widowControl/>
                    <w:jc w:val="center"/>
                    <w:rPr>
                      <w:szCs w:val="21"/>
                    </w:rPr>
                  </w:pPr>
                  <w:r>
                    <w:rPr>
                      <w:rFonts w:hint="eastAsia"/>
                      <w:szCs w:val="21"/>
                    </w:rPr>
                    <w:t>固态，500kg/包</w:t>
                  </w:r>
                </w:p>
              </w:tc>
              <w:tc>
                <w:tcPr>
                  <w:tcW w:w="1369" w:type="pct"/>
                  <w:vAlign w:val="center"/>
                </w:tcPr>
                <w:p w14:paraId="7C54362D">
                  <w:pPr>
                    <w:keepNext/>
                    <w:keepLines/>
                    <w:widowControl/>
                    <w:jc w:val="center"/>
                    <w:rPr>
                      <w:szCs w:val="21"/>
                    </w:rPr>
                  </w:pPr>
                  <w:r>
                    <w:rPr>
                      <w:color w:val="000000" w:themeColor="text1"/>
                      <w:szCs w:val="21"/>
                      <w14:textFill>
                        <w14:solidFill>
                          <w14:schemeClr w14:val="tx1"/>
                        </w14:solidFill>
                      </w14:textFill>
                    </w:rPr>
                    <w:t>燃料耗量为</w:t>
                  </w:r>
                  <w:r>
                    <w:rPr>
                      <w:rFonts w:hint="eastAsia"/>
                      <w:color w:val="000000" w:themeColor="text1"/>
                      <w:szCs w:val="21"/>
                      <w14:textFill>
                        <w14:solidFill>
                          <w14:schemeClr w14:val="tx1"/>
                        </w14:solidFill>
                      </w14:textFill>
                    </w:rPr>
                    <w:t>235</w:t>
                  </w:r>
                  <w:r>
                    <w:rPr>
                      <w:color w:val="000000" w:themeColor="text1"/>
                      <w:szCs w:val="21"/>
                      <w14:textFill>
                        <w14:solidFill>
                          <w14:schemeClr w14:val="tx1"/>
                        </w14:solidFill>
                      </w14:textFill>
                    </w:rPr>
                    <w:t>kg/h，成型燃料，参照《生物质固体成型燃料质量分级》（NY/T209-2016）表7中B3级标准为最低标准购置</w:t>
                  </w:r>
                </w:p>
              </w:tc>
            </w:tr>
          </w:tbl>
          <w:p w14:paraId="70B57F0A">
            <w:pPr>
              <w:keepNext/>
              <w:keepLines/>
              <w:widowControl/>
              <w:spacing w:line="360" w:lineRule="auto"/>
              <w:rPr>
                <w:b/>
                <w:bCs/>
                <w:szCs w:val="21"/>
              </w:rPr>
            </w:pPr>
          </w:p>
          <w:p w14:paraId="1687C352"/>
          <w:p w14:paraId="107BEF8F"/>
          <w:p w14:paraId="52DFB538">
            <w:pPr>
              <w:jc w:val="center"/>
              <w:rPr>
                <w:b/>
                <w:bCs/>
                <w:sz w:val="24"/>
              </w:rPr>
            </w:pPr>
            <w:r>
              <w:rPr>
                <w:rFonts w:hint="eastAsia"/>
                <w:b/>
                <w:bCs/>
                <w:sz w:val="24"/>
              </w:rPr>
              <w:t>表</w:t>
            </w:r>
            <w:r>
              <w:rPr>
                <w:b/>
                <w:bCs/>
                <w:sz w:val="24"/>
              </w:rPr>
              <w:t>2-</w:t>
            </w:r>
            <w:r>
              <w:rPr>
                <w:rFonts w:hint="eastAsia"/>
                <w:b/>
                <w:bCs/>
                <w:sz w:val="24"/>
              </w:rPr>
              <w:t>5</w:t>
            </w:r>
            <w:r>
              <w:rPr>
                <w:b/>
                <w:bCs/>
                <w:sz w:val="24"/>
              </w:rPr>
              <w:t xml:space="preserve"> 原辅材料理化性质一览表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154"/>
              <w:gridCol w:w="6318"/>
            </w:tblGrid>
            <w:tr w14:paraId="219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0B593BA5">
                  <w:pPr>
                    <w:pStyle w:val="2"/>
                    <w:ind w:left="0" w:leftChars="0" w:firstLine="0" w:firstLineChars="0"/>
                    <w:jc w:val="center"/>
                    <w:rPr>
                      <w:b/>
                      <w:bCs/>
                      <w:sz w:val="21"/>
                      <w:szCs w:val="21"/>
                    </w:rPr>
                  </w:pPr>
                  <w:r>
                    <w:rPr>
                      <w:rFonts w:hint="eastAsia"/>
                      <w:b/>
                      <w:bCs/>
                      <w:sz w:val="21"/>
                      <w:szCs w:val="21"/>
                    </w:rPr>
                    <w:t>序号</w:t>
                  </w:r>
                </w:p>
              </w:tc>
              <w:tc>
                <w:tcPr>
                  <w:tcW w:w="1242" w:type="dxa"/>
                  <w:vAlign w:val="center"/>
                </w:tcPr>
                <w:p w14:paraId="7951EC99">
                  <w:pPr>
                    <w:pStyle w:val="2"/>
                    <w:ind w:left="0" w:leftChars="0" w:firstLine="0" w:firstLineChars="0"/>
                    <w:jc w:val="center"/>
                    <w:rPr>
                      <w:b/>
                      <w:bCs/>
                      <w:sz w:val="21"/>
                      <w:szCs w:val="21"/>
                    </w:rPr>
                  </w:pPr>
                  <w:r>
                    <w:rPr>
                      <w:rFonts w:hint="eastAsia"/>
                      <w:b/>
                      <w:bCs/>
                      <w:sz w:val="21"/>
                      <w:szCs w:val="21"/>
                    </w:rPr>
                    <w:t>名称</w:t>
                  </w:r>
                </w:p>
              </w:tc>
              <w:tc>
                <w:tcPr>
                  <w:tcW w:w="6975" w:type="dxa"/>
                  <w:vAlign w:val="center"/>
                </w:tcPr>
                <w:p w14:paraId="56EEAA9C">
                  <w:pPr>
                    <w:pStyle w:val="2"/>
                    <w:ind w:left="0" w:leftChars="0" w:firstLine="0" w:firstLineChars="0"/>
                    <w:jc w:val="center"/>
                    <w:rPr>
                      <w:b/>
                      <w:bCs/>
                      <w:sz w:val="21"/>
                      <w:szCs w:val="21"/>
                    </w:rPr>
                  </w:pPr>
                  <w:r>
                    <w:rPr>
                      <w:rFonts w:hint="eastAsia"/>
                      <w:b/>
                      <w:bCs/>
                      <w:sz w:val="21"/>
                      <w:szCs w:val="21"/>
                    </w:rPr>
                    <w:t>理化性质</w:t>
                  </w:r>
                </w:p>
              </w:tc>
            </w:tr>
            <w:tr w14:paraId="673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5AFADA89">
                  <w:pPr>
                    <w:pStyle w:val="2"/>
                    <w:ind w:left="0" w:leftChars="0" w:firstLine="0" w:firstLineChars="0"/>
                    <w:jc w:val="center"/>
                    <w:rPr>
                      <w:sz w:val="21"/>
                      <w:szCs w:val="21"/>
                    </w:rPr>
                  </w:pPr>
                  <w:r>
                    <w:rPr>
                      <w:rFonts w:hint="eastAsia"/>
                      <w:sz w:val="21"/>
                      <w:szCs w:val="21"/>
                    </w:rPr>
                    <w:t>1</w:t>
                  </w:r>
                </w:p>
              </w:tc>
              <w:tc>
                <w:tcPr>
                  <w:tcW w:w="1242" w:type="dxa"/>
                  <w:vAlign w:val="center"/>
                </w:tcPr>
                <w:p w14:paraId="649EAC42">
                  <w:pPr>
                    <w:pStyle w:val="2"/>
                    <w:spacing w:line="240" w:lineRule="auto"/>
                    <w:ind w:left="0" w:leftChars="0" w:firstLine="0" w:firstLineChars="0"/>
                    <w:jc w:val="center"/>
                    <w:rPr>
                      <w:sz w:val="21"/>
                      <w:szCs w:val="21"/>
                    </w:rPr>
                  </w:pPr>
                  <w:r>
                    <w:rPr>
                      <w:rFonts w:hint="eastAsia"/>
                      <w:sz w:val="21"/>
                      <w:szCs w:val="21"/>
                    </w:rPr>
                    <w:t>洗衣粉</w:t>
                  </w:r>
                </w:p>
              </w:tc>
              <w:tc>
                <w:tcPr>
                  <w:tcW w:w="6975" w:type="dxa"/>
                  <w:vAlign w:val="center"/>
                </w:tcPr>
                <w:p w14:paraId="36434ECC">
                  <w:pPr>
                    <w:pStyle w:val="2"/>
                    <w:spacing w:line="240" w:lineRule="auto"/>
                    <w:ind w:left="0" w:leftChars="0" w:firstLine="0" w:firstLineChars="0"/>
                    <w:rPr>
                      <w:sz w:val="21"/>
                      <w:szCs w:val="21"/>
                    </w:rPr>
                  </w:pPr>
                  <w:r>
                    <w:rPr>
                      <w:sz w:val="21"/>
                      <w:szCs w:val="21"/>
                    </w:rPr>
                    <w:t>要成分有用离子表面活性剂、少量非离子表面活性剂，再加些助剂，硅酸盐、元明粉、荧光剂、酌等，经混合、喷粉等工艺制成。洗涤过程添加洗衣粉后将产生少量表面活性剂、悬浮颗粒，使水体COD、LAS、SS含量增高。</w:t>
                  </w:r>
                </w:p>
              </w:tc>
            </w:tr>
            <w:tr w14:paraId="7539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79635D74">
                  <w:pPr>
                    <w:pStyle w:val="2"/>
                    <w:ind w:left="0" w:leftChars="0" w:firstLine="0" w:firstLineChars="0"/>
                    <w:jc w:val="center"/>
                    <w:rPr>
                      <w:sz w:val="21"/>
                      <w:szCs w:val="21"/>
                    </w:rPr>
                  </w:pPr>
                  <w:r>
                    <w:rPr>
                      <w:rFonts w:hint="eastAsia"/>
                      <w:sz w:val="21"/>
                      <w:szCs w:val="21"/>
                    </w:rPr>
                    <w:t>2</w:t>
                  </w:r>
                </w:p>
              </w:tc>
              <w:tc>
                <w:tcPr>
                  <w:tcW w:w="1242" w:type="dxa"/>
                  <w:vAlign w:val="center"/>
                </w:tcPr>
                <w:p w14:paraId="740528A5">
                  <w:pPr>
                    <w:pStyle w:val="2"/>
                    <w:spacing w:line="240" w:lineRule="auto"/>
                    <w:ind w:left="0" w:leftChars="0" w:firstLine="0" w:firstLineChars="0"/>
                    <w:jc w:val="center"/>
                    <w:rPr>
                      <w:sz w:val="21"/>
                      <w:szCs w:val="21"/>
                    </w:rPr>
                  </w:pPr>
                  <w:r>
                    <w:rPr>
                      <w:sz w:val="21"/>
                      <w:szCs w:val="21"/>
                    </w:rPr>
                    <w:t>彩漂</w:t>
                  </w:r>
                  <w:r>
                    <w:rPr>
                      <w:rFonts w:hint="eastAsia"/>
                      <w:sz w:val="21"/>
                      <w:szCs w:val="21"/>
                    </w:rPr>
                    <w:t>粉</w:t>
                  </w:r>
                </w:p>
              </w:tc>
              <w:tc>
                <w:tcPr>
                  <w:tcW w:w="6975" w:type="dxa"/>
                  <w:vAlign w:val="center"/>
                </w:tcPr>
                <w:p w14:paraId="04F52560">
                  <w:pPr>
                    <w:pStyle w:val="2"/>
                    <w:spacing w:line="240" w:lineRule="auto"/>
                    <w:ind w:left="0" w:leftChars="0" w:firstLine="0" w:firstLineChars="0"/>
                    <w:jc w:val="center"/>
                    <w:rPr>
                      <w:sz w:val="21"/>
                      <w:szCs w:val="21"/>
                    </w:rPr>
                  </w:pPr>
                  <w:r>
                    <w:rPr>
                      <w:sz w:val="21"/>
                      <w:szCs w:val="21"/>
                    </w:rPr>
                    <w:t>彩漂粉是释氧型漂白剂，溶于水后能生成过氧化氢，是氧漂的一种，它对织 物的漂白较温和，一般不会损伤织物，可令白色或有色织物漂白后色泽更亮 丽。常用的含氧漂白剂主要是双氧水和彩漂粉，有较好的漂白作用和杀菌作 用。氧漂是通过在水溶液中经过羟离子游离出活性氧而产生漂白作用，在常 温下，它的漂白速度比较缓慢，为了提高洗涤速率，一般在高温条件下进行 漂白，既提高了漂白速度，也增加了织物的去污力和白度</w:t>
                  </w:r>
                </w:p>
              </w:tc>
            </w:tr>
            <w:tr w14:paraId="4805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01E74340">
                  <w:pPr>
                    <w:pStyle w:val="2"/>
                    <w:ind w:left="0" w:leftChars="0" w:firstLine="0" w:firstLineChars="0"/>
                    <w:jc w:val="center"/>
                    <w:rPr>
                      <w:sz w:val="21"/>
                      <w:szCs w:val="21"/>
                    </w:rPr>
                  </w:pPr>
                  <w:r>
                    <w:rPr>
                      <w:rFonts w:hint="eastAsia"/>
                      <w:sz w:val="21"/>
                      <w:szCs w:val="21"/>
                    </w:rPr>
                    <w:t>3</w:t>
                  </w:r>
                </w:p>
              </w:tc>
              <w:tc>
                <w:tcPr>
                  <w:tcW w:w="1242" w:type="dxa"/>
                  <w:vAlign w:val="center"/>
                </w:tcPr>
                <w:p w14:paraId="200B9D15">
                  <w:pPr>
                    <w:pStyle w:val="2"/>
                    <w:spacing w:line="240" w:lineRule="auto"/>
                    <w:ind w:left="0" w:leftChars="0" w:firstLine="0" w:firstLineChars="0"/>
                    <w:jc w:val="center"/>
                    <w:rPr>
                      <w:sz w:val="21"/>
                      <w:szCs w:val="21"/>
                    </w:rPr>
                  </w:pPr>
                  <w:r>
                    <w:rPr>
                      <w:rFonts w:hint="eastAsia"/>
                      <w:sz w:val="21"/>
                      <w:szCs w:val="21"/>
                    </w:rPr>
                    <w:t>中和剂</w:t>
                  </w:r>
                </w:p>
              </w:tc>
              <w:tc>
                <w:tcPr>
                  <w:tcW w:w="6975" w:type="dxa"/>
                  <w:vAlign w:val="center"/>
                </w:tcPr>
                <w:p w14:paraId="7895F642">
                  <w:pPr>
                    <w:pStyle w:val="2"/>
                    <w:spacing w:line="240" w:lineRule="auto"/>
                    <w:ind w:left="0" w:leftChars="0" w:firstLine="0" w:firstLineChars="0"/>
                    <w:jc w:val="center"/>
                    <w:rPr>
                      <w:sz w:val="21"/>
                      <w:szCs w:val="21"/>
                    </w:rPr>
                  </w:pPr>
                  <w:r>
                    <w:rPr>
                      <w:sz w:val="21"/>
                      <w:szCs w:val="21"/>
                    </w:rPr>
                    <w:t>主要成分为酸式钠盐和荧光成分，无毒性，能中和布草中残余的碱，有效除 去布草漂洗过程中的气味和吸附在布草上的沉积物等，调整织物pH值，防治织物发黄发灰，有利于改善上浆和柔软效果，使布草更洁白、鲜艳、耐用。</w:t>
                  </w:r>
                </w:p>
              </w:tc>
            </w:tr>
          </w:tbl>
          <w:p w14:paraId="66CEC103">
            <w:pPr>
              <w:pStyle w:val="2"/>
              <w:ind w:left="0" w:leftChars="0" w:firstLine="0" w:firstLineChars="0"/>
            </w:pPr>
          </w:p>
          <w:p w14:paraId="3BFABACB">
            <w:pPr>
              <w:keepNext/>
              <w:keepLines/>
              <w:widowControl/>
              <w:spacing w:line="360" w:lineRule="auto"/>
              <w:rPr>
                <w:b/>
                <w:bCs/>
                <w:sz w:val="24"/>
              </w:rPr>
            </w:pPr>
            <w:r>
              <w:rPr>
                <w:rFonts w:hint="eastAsia"/>
                <w:b/>
                <w:bCs/>
                <w:sz w:val="24"/>
              </w:rPr>
              <w:t>5、公用工程</w:t>
            </w:r>
          </w:p>
          <w:p w14:paraId="1CDCD21E">
            <w:pPr>
              <w:keepNext/>
              <w:keepLines/>
              <w:widowControl/>
              <w:spacing w:line="360" w:lineRule="auto"/>
              <w:ind w:firstLine="480" w:firstLineChars="200"/>
              <w:rPr>
                <w:sz w:val="24"/>
              </w:rPr>
            </w:pPr>
            <w:r>
              <w:rPr>
                <w:rFonts w:hint="eastAsia"/>
                <w:sz w:val="24"/>
              </w:rPr>
              <w:t>（1）给水：</w:t>
            </w:r>
            <w:r>
              <w:rPr>
                <w:sz w:val="24"/>
              </w:rPr>
              <w:t xml:space="preserve"> </w:t>
            </w:r>
          </w:p>
          <w:p w14:paraId="42FFB9C5">
            <w:pPr>
              <w:pStyle w:val="2"/>
              <w:spacing w:after="0"/>
              <w:ind w:left="0" w:leftChars="0" w:firstLine="480"/>
              <w:rPr>
                <w:szCs w:val="24"/>
              </w:rPr>
            </w:pPr>
            <w:r>
              <w:rPr>
                <w:szCs w:val="24"/>
              </w:rPr>
              <w:t>本项目用水来源为当地市政自来水管网供给，项目主要用水为生活用水和蒸汽</w:t>
            </w:r>
            <w:r>
              <w:rPr>
                <w:rFonts w:hint="eastAsia"/>
                <w:szCs w:val="24"/>
              </w:rPr>
              <w:t>发生器</w:t>
            </w:r>
            <w:r>
              <w:rPr>
                <w:szCs w:val="24"/>
              </w:rPr>
              <w:t>用水</w:t>
            </w:r>
            <w:r>
              <w:rPr>
                <w:rFonts w:hint="eastAsia"/>
                <w:szCs w:val="24"/>
              </w:rPr>
              <w:t>、喷淋用水及布草洗涤用水。</w:t>
            </w:r>
          </w:p>
          <w:p w14:paraId="1DA23CD8">
            <w:pPr>
              <w:pStyle w:val="2"/>
              <w:spacing w:after="0"/>
              <w:ind w:left="0" w:leftChars="0" w:firstLine="480"/>
              <w:rPr>
                <w:szCs w:val="24"/>
              </w:rPr>
            </w:pPr>
            <w:r>
              <w:rPr>
                <w:szCs w:val="24"/>
              </w:rPr>
              <w:t xml:space="preserve">1）生活用水： </w:t>
            </w:r>
          </w:p>
          <w:p w14:paraId="14DED7D8">
            <w:pPr>
              <w:pStyle w:val="2"/>
              <w:spacing w:after="0"/>
              <w:ind w:left="0" w:leftChars="0" w:firstLine="480"/>
              <w:rPr>
                <w:szCs w:val="24"/>
              </w:rPr>
            </w:pPr>
            <w:r>
              <w:rPr>
                <w:szCs w:val="24"/>
              </w:rPr>
              <w:t>本项目人员定额为</w:t>
            </w:r>
            <w:r>
              <w:rPr>
                <w:rFonts w:hint="eastAsia"/>
                <w:szCs w:val="24"/>
              </w:rPr>
              <w:t>1</w:t>
            </w:r>
            <w:r>
              <w:rPr>
                <w:szCs w:val="24"/>
              </w:rPr>
              <w:t>0人且不涉及住宿， 根据《湖南省地方标准用水定额》（DB43/T388-2020）中相关参数，用水量按50L/人•d计；项目年运营3</w:t>
            </w:r>
            <w:r>
              <w:rPr>
                <w:rFonts w:hint="eastAsia"/>
                <w:szCs w:val="24"/>
              </w:rPr>
              <w:t>00</w:t>
            </w:r>
            <w:r>
              <w:rPr>
                <w:szCs w:val="24"/>
              </w:rPr>
              <w:t>天，则生活用水量为</w:t>
            </w:r>
            <w:r>
              <w:rPr>
                <w:rFonts w:hint="eastAsia"/>
                <w:szCs w:val="24"/>
              </w:rPr>
              <w:t>0.5</w:t>
            </w:r>
            <w:r>
              <w:rPr>
                <w:szCs w:val="24"/>
              </w:rPr>
              <w:t>m</w:t>
            </w:r>
            <w:r>
              <w:rPr>
                <w:szCs w:val="24"/>
                <w:vertAlign w:val="superscript"/>
              </w:rPr>
              <w:t>3</w:t>
            </w:r>
            <w:r>
              <w:rPr>
                <w:szCs w:val="24"/>
              </w:rPr>
              <w:t>/d、</w:t>
            </w:r>
            <w:r>
              <w:rPr>
                <w:rFonts w:hint="eastAsia"/>
                <w:szCs w:val="24"/>
              </w:rPr>
              <w:t>150</w:t>
            </w:r>
            <w:r>
              <w:rPr>
                <w:szCs w:val="24"/>
              </w:rPr>
              <w:t>m</w:t>
            </w:r>
            <w:r>
              <w:rPr>
                <w:szCs w:val="24"/>
                <w:vertAlign w:val="superscript"/>
              </w:rPr>
              <w:t>3</w:t>
            </w:r>
            <w:r>
              <w:rPr>
                <w:szCs w:val="24"/>
              </w:rPr>
              <w:t xml:space="preserve">/a。 </w:t>
            </w:r>
          </w:p>
          <w:p w14:paraId="6F4B7F04">
            <w:pPr>
              <w:pStyle w:val="2"/>
              <w:spacing w:after="0"/>
              <w:ind w:left="0" w:leftChars="0" w:firstLine="480"/>
              <w:rPr>
                <w:szCs w:val="24"/>
              </w:rPr>
            </w:pPr>
            <w:r>
              <w:rPr>
                <w:szCs w:val="24"/>
              </w:rPr>
              <w:t xml:space="preserve">2）生产用水 </w:t>
            </w:r>
          </w:p>
          <w:p w14:paraId="4E75807F">
            <w:pPr>
              <w:pStyle w:val="2"/>
              <w:spacing w:after="0"/>
              <w:ind w:left="0" w:leftChars="0" w:firstLine="480"/>
              <w:rPr>
                <w:szCs w:val="24"/>
              </w:rPr>
            </w:pPr>
            <w:r>
              <w:rPr>
                <w:rFonts w:hint="eastAsia" w:ascii="宋体" w:hAnsi="宋体" w:cs="Cambria Math"/>
                <w:szCs w:val="24"/>
              </w:rPr>
              <w:t>①</w:t>
            </w:r>
            <w:r>
              <w:rPr>
                <w:szCs w:val="24"/>
              </w:rPr>
              <w:t>锅炉用水：</w:t>
            </w:r>
          </w:p>
          <w:p w14:paraId="04A51368">
            <w:pPr>
              <w:pStyle w:val="2"/>
              <w:spacing w:after="0"/>
              <w:ind w:left="0" w:leftChars="0" w:firstLine="480"/>
              <w:rPr>
                <w:szCs w:val="24"/>
              </w:rPr>
            </w:pPr>
            <w:r>
              <w:rPr>
                <w:szCs w:val="24"/>
              </w:rPr>
              <w:t>项目拟配备1台</w:t>
            </w:r>
            <w:r>
              <w:rPr>
                <w:rFonts w:hint="eastAsia"/>
                <w:szCs w:val="24"/>
              </w:rPr>
              <w:t>1.5</w:t>
            </w:r>
            <w:r>
              <w:rPr>
                <w:szCs w:val="24"/>
              </w:rPr>
              <w:t>t/h的蒸汽</w:t>
            </w:r>
            <w:r>
              <w:rPr>
                <w:rFonts w:hint="eastAsia"/>
                <w:szCs w:val="24"/>
              </w:rPr>
              <w:t>发生器</w:t>
            </w:r>
            <w:r>
              <w:rPr>
                <w:szCs w:val="24"/>
              </w:rPr>
              <w:t>提供蒸汽，蒸汽</w:t>
            </w:r>
            <w:r>
              <w:rPr>
                <w:rFonts w:hint="eastAsia"/>
                <w:szCs w:val="24"/>
              </w:rPr>
              <w:t>发生器</w:t>
            </w:r>
            <w:r>
              <w:rPr>
                <w:szCs w:val="24"/>
              </w:rPr>
              <w:t>自带软化水设备，锅炉负荷</w:t>
            </w:r>
            <w:r>
              <w:rPr>
                <w:rFonts w:hint="eastAsia"/>
                <w:szCs w:val="24"/>
              </w:rPr>
              <w:t>1.5</w:t>
            </w:r>
            <w:r>
              <w:rPr>
                <w:szCs w:val="24"/>
              </w:rPr>
              <w:t>t/h，年运行约</w:t>
            </w:r>
            <w:r>
              <w:rPr>
                <w:rFonts w:hint="eastAsia"/>
                <w:szCs w:val="24"/>
              </w:rPr>
              <w:t>240</w:t>
            </w:r>
            <w:r>
              <w:rPr>
                <w:szCs w:val="24"/>
              </w:rPr>
              <w:t>0h，产蒸汽量约为</w:t>
            </w:r>
            <w:r>
              <w:rPr>
                <w:rFonts w:hint="eastAsia"/>
                <w:szCs w:val="24"/>
              </w:rPr>
              <w:t>36</w:t>
            </w:r>
            <w:r>
              <w:rPr>
                <w:szCs w:val="24"/>
              </w:rPr>
              <w:t>00t/a，主要为</w:t>
            </w:r>
            <w:r>
              <w:rPr>
                <w:rFonts w:hint="eastAsia"/>
                <w:szCs w:val="24"/>
              </w:rPr>
              <w:t>蒸汽洗涤</w:t>
            </w:r>
            <w:r>
              <w:rPr>
                <w:szCs w:val="24"/>
              </w:rPr>
              <w:t>工艺流程提供蒸汽，锅炉产生的蒸汽全部进入生产线消耗。</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《排放源统计调查产排污核算方法和系数手册（工业锅炉（热力供应）行业系数手册）》（2021年）生物质燃料锅炉（锅外水处理）产污系数为0.</w:t>
            </w:r>
            <w:r>
              <w:rPr>
                <w:rFonts w:hint="eastAsia"/>
                <w:color w:val="000000" w:themeColor="text1"/>
                <w14:textFill>
                  <w14:solidFill>
                    <w14:schemeClr w14:val="tx1"/>
                  </w14:solidFill>
                </w14:textFill>
              </w:rPr>
              <w:t>356</w:t>
            </w:r>
            <w:r>
              <w:rPr>
                <w:color w:val="000000" w:themeColor="text1"/>
                <w14:textFill>
                  <w14:solidFill>
                    <w14:schemeClr w14:val="tx1"/>
                  </w14:solidFill>
                </w14:textFill>
              </w:rPr>
              <w:t>吨/吨-原料（锅炉排污水十软化处理废水），</w:t>
            </w:r>
            <w:r>
              <w:rPr>
                <w:rFonts w:hint="eastAsia"/>
                <w:color w:val="000000" w:themeColor="text1"/>
                <w14:textFill>
                  <w14:solidFill>
                    <w14:schemeClr w14:val="tx1"/>
                  </w14:solidFill>
                </w14:textFill>
              </w:rPr>
              <w:t>项目使用颗粒物为564t/a，</w:t>
            </w:r>
            <w:r>
              <w:rPr>
                <w:color w:val="000000" w:themeColor="text1"/>
                <w14:textFill>
                  <w14:solidFill>
                    <w14:schemeClr w14:val="tx1"/>
                  </w14:solidFill>
                </w14:textFill>
              </w:rPr>
              <w:t>则锅炉排污水十软化处理废水量为</w:t>
            </w:r>
            <w:r>
              <w:rPr>
                <w:rFonts w:hint="eastAsia"/>
                <w:color w:val="000000" w:themeColor="text1"/>
                <w14:textFill>
                  <w14:solidFill>
                    <w14:schemeClr w14:val="tx1"/>
                  </w14:solidFill>
                </w14:textFill>
              </w:rPr>
              <w:t>0.669</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200.8</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p>
          <w:p w14:paraId="4809F3FF">
            <w:pPr>
              <w:spacing w:line="480" w:lineRule="exact"/>
              <w:ind w:firstLine="480" w:firstLineChars="200"/>
              <w:jc w:val="left"/>
              <w:rPr>
                <w:sz w:val="24"/>
              </w:rPr>
            </w:pPr>
            <w:r>
              <w:rPr>
                <w:sz w:val="24"/>
              </w:rPr>
              <w:t>根据建设方提供的资料，在洗衣机内</w:t>
            </w:r>
            <w:r>
              <w:rPr>
                <w:rFonts w:hint="eastAsia"/>
                <w:sz w:val="24"/>
              </w:rPr>
              <w:t>洗涤</w:t>
            </w:r>
            <w:r>
              <w:rPr>
                <w:sz w:val="24"/>
              </w:rPr>
              <w:t>时需通入蒸汽对酒店布草进行加热消毒，将水温加热到60℃</w:t>
            </w:r>
            <w:r>
              <w:rPr>
                <w:rFonts w:hint="eastAsia"/>
                <w:sz w:val="24"/>
              </w:rPr>
              <w:t>，</w:t>
            </w:r>
            <w:r>
              <w:rPr>
                <w:sz w:val="24"/>
              </w:rPr>
              <w:t>这部分蒸汽约占蒸汽</w:t>
            </w:r>
            <w:r>
              <w:rPr>
                <w:rFonts w:hint="eastAsia"/>
                <w:sz w:val="24"/>
              </w:rPr>
              <w:t>总</w:t>
            </w:r>
            <w:r>
              <w:rPr>
                <w:sz w:val="24"/>
              </w:rPr>
              <w:t>量的</w:t>
            </w:r>
            <w:r>
              <w:rPr>
                <w:rFonts w:hint="eastAsia"/>
                <w:sz w:val="24"/>
              </w:rPr>
              <w:t>4</w:t>
            </w:r>
            <w:r>
              <w:rPr>
                <w:sz w:val="24"/>
              </w:rPr>
              <w:t>0%，并在洗衣机内以凝结水形式参与洗涤</w:t>
            </w:r>
            <w:r>
              <w:rPr>
                <w:rFonts w:hint="eastAsia"/>
                <w:sz w:val="24"/>
              </w:rPr>
              <w:t>，进入洗涤</w:t>
            </w:r>
            <w:r>
              <w:rPr>
                <w:sz w:val="24"/>
              </w:rPr>
              <w:t>水量为</w:t>
            </w:r>
            <w:r>
              <w:rPr>
                <w:rFonts w:hint="eastAsia"/>
                <w:sz w:val="24"/>
              </w:rPr>
              <w:t>4.</w:t>
            </w:r>
            <w:r>
              <w:rPr>
                <w:sz w:val="24"/>
              </w:rPr>
              <w:t>8m</w:t>
            </w:r>
            <w:r>
              <w:rPr>
                <w:sz w:val="24"/>
                <w:vertAlign w:val="superscript"/>
              </w:rPr>
              <w:t>3</w:t>
            </w:r>
            <w:r>
              <w:rPr>
                <w:sz w:val="24"/>
              </w:rPr>
              <w:t>/d，</w:t>
            </w:r>
            <w:r>
              <w:rPr>
                <w:rFonts w:hint="eastAsia"/>
                <w:sz w:val="24"/>
              </w:rPr>
              <w:t>1440</w:t>
            </w:r>
            <w:r>
              <w:rPr>
                <w:sz w:val="24"/>
              </w:rPr>
              <w:t>m</w:t>
            </w:r>
            <w:r>
              <w:rPr>
                <w:sz w:val="24"/>
                <w:vertAlign w:val="superscript"/>
              </w:rPr>
              <w:t>3</w:t>
            </w:r>
            <w:r>
              <w:rPr>
                <w:sz w:val="24"/>
              </w:rPr>
              <w:t>/a</w:t>
            </w:r>
            <w:r>
              <w:rPr>
                <w:rFonts w:hint="eastAsia"/>
                <w:sz w:val="24"/>
              </w:rPr>
              <w:t>；剩余60%的蒸汽进入熨烫烘干工序，其中</w:t>
            </w:r>
            <w:r>
              <w:rPr>
                <w:sz w:val="24"/>
              </w:rPr>
              <w:t>蒸汽约有</w:t>
            </w:r>
            <w:r>
              <w:rPr>
                <w:rFonts w:hint="eastAsia"/>
                <w:sz w:val="24"/>
              </w:rPr>
              <w:t>5</w:t>
            </w:r>
            <w:r>
              <w:rPr>
                <w:sz w:val="24"/>
              </w:rPr>
              <w:t>5%进入到蒸汽回收装置循环使用， 5%的蒸汽在熨烫过程中损耗，则回用水量为</w:t>
            </w:r>
            <w:r>
              <w:rPr>
                <w:rFonts w:hint="eastAsia"/>
                <w:sz w:val="24"/>
              </w:rPr>
              <w:t>6.6</w:t>
            </w:r>
            <w:r>
              <w:rPr>
                <w:sz w:val="24"/>
              </w:rPr>
              <w:t>m</w:t>
            </w:r>
            <w:r>
              <w:rPr>
                <w:sz w:val="24"/>
                <w:vertAlign w:val="superscript"/>
              </w:rPr>
              <w:t>3</w:t>
            </w:r>
            <w:r>
              <w:rPr>
                <w:sz w:val="24"/>
              </w:rPr>
              <w:t>/d，</w:t>
            </w:r>
            <w:r>
              <w:rPr>
                <w:rFonts w:hint="eastAsia"/>
                <w:sz w:val="24"/>
              </w:rPr>
              <w:t>19</w:t>
            </w:r>
            <w:r>
              <w:rPr>
                <w:sz w:val="24"/>
              </w:rPr>
              <w:t>80m</w:t>
            </w:r>
            <w:r>
              <w:rPr>
                <w:sz w:val="24"/>
                <w:vertAlign w:val="superscript"/>
              </w:rPr>
              <w:t>3</w:t>
            </w:r>
            <w:r>
              <w:rPr>
                <w:sz w:val="24"/>
              </w:rPr>
              <w:t xml:space="preserve">/a，损耗量为 </w:t>
            </w:r>
            <w:r>
              <w:rPr>
                <w:rFonts w:hint="eastAsia"/>
                <w:sz w:val="24"/>
              </w:rPr>
              <w:t>0.6</w:t>
            </w:r>
            <w:r>
              <w:rPr>
                <w:sz w:val="24"/>
              </w:rPr>
              <w:t>m</w:t>
            </w:r>
            <w:r>
              <w:rPr>
                <w:sz w:val="24"/>
                <w:vertAlign w:val="superscript"/>
              </w:rPr>
              <w:t>3</w:t>
            </w:r>
            <w:r>
              <w:rPr>
                <w:sz w:val="24"/>
              </w:rPr>
              <w:t>/d，</w:t>
            </w:r>
            <w:r>
              <w:rPr>
                <w:rFonts w:hint="eastAsia"/>
                <w:sz w:val="24"/>
              </w:rPr>
              <w:t>180</w:t>
            </w:r>
            <w:r>
              <w:rPr>
                <w:sz w:val="24"/>
              </w:rPr>
              <w:t>m</w:t>
            </w:r>
            <w:r>
              <w:rPr>
                <w:sz w:val="24"/>
                <w:vertAlign w:val="superscript"/>
              </w:rPr>
              <w:t>3</w:t>
            </w:r>
            <w:r>
              <w:rPr>
                <w:sz w:val="24"/>
              </w:rPr>
              <w:t>/a</w:t>
            </w:r>
            <w:r>
              <w:rPr>
                <w:rFonts w:hint="eastAsia"/>
                <w:sz w:val="24"/>
              </w:rPr>
              <w:t>；则本项目</w:t>
            </w:r>
            <w:r>
              <w:rPr>
                <w:sz w:val="24"/>
              </w:rPr>
              <w:t>锅炉</w:t>
            </w:r>
            <w:r>
              <w:rPr>
                <w:rFonts w:hint="eastAsia"/>
                <w:sz w:val="24"/>
              </w:rPr>
              <w:t>总</w:t>
            </w:r>
            <w:r>
              <w:rPr>
                <w:sz w:val="24"/>
              </w:rPr>
              <w:t>用水量约为</w:t>
            </w:r>
            <w:r>
              <w:rPr>
                <w:rFonts w:hint="eastAsia"/>
                <w:sz w:val="24"/>
              </w:rPr>
              <w:t>1820</w:t>
            </w:r>
            <w:r>
              <w:rPr>
                <w:sz w:val="24"/>
              </w:rPr>
              <w:t>.</w:t>
            </w:r>
            <w:r>
              <w:rPr>
                <w:rFonts w:hint="eastAsia"/>
                <w:sz w:val="24"/>
              </w:rPr>
              <w:t>8</w:t>
            </w:r>
            <w:r>
              <w:rPr>
                <w:sz w:val="24"/>
              </w:rPr>
              <w:t>m</w:t>
            </w:r>
            <w:r>
              <w:rPr>
                <w:sz w:val="24"/>
                <w:vertAlign w:val="superscript"/>
              </w:rPr>
              <w:t>3</w:t>
            </w:r>
            <w:r>
              <w:rPr>
                <w:sz w:val="24"/>
              </w:rPr>
              <w:t>/a。</w:t>
            </w:r>
          </w:p>
          <w:p w14:paraId="56E7BBE4">
            <w:pPr>
              <w:spacing w:line="480" w:lineRule="exact"/>
              <w:ind w:firstLine="480" w:firstLineChars="200"/>
              <w:jc w:val="left"/>
              <w:rPr>
                <w:bCs/>
                <w:color w:val="000000"/>
                <w:sz w:val="24"/>
              </w:rPr>
            </w:pPr>
            <w:r>
              <w:rPr>
                <w:color w:val="000000" w:themeColor="text1"/>
                <w:sz w:val="24"/>
                <w14:textFill>
                  <w14:solidFill>
                    <w14:schemeClr w14:val="tx1"/>
                  </w14:solidFill>
                </w14:textFill>
              </w:rPr>
              <w:t>锅炉排污水十软化处理废水</w:t>
            </w:r>
            <w:r>
              <w:rPr>
                <w:rFonts w:hint="eastAsia"/>
                <w:color w:val="000000" w:themeColor="text1"/>
                <w:sz w:val="24"/>
                <w14:textFill>
                  <w14:solidFill>
                    <w14:schemeClr w14:val="tx1"/>
                  </w14:solidFill>
                </w14:textFill>
              </w:rPr>
              <w:t>经管道直接排入衡山国祯水处理有限公司处理</w:t>
            </w:r>
            <w:r>
              <w:rPr>
                <w:bCs/>
                <w:color w:val="000000"/>
                <w:sz w:val="24"/>
              </w:rPr>
              <w:t>。</w:t>
            </w:r>
          </w:p>
          <w:p w14:paraId="13169EAA">
            <w:pPr>
              <w:spacing w:line="360" w:lineRule="auto"/>
              <w:ind w:firstLine="480" w:firstLineChars="200"/>
              <w:rPr>
                <w:rFonts w:hint="eastAsia" w:ascii="宋体" w:hAnsi="宋体"/>
                <w:color w:val="000000" w:themeColor="text1"/>
                <w:sz w:val="24"/>
                <w14:textFill>
                  <w14:solidFill>
                    <w14:schemeClr w14:val="tx1"/>
                  </w14:solidFill>
                </w14:textFill>
              </w:rPr>
            </w:pPr>
          </w:p>
          <w:p w14:paraId="2A6E82ED">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喷淋用水:</w:t>
            </w:r>
          </w:p>
          <w:p w14:paraId="03214EE2">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本项目蒸汽发生器燃烧废气采用水喷淋进行处理，水喷淋装置循环水量为 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/h，喷淋塔容量为2m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，水喷淋废水循环使用，每天更换一次，年工作时间按300天，则喷淋废水量约为600m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/a；水喷淋装置循环水量为 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/h，喷淋循环水损耗按照 1%计算，年工作时间按2400小时，则喷淋损耗量为192m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/a，损耗补水量约为 192m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/a，则喷淋用水合计为792m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w:t>
            </w:r>
          </w:p>
          <w:p w14:paraId="2B92C5BF">
            <w:pPr>
              <w:pStyle w:val="2"/>
              <w:spacing w:after="0"/>
              <w:ind w:left="0" w:leftChars="0" w:firstLine="480"/>
              <w:rPr>
                <w:szCs w:val="24"/>
              </w:rPr>
            </w:pPr>
            <w:r>
              <w:rPr>
                <w:rFonts w:hint="eastAsia" w:ascii="宋体" w:hAnsi="宋体" w:cs="Cambria Math"/>
                <w:szCs w:val="24"/>
              </w:rPr>
              <w:t>③</w:t>
            </w:r>
            <w:r>
              <w:rPr>
                <w:szCs w:val="24"/>
              </w:rPr>
              <w:t xml:space="preserve">布草洗涤用水 </w:t>
            </w:r>
          </w:p>
          <w:p w14:paraId="3E8BFC4B">
            <w:pPr>
              <w:pStyle w:val="2"/>
              <w:spacing w:after="0"/>
              <w:ind w:left="0" w:leftChars="0" w:firstLine="480"/>
              <w:rPr>
                <w:szCs w:val="24"/>
              </w:rPr>
            </w:pPr>
            <w:r>
              <w:rPr>
                <w:szCs w:val="24"/>
              </w:rPr>
              <w:t>项目布草洗涤用水参照《建筑给水排水设计规范》（GB50015-2019）中洗衣房的用水定额为40~80L/kg干衣，本项目用水定额取60L/kg干布草。项目洗涤用水主要为床单、被套、枕巾、浴巾、面巾</w:t>
            </w:r>
            <w:r>
              <w:rPr>
                <w:rFonts w:hint="eastAsia"/>
                <w:szCs w:val="24"/>
              </w:rPr>
              <w:t>等，</w:t>
            </w:r>
            <w:r>
              <w:rPr>
                <w:szCs w:val="24"/>
              </w:rPr>
              <w:t>每套布草约2kg，项目清洗量约为</w:t>
            </w:r>
            <w:r>
              <w:rPr>
                <w:rFonts w:hint="eastAsia"/>
                <w:szCs w:val="24"/>
              </w:rPr>
              <w:t>24万</w:t>
            </w:r>
            <w:r>
              <w:rPr>
                <w:szCs w:val="24"/>
              </w:rPr>
              <w:t>套</w:t>
            </w:r>
            <w:r>
              <w:rPr>
                <w:rFonts w:hint="eastAsia"/>
                <w:szCs w:val="24"/>
              </w:rPr>
              <w:t>布草，</w:t>
            </w:r>
            <w:r>
              <w:rPr>
                <w:szCs w:val="24"/>
              </w:rPr>
              <w:t>洗涤布草</w:t>
            </w:r>
            <w:r>
              <w:rPr>
                <w:rFonts w:hint="eastAsia"/>
                <w:szCs w:val="24"/>
              </w:rPr>
              <w:t>重量约48</w:t>
            </w:r>
            <w:r>
              <w:rPr>
                <w:szCs w:val="24"/>
              </w:rPr>
              <w:t>0t，则洗涤用水量为</w:t>
            </w:r>
            <w:r>
              <w:rPr>
                <w:rFonts w:hint="eastAsia"/>
                <w:szCs w:val="24"/>
              </w:rPr>
              <w:t>28800</w:t>
            </w:r>
            <w:r>
              <w:t xml:space="preserve"> m</w:t>
            </w:r>
            <w:r>
              <w:rPr>
                <w:vertAlign w:val="superscript"/>
              </w:rPr>
              <w:t>3</w:t>
            </w:r>
            <w:r>
              <w:t>/a</w:t>
            </w:r>
            <w:r>
              <w:rPr>
                <w:rFonts w:hint="eastAsia"/>
                <w:szCs w:val="24"/>
              </w:rPr>
              <w:t>，其中</w:t>
            </w:r>
            <w:r>
              <w:rPr>
                <w:rFonts w:hint="eastAsia"/>
              </w:rPr>
              <w:t>1440</w:t>
            </w:r>
            <w:r>
              <w:t>m</w:t>
            </w:r>
            <w:r>
              <w:rPr>
                <w:vertAlign w:val="superscript"/>
              </w:rPr>
              <w:t>3</w:t>
            </w:r>
            <w:r>
              <w:t>/a</w:t>
            </w:r>
            <w:r>
              <w:rPr>
                <w:rFonts w:hint="eastAsia"/>
              </w:rPr>
              <w:t>为蒸汽凝水，新鲜水量为</w:t>
            </w:r>
            <w:r>
              <w:rPr>
                <w:rFonts w:hint="eastAsia"/>
                <w:szCs w:val="21"/>
              </w:rPr>
              <w:t>27360</w:t>
            </w:r>
            <w:r>
              <w:t>m</w:t>
            </w:r>
            <w:r>
              <w:rPr>
                <w:vertAlign w:val="superscript"/>
              </w:rPr>
              <w:t>3</w:t>
            </w:r>
            <w:r>
              <w:t>/a</w:t>
            </w:r>
            <w:r>
              <w:rPr>
                <w:rFonts w:hint="eastAsia"/>
              </w:rPr>
              <w:t>。</w:t>
            </w:r>
          </w:p>
          <w:p w14:paraId="54508A6C">
            <w:pPr>
              <w:pStyle w:val="2"/>
              <w:spacing w:after="0"/>
              <w:ind w:left="0" w:leftChars="0" w:firstLine="480"/>
              <w:rPr>
                <w:szCs w:val="24"/>
              </w:rPr>
            </w:pPr>
          </w:p>
          <w:p w14:paraId="5E75909A">
            <w:pPr>
              <w:pStyle w:val="2"/>
              <w:spacing w:after="0"/>
              <w:ind w:left="0" w:leftChars="0" w:firstLine="480"/>
              <w:rPr>
                <w:color w:val="000000" w:themeColor="text1"/>
                <w:szCs w:val="24"/>
                <w14:textFill>
                  <w14:solidFill>
                    <w14:schemeClr w14:val="tx1"/>
                  </w14:solidFill>
                </w14:textFill>
              </w:rPr>
            </w:pPr>
            <w:r>
              <w:rPr>
                <w:rFonts w:hint="eastAsia"/>
                <w:szCs w:val="24"/>
              </w:rPr>
              <w:t>（2）排水：</w:t>
            </w:r>
            <w:r>
              <w:rPr>
                <w:color w:val="000000" w:themeColor="text1"/>
                <w:szCs w:val="24"/>
                <w14:textFill>
                  <w14:solidFill>
                    <w14:schemeClr w14:val="tx1"/>
                  </w14:solidFill>
                </w14:textFill>
              </w:rPr>
              <w:t xml:space="preserve"> </w:t>
            </w:r>
          </w:p>
          <w:p w14:paraId="4E0F01E6">
            <w:pPr>
              <w:widowControl/>
              <w:spacing w:line="360" w:lineRule="auto"/>
              <w:ind w:firstLine="480" w:firstLineChars="200"/>
              <w:rPr>
                <w:color w:val="000000"/>
                <w:sz w:val="24"/>
              </w:rPr>
            </w:pPr>
            <w:r>
              <w:rPr>
                <w:color w:val="000000"/>
                <w:sz w:val="24"/>
              </w:rPr>
              <w:t>项目排水主要包括生活污水和生产废水，生活污水和生产废水均经管道排入衡山国祯水处理有限公司，最终排入</w:t>
            </w:r>
            <w:r>
              <w:rPr>
                <w:rFonts w:hint="eastAsia"/>
                <w:color w:val="000000"/>
                <w:sz w:val="24"/>
              </w:rPr>
              <w:t>湘江</w:t>
            </w:r>
            <w:r>
              <w:rPr>
                <w:color w:val="000000"/>
                <w:sz w:val="24"/>
              </w:rPr>
              <w:t xml:space="preserve">。 </w:t>
            </w:r>
          </w:p>
          <w:p w14:paraId="10A05487">
            <w:pPr>
              <w:pStyle w:val="2"/>
              <w:ind w:firstLine="480"/>
            </w:pPr>
          </w:p>
          <w:p w14:paraId="71F7E27C"/>
          <w:p w14:paraId="3FC38C09">
            <w:pPr>
              <w:pStyle w:val="2"/>
              <w:ind w:firstLine="480"/>
            </w:pPr>
          </w:p>
          <w:p w14:paraId="6AC23898"/>
          <w:p w14:paraId="44A1A23A">
            <w:pPr>
              <w:pStyle w:val="2"/>
              <w:ind w:firstLine="480"/>
            </w:pPr>
          </w:p>
          <w:p w14:paraId="37A84B59"/>
          <w:p w14:paraId="3AFFC1C6">
            <w:pPr>
              <w:pStyle w:val="2"/>
              <w:ind w:firstLine="480"/>
            </w:pPr>
          </w:p>
          <w:p w14:paraId="6B9ADD43"/>
          <w:p w14:paraId="129D3A22">
            <w:pPr>
              <w:pStyle w:val="2"/>
              <w:ind w:firstLine="480"/>
            </w:pPr>
          </w:p>
          <w:p w14:paraId="370216CF">
            <w:pPr>
              <w:pStyle w:val="54"/>
              <w:keepNext/>
              <w:keepLines/>
              <w:widowControl/>
              <w:numPr>
                <w:ilvl w:val="0"/>
                <w:numId w:val="1"/>
              </w:numPr>
              <w:spacing w:line="360" w:lineRule="auto"/>
              <w:ind w:firstLineChars="0"/>
              <w:rPr>
                <w:color w:val="000000"/>
                <w:sz w:val="24"/>
              </w:rPr>
            </w:pPr>
            <w:r>
              <w:rPr>
                <w:color w:val="000000"/>
                <w:sz w:val="24"/>
              </w:rPr>
              <w:t>生活污水：</w:t>
            </w:r>
          </w:p>
          <w:p w14:paraId="75A510EB">
            <w:pPr>
              <w:keepNext/>
              <w:keepLines/>
              <w:widowControl/>
              <w:spacing w:line="360" w:lineRule="auto"/>
              <w:ind w:firstLine="480" w:firstLineChars="200"/>
              <w:rPr>
                <w:color w:val="000000"/>
                <w:sz w:val="24"/>
              </w:rPr>
            </w:pPr>
            <w:r>
              <w:rPr>
                <w:color w:val="000000"/>
                <w:sz w:val="24"/>
              </w:rPr>
              <w:t>本项目生活用水量为</w:t>
            </w:r>
            <w:r>
              <w:rPr>
                <w:rFonts w:hint="eastAsia"/>
                <w:color w:val="000000"/>
                <w:sz w:val="24"/>
              </w:rPr>
              <w:t>0.5</w:t>
            </w:r>
            <w:r>
              <w:rPr>
                <w:color w:val="000000"/>
                <w:sz w:val="24"/>
              </w:rPr>
              <w:t>m</w:t>
            </w:r>
            <w:r>
              <w:rPr>
                <w:color w:val="000000"/>
                <w:sz w:val="24"/>
                <w:vertAlign w:val="superscript"/>
              </w:rPr>
              <w:t>3</w:t>
            </w:r>
            <w:r>
              <w:rPr>
                <w:color w:val="000000"/>
                <w:sz w:val="24"/>
              </w:rPr>
              <w:t>/d、</w:t>
            </w:r>
            <w:r>
              <w:rPr>
                <w:rFonts w:hint="eastAsia"/>
                <w:color w:val="000000"/>
                <w:sz w:val="24"/>
              </w:rPr>
              <w:t>150</w:t>
            </w:r>
            <w:r>
              <w:rPr>
                <w:color w:val="000000"/>
                <w:sz w:val="24"/>
              </w:rPr>
              <w:t>m</w:t>
            </w:r>
            <w:r>
              <w:rPr>
                <w:color w:val="000000"/>
                <w:sz w:val="24"/>
                <w:vertAlign w:val="superscript"/>
              </w:rPr>
              <w:t>3</w:t>
            </w:r>
            <w:r>
              <w:rPr>
                <w:color w:val="000000"/>
                <w:sz w:val="24"/>
              </w:rPr>
              <w:t>/a， 生活污水排污系数取0.8，核算得生活污水年产生量为0.</w:t>
            </w:r>
            <w:r>
              <w:rPr>
                <w:rFonts w:hint="eastAsia"/>
                <w:color w:val="000000"/>
                <w:sz w:val="24"/>
              </w:rPr>
              <w:t>4</w:t>
            </w:r>
            <w:r>
              <w:rPr>
                <w:color w:val="000000"/>
                <w:sz w:val="24"/>
              </w:rPr>
              <w:t>m</w:t>
            </w:r>
            <w:r>
              <w:rPr>
                <w:color w:val="000000"/>
                <w:sz w:val="24"/>
                <w:vertAlign w:val="superscript"/>
              </w:rPr>
              <w:t>3</w:t>
            </w:r>
            <w:r>
              <w:rPr>
                <w:color w:val="000000"/>
                <w:sz w:val="24"/>
              </w:rPr>
              <w:t>/d、</w:t>
            </w:r>
            <w:r>
              <w:rPr>
                <w:rFonts w:hint="eastAsia"/>
                <w:color w:val="000000"/>
                <w:sz w:val="24"/>
              </w:rPr>
              <w:t>120</w:t>
            </w:r>
            <w:r>
              <w:rPr>
                <w:color w:val="000000"/>
                <w:sz w:val="24"/>
              </w:rPr>
              <w:t>m</w:t>
            </w:r>
            <w:r>
              <w:rPr>
                <w:color w:val="000000"/>
                <w:sz w:val="24"/>
                <w:vertAlign w:val="superscript"/>
              </w:rPr>
              <w:t>3</w:t>
            </w:r>
            <w:r>
              <w:rPr>
                <w:color w:val="000000"/>
                <w:sz w:val="24"/>
              </w:rPr>
              <w:t xml:space="preserve">/a。 </w:t>
            </w:r>
          </w:p>
          <w:p w14:paraId="38DB3747">
            <w:pPr>
              <w:pStyle w:val="54"/>
              <w:keepNext/>
              <w:keepLines/>
              <w:widowControl/>
              <w:numPr>
                <w:ilvl w:val="0"/>
                <w:numId w:val="1"/>
              </w:numPr>
              <w:spacing w:line="360" w:lineRule="auto"/>
              <w:ind w:firstLineChars="0"/>
              <w:rPr>
                <w:color w:val="000000"/>
                <w:sz w:val="24"/>
              </w:rPr>
            </w:pPr>
            <w:r>
              <w:rPr>
                <w:rFonts w:hint="eastAsia"/>
                <w:color w:val="000000"/>
                <w:sz w:val="24"/>
              </w:rPr>
              <w:t>喷淋废水</w:t>
            </w:r>
          </w:p>
          <w:p w14:paraId="1CFF2DF3">
            <w:pPr>
              <w:keepNext/>
              <w:keepLines/>
              <w:widowControl/>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本项目蒸汽发生器燃烧废气采用水喷淋进行处理，水喷淋装置循环水量为 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/h，喷淋塔容量为2m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，水喷淋废水循环使用，每天更换一次，年工作时间按300天，每年更换300次，则喷淋废水产生量约为600m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w:t>
            </w:r>
          </w:p>
          <w:p w14:paraId="3E42B1F3">
            <w:pPr>
              <w:keepNext/>
              <w:keepLines/>
              <w:widowControl/>
              <w:spacing w:line="360" w:lineRule="auto"/>
              <w:ind w:firstLine="480" w:firstLineChars="200"/>
              <w:rPr>
                <w:color w:val="000000"/>
                <w:sz w:val="24"/>
              </w:rPr>
            </w:pPr>
            <w:r>
              <w:rPr>
                <w:rFonts w:hint="eastAsia"/>
                <w:color w:val="000000" w:themeColor="text1"/>
                <w:sz w:val="24"/>
                <w14:textFill>
                  <w14:solidFill>
                    <w14:schemeClr w14:val="tx1"/>
                  </w14:solidFill>
                </w14:textFill>
              </w:rPr>
              <w:t>3）</w:t>
            </w:r>
            <w:r>
              <w:rPr>
                <w:color w:val="000000"/>
                <w:sz w:val="24"/>
              </w:rPr>
              <w:t>布草洗涤废水：</w:t>
            </w:r>
          </w:p>
          <w:p w14:paraId="02B78DC9">
            <w:pPr>
              <w:keepNext/>
              <w:keepLines/>
              <w:widowControl/>
              <w:spacing w:line="360" w:lineRule="auto"/>
              <w:ind w:firstLine="480" w:firstLineChars="200"/>
              <w:rPr>
                <w:color w:val="000000"/>
                <w:sz w:val="24"/>
              </w:rPr>
            </w:pPr>
            <w:r>
              <w:rPr>
                <w:color w:val="000000"/>
                <w:sz w:val="24"/>
              </w:rPr>
              <w:t>本项目布草洗涤用水量为</w:t>
            </w:r>
            <w:r>
              <w:rPr>
                <w:rFonts w:hint="eastAsia"/>
                <w:sz w:val="24"/>
              </w:rPr>
              <w:t>28800</w:t>
            </w:r>
            <w:r>
              <w:rPr>
                <w:sz w:val="24"/>
              </w:rPr>
              <w:t>t/a</w:t>
            </w:r>
            <w:r>
              <w:rPr>
                <w:color w:val="000000"/>
                <w:sz w:val="24"/>
              </w:rPr>
              <w:t>，废水排放系数按0.7计（主要考虑洗涤烘干蒸发），则废水产生量约</w:t>
            </w:r>
            <w:r>
              <w:rPr>
                <w:rFonts w:hint="eastAsia"/>
                <w:color w:val="000000"/>
                <w:sz w:val="24"/>
              </w:rPr>
              <w:t>67.2</w:t>
            </w:r>
            <w:r>
              <w:rPr>
                <w:color w:val="000000"/>
                <w:sz w:val="24"/>
              </w:rPr>
              <w:t>m³/d（</w:t>
            </w:r>
            <w:r>
              <w:rPr>
                <w:rFonts w:hint="eastAsia"/>
                <w:color w:val="000000"/>
                <w:sz w:val="24"/>
              </w:rPr>
              <w:t>20160</w:t>
            </w:r>
            <w:r>
              <w:rPr>
                <w:color w:val="000000"/>
                <w:sz w:val="24"/>
              </w:rPr>
              <w:t xml:space="preserve">m³/a）。 </w:t>
            </w:r>
          </w:p>
          <w:p w14:paraId="6E4355D9">
            <w:pPr>
              <w:keepNext/>
              <w:keepLines/>
              <w:widowControl/>
              <w:spacing w:line="360" w:lineRule="auto"/>
              <w:ind w:firstLine="480" w:firstLineChars="200"/>
              <w:rPr>
                <w:color w:val="000000"/>
                <w:sz w:val="24"/>
              </w:rPr>
            </w:pPr>
            <w:r>
              <w:rPr>
                <w:rFonts w:hint="eastAsia"/>
                <w:color w:val="000000"/>
                <w:sz w:val="24"/>
              </w:rPr>
              <w:t>4）</w:t>
            </w:r>
            <w:r>
              <w:rPr>
                <w:color w:val="000000"/>
                <w:sz w:val="24"/>
              </w:rPr>
              <w:t>锅炉废水：</w:t>
            </w:r>
          </w:p>
          <w:p w14:paraId="3D11762C">
            <w:pPr>
              <w:keepNext/>
              <w:keepLines/>
              <w:widowControl/>
              <w:spacing w:line="360" w:lineRule="auto"/>
              <w:ind w:firstLine="480" w:firstLineChars="200"/>
              <w:rPr>
                <w:color w:val="000000"/>
                <w:sz w:val="24"/>
              </w:rPr>
            </w:pPr>
            <w:r>
              <w:rPr>
                <w:rFonts w:hint="eastAsia"/>
                <w:color w:val="000000" w:themeColor="text1"/>
                <w:sz w:val="24"/>
                <w14:textFill>
                  <w14:solidFill>
                    <w14:schemeClr w14:val="tx1"/>
                  </w14:solidFill>
                </w14:textFill>
              </w:rPr>
              <w:t>参照</w:t>
            </w:r>
            <w:r>
              <w:rPr>
                <w:color w:val="000000" w:themeColor="text1"/>
                <w:sz w:val="24"/>
                <w14:textFill>
                  <w14:solidFill>
                    <w14:schemeClr w14:val="tx1"/>
                  </w14:solidFill>
                </w14:textFill>
              </w:rPr>
              <w:t>《排放源统计调查产排污核算方法和系数手册（工业锅炉（热力供应）行业系数手册）》（2021年）生物质燃料锅炉（锅外水处理）产污系数为0.</w:t>
            </w:r>
            <w:r>
              <w:rPr>
                <w:rFonts w:hint="eastAsia"/>
                <w:color w:val="000000" w:themeColor="text1"/>
                <w:sz w:val="24"/>
                <w14:textFill>
                  <w14:solidFill>
                    <w14:schemeClr w14:val="tx1"/>
                  </w14:solidFill>
                </w14:textFill>
              </w:rPr>
              <w:t>356</w:t>
            </w:r>
            <w:r>
              <w:rPr>
                <w:color w:val="000000" w:themeColor="text1"/>
                <w:sz w:val="24"/>
                <w14:textFill>
                  <w14:solidFill>
                    <w14:schemeClr w14:val="tx1"/>
                  </w14:solidFill>
                </w14:textFill>
              </w:rPr>
              <w:t>吨/吨-原料（锅炉排污水十软化处理废水），</w:t>
            </w:r>
            <w:r>
              <w:rPr>
                <w:rFonts w:hint="eastAsia"/>
                <w:color w:val="000000" w:themeColor="text1"/>
                <w:sz w:val="24"/>
                <w14:textFill>
                  <w14:solidFill>
                    <w14:schemeClr w14:val="tx1"/>
                  </w14:solidFill>
                </w14:textFill>
              </w:rPr>
              <w:t>项目使用颗粒物为564t/a，</w:t>
            </w:r>
            <w:r>
              <w:rPr>
                <w:color w:val="000000" w:themeColor="text1"/>
                <w:sz w:val="24"/>
                <w14:textFill>
                  <w14:solidFill>
                    <w14:schemeClr w14:val="tx1"/>
                  </w14:solidFill>
                </w14:textFill>
              </w:rPr>
              <w:t>则锅炉排污水十软化处理废水量为</w:t>
            </w:r>
            <w:r>
              <w:rPr>
                <w:rFonts w:hint="eastAsia"/>
                <w:color w:val="000000" w:themeColor="text1"/>
                <w:sz w:val="24"/>
                <w14:textFill>
                  <w14:solidFill>
                    <w14:schemeClr w14:val="tx1"/>
                  </w14:solidFill>
                </w14:textFill>
              </w:rPr>
              <w:t>0.669</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200.8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color w:val="000000"/>
                <w:sz w:val="24"/>
              </w:rPr>
              <w:t>。</w:t>
            </w:r>
          </w:p>
          <w:p w14:paraId="75FA5681">
            <w:pPr>
              <w:spacing w:line="480" w:lineRule="exact"/>
              <w:ind w:firstLine="422" w:firstLineChars="200"/>
              <w:jc w:val="center"/>
              <w:rPr>
                <w:b/>
                <w:bCs/>
                <w:color w:val="000000" w:themeColor="text1"/>
                <w:sz w:val="24"/>
                <w14:textFill>
                  <w14:solidFill>
                    <w14:schemeClr w14:val="tx1"/>
                  </w14:solidFill>
                </w14:textFill>
              </w:rPr>
            </w:pPr>
            <w:r>
              <w:rPr>
                <w:b/>
                <w:bCs/>
                <w:color w:val="000000" w:themeColor="text1"/>
                <w:szCs w:val="21"/>
                <w14:textFill>
                  <w14:solidFill>
                    <w14:schemeClr w14:val="tx1"/>
                  </w14:solidFill>
                </w14:textFill>
              </w:rPr>
              <w:t>表2-</w:t>
            </w:r>
            <w:r>
              <w:rPr>
                <w:rFonts w:hint="eastAsia"/>
                <w:b/>
                <w:bCs/>
                <w:color w:val="000000" w:themeColor="text1"/>
                <w:szCs w:val="21"/>
                <w14:textFill>
                  <w14:solidFill>
                    <w14:schemeClr w14:val="tx1"/>
                  </w14:solidFill>
                </w14:textFill>
              </w:rPr>
              <w:t>6</w:t>
            </w:r>
            <w:r>
              <w:rPr>
                <w:b/>
                <w:bCs/>
                <w:color w:val="000000" w:themeColor="text1"/>
                <w:szCs w:val="21"/>
                <w14:textFill>
                  <w14:solidFill>
                    <w14:schemeClr w14:val="tx1"/>
                  </w14:solidFill>
                </w14:textFill>
              </w:rPr>
              <w:t>项目用水情况一览表</w:t>
            </w:r>
          </w:p>
          <w:tbl>
            <w:tblPr>
              <w:tblStyle w:val="2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24"/>
              <w:gridCol w:w="1414"/>
              <w:gridCol w:w="1078"/>
              <w:gridCol w:w="1066"/>
              <w:gridCol w:w="1078"/>
              <w:gridCol w:w="1066"/>
              <w:gridCol w:w="1372"/>
            </w:tblGrid>
            <w:tr w14:paraId="27AA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1FD584E8">
                  <w:pPr>
                    <w:spacing w:line="0" w:lineRule="atLeast"/>
                    <w:rPr>
                      <w:b/>
                      <w:bCs/>
                      <w:szCs w:val="21"/>
                    </w:rPr>
                  </w:pPr>
                  <w:r>
                    <w:rPr>
                      <w:b/>
                      <w:bCs/>
                      <w:szCs w:val="21"/>
                    </w:rPr>
                    <w:t>序号</w:t>
                  </w:r>
                </w:p>
              </w:tc>
              <w:tc>
                <w:tcPr>
                  <w:tcW w:w="493" w:type="pct"/>
                  <w:vAlign w:val="center"/>
                </w:tcPr>
                <w:p w14:paraId="5D587D70">
                  <w:pPr>
                    <w:spacing w:line="0" w:lineRule="atLeast"/>
                    <w:jc w:val="center"/>
                    <w:rPr>
                      <w:b/>
                      <w:bCs/>
                      <w:szCs w:val="21"/>
                    </w:rPr>
                  </w:pPr>
                  <w:r>
                    <w:rPr>
                      <w:b/>
                      <w:bCs/>
                      <w:szCs w:val="21"/>
                    </w:rPr>
                    <w:t>类别</w:t>
                  </w:r>
                </w:p>
              </w:tc>
              <w:tc>
                <w:tcPr>
                  <w:tcW w:w="845" w:type="pct"/>
                  <w:vAlign w:val="center"/>
                </w:tcPr>
                <w:p w14:paraId="40770064">
                  <w:pPr>
                    <w:spacing w:line="0" w:lineRule="atLeast"/>
                    <w:jc w:val="center"/>
                    <w:rPr>
                      <w:b/>
                      <w:bCs/>
                      <w:szCs w:val="21"/>
                    </w:rPr>
                  </w:pPr>
                  <w:r>
                    <w:rPr>
                      <w:b/>
                      <w:bCs/>
                      <w:szCs w:val="21"/>
                    </w:rPr>
                    <w:t>用水定额</w:t>
                  </w:r>
                </w:p>
              </w:tc>
              <w:tc>
                <w:tcPr>
                  <w:tcW w:w="644" w:type="pct"/>
                  <w:vAlign w:val="center"/>
                </w:tcPr>
                <w:p w14:paraId="3056D63E">
                  <w:pPr>
                    <w:spacing w:line="0" w:lineRule="atLeast"/>
                    <w:jc w:val="center"/>
                    <w:rPr>
                      <w:b/>
                      <w:bCs/>
                      <w:szCs w:val="21"/>
                    </w:rPr>
                  </w:pPr>
                  <w:r>
                    <w:rPr>
                      <w:b/>
                      <w:bCs/>
                      <w:szCs w:val="21"/>
                    </w:rPr>
                    <w:t>用水量（m</w:t>
                  </w:r>
                  <w:r>
                    <w:rPr>
                      <w:b/>
                      <w:bCs/>
                      <w:szCs w:val="21"/>
                      <w:vertAlign w:val="superscript"/>
                    </w:rPr>
                    <w:t>3</w:t>
                  </w:r>
                  <w:r>
                    <w:rPr>
                      <w:b/>
                      <w:bCs/>
                      <w:szCs w:val="21"/>
                    </w:rPr>
                    <w:t>/d）</w:t>
                  </w:r>
                </w:p>
              </w:tc>
              <w:tc>
                <w:tcPr>
                  <w:tcW w:w="637" w:type="pct"/>
                  <w:vAlign w:val="center"/>
                </w:tcPr>
                <w:p w14:paraId="0E65E12B">
                  <w:pPr>
                    <w:spacing w:line="0" w:lineRule="atLeast"/>
                    <w:jc w:val="center"/>
                    <w:rPr>
                      <w:b/>
                      <w:bCs/>
                      <w:szCs w:val="21"/>
                    </w:rPr>
                  </w:pPr>
                  <w:r>
                    <w:rPr>
                      <w:b/>
                      <w:bCs/>
                      <w:szCs w:val="21"/>
                    </w:rPr>
                    <w:t>用水量（m</w:t>
                  </w:r>
                  <w:r>
                    <w:rPr>
                      <w:b/>
                      <w:bCs/>
                      <w:szCs w:val="21"/>
                      <w:vertAlign w:val="superscript"/>
                    </w:rPr>
                    <w:t>3</w:t>
                  </w:r>
                  <w:r>
                    <w:rPr>
                      <w:b/>
                      <w:bCs/>
                      <w:szCs w:val="21"/>
                    </w:rPr>
                    <w:t>/a）</w:t>
                  </w:r>
                </w:p>
              </w:tc>
              <w:tc>
                <w:tcPr>
                  <w:tcW w:w="644" w:type="pct"/>
                  <w:vAlign w:val="center"/>
                </w:tcPr>
                <w:p w14:paraId="757BDD86">
                  <w:pPr>
                    <w:spacing w:line="0" w:lineRule="atLeast"/>
                    <w:jc w:val="center"/>
                    <w:rPr>
                      <w:b/>
                      <w:bCs/>
                      <w:szCs w:val="21"/>
                    </w:rPr>
                  </w:pPr>
                  <w:r>
                    <w:rPr>
                      <w:b/>
                      <w:bCs/>
                      <w:szCs w:val="21"/>
                    </w:rPr>
                    <w:t>排水量（m</w:t>
                  </w:r>
                  <w:r>
                    <w:rPr>
                      <w:b/>
                      <w:bCs/>
                      <w:szCs w:val="21"/>
                      <w:vertAlign w:val="superscript"/>
                    </w:rPr>
                    <w:t>3</w:t>
                  </w:r>
                  <w:r>
                    <w:rPr>
                      <w:b/>
                      <w:bCs/>
                      <w:szCs w:val="21"/>
                    </w:rPr>
                    <w:t>/d）</w:t>
                  </w:r>
                </w:p>
              </w:tc>
              <w:tc>
                <w:tcPr>
                  <w:tcW w:w="637" w:type="pct"/>
                  <w:vAlign w:val="center"/>
                </w:tcPr>
                <w:p w14:paraId="2BEE52A5">
                  <w:pPr>
                    <w:spacing w:line="0" w:lineRule="atLeast"/>
                    <w:jc w:val="center"/>
                    <w:rPr>
                      <w:b/>
                      <w:bCs/>
                      <w:szCs w:val="21"/>
                    </w:rPr>
                  </w:pPr>
                  <w:r>
                    <w:rPr>
                      <w:b/>
                      <w:bCs/>
                      <w:szCs w:val="21"/>
                    </w:rPr>
                    <w:t>排水量（m</w:t>
                  </w:r>
                  <w:r>
                    <w:rPr>
                      <w:b/>
                      <w:bCs/>
                      <w:szCs w:val="21"/>
                      <w:vertAlign w:val="superscript"/>
                    </w:rPr>
                    <w:t>3</w:t>
                  </w:r>
                  <w:r>
                    <w:rPr>
                      <w:b/>
                      <w:bCs/>
                      <w:szCs w:val="21"/>
                    </w:rPr>
                    <w:t>/a）</w:t>
                  </w:r>
                </w:p>
              </w:tc>
              <w:tc>
                <w:tcPr>
                  <w:tcW w:w="820" w:type="pct"/>
                  <w:vAlign w:val="center"/>
                </w:tcPr>
                <w:p w14:paraId="70E54C3F">
                  <w:pPr>
                    <w:spacing w:line="0" w:lineRule="atLeast"/>
                    <w:ind w:firstLine="422"/>
                    <w:jc w:val="center"/>
                    <w:rPr>
                      <w:b/>
                      <w:bCs/>
                      <w:szCs w:val="21"/>
                    </w:rPr>
                  </w:pPr>
                  <w:r>
                    <w:rPr>
                      <w:b/>
                      <w:bCs/>
                      <w:szCs w:val="21"/>
                    </w:rPr>
                    <w:t>备注</w:t>
                  </w:r>
                </w:p>
              </w:tc>
            </w:tr>
            <w:tr w14:paraId="0343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9" w:type="pct"/>
                  <w:vAlign w:val="center"/>
                </w:tcPr>
                <w:p w14:paraId="64030C7D">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93" w:type="pct"/>
                  <w:vAlign w:val="center"/>
                </w:tcPr>
                <w:p w14:paraId="6403010F">
                  <w:pPr>
                    <w:spacing w:line="0" w:lineRule="atLeast"/>
                    <w:jc w:val="center"/>
                    <w:rPr>
                      <w:bCs/>
                      <w:color w:val="000000"/>
                      <w:szCs w:val="21"/>
                    </w:rPr>
                  </w:pPr>
                  <w:r>
                    <w:rPr>
                      <w:rFonts w:hint="eastAsia"/>
                      <w:bCs/>
                      <w:szCs w:val="21"/>
                    </w:rPr>
                    <w:t>布草洗涤</w:t>
                  </w:r>
                  <w:r>
                    <w:rPr>
                      <w:bCs/>
                      <w:szCs w:val="21"/>
                    </w:rPr>
                    <w:t>用水</w:t>
                  </w:r>
                </w:p>
              </w:tc>
              <w:tc>
                <w:tcPr>
                  <w:tcW w:w="845" w:type="pct"/>
                  <w:shd w:val="clear" w:color="auto" w:fill="auto"/>
                  <w:vAlign w:val="center"/>
                </w:tcPr>
                <w:p w14:paraId="2B097F0E">
                  <w:pPr>
                    <w:spacing w:line="0" w:lineRule="atLeast"/>
                    <w:jc w:val="center"/>
                    <w:rPr>
                      <w:b/>
                      <w:bCs/>
                      <w:szCs w:val="21"/>
                    </w:rPr>
                  </w:pPr>
                  <w:r>
                    <w:t>60L/kg</w:t>
                  </w:r>
                </w:p>
              </w:tc>
              <w:tc>
                <w:tcPr>
                  <w:tcW w:w="644" w:type="pct"/>
                  <w:vAlign w:val="center"/>
                </w:tcPr>
                <w:p w14:paraId="265C0CA3">
                  <w:pPr>
                    <w:spacing w:line="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96</w:t>
                  </w:r>
                </w:p>
              </w:tc>
              <w:tc>
                <w:tcPr>
                  <w:tcW w:w="637" w:type="pct"/>
                  <w:vAlign w:val="center"/>
                </w:tcPr>
                <w:p w14:paraId="345D86CF">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28800（</w:t>
                  </w:r>
                  <w:r>
                    <w:rPr>
                      <w:rFonts w:hint="eastAsia"/>
                      <w:szCs w:val="21"/>
                    </w:rPr>
                    <w:t>27360为新鲜水</w:t>
                  </w:r>
                  <w:r>
                    <w:rPr>
                      <w:rFonts w:hint="eastAsia"/>
                      <w:color w:val="000000" w:themeColor="text1"/>
                      <w:szCs w:val="21"/>
                      <w14:textFill>
                        <w14:solidFill>
                          <w14:schemeClr w14:val="tx1"/>
                        </w14:solidFill>
                      </w14:textFill>
                    </w:rPr>
                    <w:t>）</w:t>
                  </w:r>
                </w:p>
              </w:tc>
              <w:tc>
                <w:tcPr>
                  <w:tcW w:w="644" w:type="pct"/>
                  <w:vAlign w:val="center"/>
                </w:tcPr>
                <w:p w14:paraId="03097285">
                  <w:pPr>
                    <w:spacing w:line="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67.2</w:t>
                  </w:r>
                </w:p>
              </w:tc>
              <w:tc>
                <w:tcPr>
                  <w:tcW w:w="637" w:type="pct"/>
                  <w:vAlign w:val="center"/>
                </w:tcPr>
                <w:p w14:paraId="1C7AF817">
                  <w:pPr>
                    <w:spacing w:line="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20160</w:t>
                  </w:r>
                </w:p>
              </w:tc>
              <w:tc>
                <w:tcPr>
                  <w:tcW w:w="820" w:type="pct"/>
                  <w:vAlign w:val="center"/>
                </w:tcPr>
                <w:p w14:paraId="348C3E6F">
                  <w:pPr>
                    <w:spacing w:line="0" w:lineRule="atLeast"/>
                    <w:jc w:val="center"/>
                    <w:rPr>
                      <w:color w:val="000000" w:themeColor="text1"/>
                      <w:szCs w:val="21"/>
                      <w14:textFill>
                        <w14:solidFill>
                          <w14:schemeClr w14:val="tx1"/>
                        </w14:solidFill>
                      </w14:textFill>
                    </w:rPr>
                  </w:pPr>
                  <w:r>
                    <w:rPr>
                      <w:rFonts w:hint="eastAsia"/>
                      <w:szCs w:val="21"/>
                    </w:rPr>
                    <w:t>1440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为</w:t>
                  </w:r>
                  <w:r>
                    <w:rPr>
                      <w:rFonts w:hint="eastAsia"/>
                      <w:szCs w:val="21"/>
                    </w:rPr>
                    <w:t>蒸汽</w:t>
                  </w:r>
                  <w:r>
                    <w:rPr>
                      <w:szCs w:val="21"/>
                    </w:rPr>
                    <w:t>冷凝水</w:t>
                  </w:r>
                  <w:r>
                    <w:rPr>
                      <w:rFonts w:hint="eastAsia"/>
                      <w:szCs w:val="21"/>
                    </w:rPr>
                    <w:t>，27360为新鲜水</w:t>
                  </w:r>
                </w:p>
              </w:tc>
            </w:tr>
            <w:tr w14:paraId="5665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62282188">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93" w:type="pct"/>
                  <w:vAlign w:val="center"/>
                </w:tcPr>
                <w:p w14:paraId="389B56D2">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锅炉</w:t>
                  </w:r>
                  <w:r>
                    <w:rPr>
                      <w:color w:val="000000" w:themeColor="text1"/>
                      <w:szCs w:val="21"/>
                      <w14:textFill>
                        <w14:solidFill>
                          <w14:schemeClr w14:val="tx1"/>
                        </w14:solidFill>
                      </w14:textFill>
                    </w:rPr>
                    <w:t>用水</w:t>
                  </w:r>
                </w:p>
              </w:tc>
              <w:tc>
                <w:tcPr>
                  <w:tcW w:w="845" w:type="pct"/>
                  <w:vAlign w:val="center"/>
                </w:tcPr>
                <w:p w14:paraId="3A5E7CCC">
                  <w:pPr>
                    <w:widowControl/>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4" w:type="pct"/>
                  <w:vAlign w:val="center"/>
                </w:tcPr>
                <w:p w14:paraId="55E67506">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12.67</w:t>
                  </w:r>
                </w:p>
              </w:tc>
              <w:tc>
                <w:tcPr>
                  <w:tcW w:w="637" w:type="pct"/>
                  <w:vAlign w:val="center"/>
                </w:tcPr>
                <w:p w14:paraId="05245BFF">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1820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p>
              </w:tc>
              <w:tc>
                <w:tcPr>
                  <w:tcW w:w="644" w:type="pct"/>
                  <w:vAlign w:val="center"/>
                </w:tcPr>
                <w:p w14:paraId="5EE9FFEE">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0.669</w:t>
                  </w:r>
                </w:p>
              </w:tc>
              <w:tc>
                <w:tcPr>
                  <w:tcW w:w="637" w:type="pct"/>
                  <w:vAlign w:val="center"/>
                </w:tcPr>
                <w:p w14:paraId="520C3370">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200.8</w:t>
                  </w:r>
                </w:p>
              </w:tc>
              <w:tc>
                <w:tcPr>
                  <w:tcW w:w="820" w:type="pct"/>
                  <w:vAlign w:val="center"/>
                </w:tcPr>
                <w:p w14:paraId="391E31B2">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蒸汽3600中40%进入洗涤工序，60%进入烘干熨烫工序</w:t>
                  </w:r>
                </w:p>
              </w:tc>
            </w:tr>
            <w:tr w14:paraId="77E6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56994AAB">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93" w:type="pct"/>
                  <w:vAlign w:val="center"/>
                </w:tcPr>
                <w:p w14:paraId="51D26D7E">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喷淋用水</w:t>
                  </w:r>
                </w:p>
              </w:tc>
              <w:tc>
                <w:tcPr>
                  <w:tcW w:w="845" w:type="pct"/>
                  <w:vAlign w:val="center"/>
                </w:tcPr>
                <w:p w14:paraId="10BF5FC8">
                  <w:pPr>
                    <w:widowControl/>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4" w:type="pct"/>
                  <w:vAlign w:val="center"/>
                </w:tcPr>
                <w:p w14:paraId="18CA2971">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2.64</w:t>
                  </w:r>
                </w:p>
              </w:tc>
              <w:tc>
                <w:tcPr>
                  <w:tcW w:w="637" w:type="pct"/>
                  <w:vAlign w:val="center"/>
                </w:tcPr>
                <w:p w14:paraId="1EA486DB">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644" w:type="pct"/>
                  <w:vAlign w:val="center"/>
                </w:tcPr>
                <w:p w14:paraId="28D638E1">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37" w:type="pct"/>
                  <w:vAlign w:val="center"/>
                </w:tcPr>
                <w:p w14:paraId="3D50E7DB">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820" w:type="pct"/>
                  <w:vAlign w:val="center"/>
                </w:tcPr>
                <w:p w14:paraId="63DB8769">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损耗量192</w:t>
                  </w:r>
                </w:p>
              </w:tc>
            </w:tr>
            <w:tr w14:paraId="0114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42E27B7F">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493" w:type="pct"/>
                  <w:vAlign w:val="center"/>
                </w:tcPr>
                <w:p w14:paraId="05A88358">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生活用水</w:t>
                  </w:r>
                </w:p>
              </w:tc>
              <w:tc>
                <w:tcPr>
                  <w:tcW w:w="845" w:type="pct"/>
                  <w:vAlign w:val="center"/>
                </w:tcPr>
                <w:p w14:paraId="2CC37008">
                  <w:pPr>
                    <w:widowControl/>
                    <w:spacing w:line="0" w:lineRule="atLeast"/>
                    <w:jc w:val="center"/>
                    <w:rPr>
                      <w:color w:val="000000" w:themeColor="text1"/>
                      <w:szCs w:val="21"/>
                      <w14:textFill>
                        <w14:solidFill>
                          <w14:schemeClr w14:val="tx1"/>
                        </w14:solidFill>
                      </w14:textFill>
                    </w:rPr>
                  </w:pPr>
                  <w:r>
                    <w:t>50L/人•d</w:t>
                  </w:r>
                </w:p>
              </w:tc>
              <w:tc>
                <w:tcPr>
                  <w:tcW w:w="644" w:type="pct"/>
                  <w:vAlign w:val="center"/>
                </w:tcPr>
                <w:p w14:paraId="60ADAB0F">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637" w:type="pct"/>
                  <w:vAlign w:val="center"/>
                </w:tcPr>
                <w:p w14:paraId="01885B95">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644" w:type="pct"/>
                  <w:vAlign w:val="center"/>
                </w:tcPr>
                <w:p w14:paraId="672E23A4">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w:t>
                  </w:r>
                </w:p>
              </w:tc>
              <w:tc>
                <w:tcPr>
                  <w:tcW w:w="637" w:type="pct"/>
                  <w:vAlign w:val="center"/>
                </w:tcPr>
                <w:p w14:paraId="701A337A">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820" w:type="pct"/>
                  <w:vAlign w:val="center"/>
                </w:tcPr>
                <w:p w14:paraId="3835C003">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7996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 w:type="pct"/>
                  <w:vAlign w:val="center"/>
                </w:tcPr>
                <w:p w14:paraId="28967AA0">
                  <w:pPr>
                    <w:numPr>
                      <w:ilvl w:val="0"/>
                      <w:numId w:val="2"/>
                    </w:numPr>
                    <w:spacing w:line="0" w:lineRule="atLeast"/>
                    <w:ind w:left="420" w:firstLine="420"/>
                    <w:jc w:val="center"/>
                    <w:rPr>
                      <w:color w:val="000000" w:themeColor="text1"/>
                      <w:szCs w:val="21"/>
                      <w14:textFill>
                        <w14:solidFill>
                          <w14:schemeClr w14:val="tx1"/>
                        </w14:solidFill>
                      </w14:textFill>
                    </w:rPr>
                  </w:pPr>
                </w:p>
              </w:tc>
              <w:tc>
                <w:tcPr>
                  <w:tcW w:w="1338" w:type="pct"/>
                  <w:gridSpan w:val="2"/>
                  <w:vAlign w:val="center"/>
                </w:tcPr>
                <w:p w14:paraId="2FEB25BE">
                  <w:pPr>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644" w:type="pct"/>
                  <w:vAlign w:val="center"/>
                </w:tcPr>
                <w:p w14:paraId="6B13A6CA">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111.81</w:t>
                  </w:r>
                </w:p>
              </w:tc>
              <w:tc>
                <w:tcPr>
                  <w:tcW w:w="637" w:type="pct"/>
                  <w:vAlign w:val="center"/>
                </w:tcPr>
                <w:p w14:paraId="6BF27922">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30122.8（新鲜水）</w:t>
                  </w:r>
                </w:p>
              </w:tc>
              <w:tc>
                <w:tcPr>
                  <w:tcW w:w="644" w:type="pct"/>
                  <w:vAlign w:val="center"/>
                </w:tcPr>
                <w:p w14:paraId="501E00F7">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70.269</w:t>
                  </w:r>
                </w:p>
              </w:tc>
              <w:tc>
                <w:tcPr>
                  <w:tcW w:w="637" w:type="pct"/>
                  <w:vAlign w:val="center"/>
                </w:tcPr>
                <w:p w14:paraId="2A17E810">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21080.8</w:t>
                  </w:r>
                </w:p>
              </w:tc>
              <w:tc>
                <w:tcPr>
                  <w:tcW w:w="820" w:type="pct"/>
                  <w:vAlign w:val="center"/>
                </w:tcPr>
                <w:p w14:paraId="722E699A">
                  <w:pPr>
                    <w:spacing w:line="0" w:lineRule="atLeast"/>
                    <w:jc w:val="center"/>
                    <w:rPr>
                      <w:color w:val="000000" w:themeColor="text1"/>
                      <w:szCs w:val="21"/>
                      <w14:textFill>
                        <w14:solidFill>
                          <w14:schemeClr w14:val="tx1"/>
                        </w14:solidFill>
                      </w14:textFill>
                    </w:rPr>
                  </w:pPr>
                </w:p>
              </w:tc>
            </w:tr>
          </w:tbl>
          <w:p w14:paraId="58C53C66">
            <w:pPr>
              <w:spacing w:line="360" w:lineRule="auto"/>
              <w:ind w:firstLine="240" w:firstLineChars="100"/>
              <w:rPr>
                <w:sz w:val="24"/>
              </w:rPr>
            </w:pPr>
          </w:p>
          <w:p w14:paraId="36D20AE6">
            <w:pPr>
              <w:spacing w:line="360" w:lineRule="auto"/>
              <w:ind w:firstLine="240" w:firstLineChars="100"/>
              <w:rPr>
                <w:sz w:val="24"/>
              </w:rPr>
            </w:pPr>
          </w:p>
          <w:p w14:paraId="6935E0CD">
            <w:pPr>
              <w:spacing w:line="360" w:lineRule="auto"/>
              <w:ind w:firstLine="240" w:firstLineChars="100"/>
              <w:rPr>
                <w:sz w:val="24"/>
              </w:rPr>
            </w:pPr>
            <w:r>
              <w:rPr>
                <w:rFonts w:hint="eastAsia"/>
                <w:sz w:val="24"/>
              </w:rPr>
              <w:t>（3）水平衡</w:t>
            </w:r>
          </w:p>
          <w:p w14:paraId="52FDF742">
            <w:pPr>
              <w:spacing w:line="360" w:lineRule="auto"/>
              <w:ind w:firstLine="240" w:firstLineChars="100"/>
              <w:rPr>
                <w:sz w:val="24"/>
              </w:rPr>
            </w:pPr>
            <w:r>
              <w:rPr>
                <w:rFonts w:hint="eastAsia"/>
                <w:sz w:val="24"/>
              </w:rPr>
              <w:t xml:space="preserve"> 本项目用水主要为生活用水和洗涤用水、喷淋用水等，水平衡图如下。</w:t>
            </w:r>
          </w:p>
          <w:p w14:paraId="2BAEEEB5"/>
          <w:p w14:paraId="7DB68C74">
            <w:r>
              <mc:AlternateContent>
                <mc:Choice Requires="wps">
                  <w:drawing>
                    <wp:anchor distT="0" distB="0" distL="114300" distR="114300" simplePos="0" relativeHeight="251676672" behindDoc="0" locked="0" layoutInCell="1" allowOverlap="1">
                      <wp:simplePos x="0" y="0"/>
                      <wp:positionH relativeFrom="column">
                        <wp:posOffset>2199005</wp:posOffset>
                      </wp:positionH>
                      <wp:positionV relativeFrom="paragraph">
                        <wp:posOffset>19050</wp:posOffset>
                      </wp:positionV>
                      <wp:extent cx="463550" cy="298450"/>
                      <wp:effectExtent l="0" t="0" r="0" b="6350"/>
                      <wp:wrapNone/>
                      <wp:docPr id="19124038"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7DD67B4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73.15pt;margin-top:1.5pt;height:23.5pt;width:36.5pt;z-index:251676672;v-text-anchor:middle;mso-width-relative:page;mso-height-relative:page;" filled="f" stroked="f" coordsize="21600,21600" o:gfxdata="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iso79MA&#10;AAAIAQAADwAAAAAAAAABACAAAAAiAAAAZHJzL2Rvd25yZXYueG1sUEsBAhQAFAAAAAgAh07iQL5m&#10;7wxdAgAAqgQAAA4AAAAAAAAAAQAgAAAAIgEAAGRycy9lMm9Eb2MueG1sUEsFBgAAAAAGAAYAWQEA&#10;APEFAAAAAA==&#10;">
                      <v:fill on="f" focussize="0,0"/>
                      <v:stroke on="f"/>
                      <v:imagedata o:title=""/>
                      <o:lock v:ext="edit" aspectratio="f"/>
                      <v:textbox>
                        <w:txbxContent>
                          <w:p w14:paraId="7DD67B4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p>
                        </w:txbxContent>
                      </v:textbox>
                    </v:rect>
                  </w:pict>
                </mc:Fallback>
              </mc:AlternateContent>
            </w:r>
          </w:p>
          <w:p w14:paraId="5F372A43">
            <w:r>
              <mc:AlternateContent>
                <mc:Choice Requires="wps">
                  <w:drawing>
                    <wp:anchor distT="0" distB="0" distL="114300" distR="114300" simplePos="0" relativeHeight="251682816" behindDoc="0" locked="0" layoutInCell="1" allowOverlap="1">
                      <wp:simplePos x="0" y="0"/>
                      <wp:positionH relativeFrom="column">
                        <wp:posOffset>3784600</wp:posOffset>
                      </wp:positionH>
                      <wp:positionV relativeFrom="paragraph">
                        <wp:posOffset>123190</wp:posOffset>
                      </wp:positionV>
                      <wp:extent cx="463550" cy="298450"/>
                      <wp:effectExtent l="0" t="0" r="0" b="6350"/>
                      <wp:wrapNone/>
                      <wp:docPr id="772596961"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28443C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98pt;margin-top:9.7pt;height:23.5pt;width:36.5pt;z-index:251682816;v-text-anchor:middle;mso-width-relative:page;mso-height-relative:page;" filled="f" stroked="f" coordsize="21600,21600" o:gfxdata="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MytEN&#10;1AAAAAkBAAAPAAAAAAAAAAEAIAAAACIAAABkcnMvZG93bnJldi54bWxQSwECFAAUAAAACACHTuJA&#10;BVTSi14CAACrBAAADgAAAAAAAAABACAAAAAjAQAAZHJzL2Uyb0RvYy54bWxQSwUGAAAAAAYABgBZ&#10;AQAA8wUAAAAA&#10;">
                      <v:fill on="f" focussize="0,0"/>
                      <v:stroke on="f"/>
                      <v:imagedata o:title=""/>
                      <o:lock v:ext="edit" aspectratio="f"/>
                      <v:textbox>
                        <w:txbxContent>
                          <w:p w14:paraId="28443C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0</w:t>
                            </w:r>
                          </w:p>
                        </w:txbxContent>
                      </v:textbox>
                    </v:rect>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1938655</wp:posOffset>
                      </wp:positionH>
                      <wp:positionV relativeFrom="paragraph">
                        <wp:posOffset>101600</wp:posOffset>
                      </wp:positionV>
                      <wp:extent cx="419100" cy="196850"/>
                      <wp:effectExtent l="0" t="57150" r="19050" b="31750"/>
                      <wp:wrapNone/>
                      <wp:docPr id="1846520249" name="连接符: 曲线 27"/>
                      <wp:cNvGraphicFramePr/>
                      <a:graphic xmlns:a="http://schemas.openxmlformats.org/drawingml/2006/main">
                        <a:graphicData uri="http://schemas.microsoft.com/office/word/2010/wordprocessingShape">
                          <wps:wsp>
                            <wps:cNvCnPr/>
                            <wps:spPr>
                              <a:xfrm flipV="1">
                                <a:off x="0" y="0"/>
                                <a:ext cx="419100" cy="196850"/>
                              </a:xfrm>
                              <a:prstGeom prst="curved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曲线 27" o:spid="_x0000_s1026" o:spt="38" type="#_x0000_t38" style="position:absolute;left:0pt;flip:y;margin-left:152.65pt;margin-top:8pt;height:15.5pt;width:33pt;z-index:251674624;mso-width-relative:page;mso-height-relative:page;" filled="f" stroked="t" coordsize="21600,21600" o:gfxdata="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Q&#10;3qAP2AAAAAkBAAAPAAAAAAAAAAEAIAAAACIAAABkcnMvZG93bnJldi54bWxQSwECFAAUAAAACACH&#10;TuJAUePPRSQCAAAUBAAADgAAAAAAAAABACAAAAAnAQAAZHJzL2Uyb0RvYy54bWxQSwUGAAAAAAYA&#10;BgBZAQAAvQUAAAAA&#10;" adj="10800">
                      <v:fill on="f" focussize="0,0"/>
                      <v:stroke color="#000000 [3200]" joinstyle="round" dashstyle="dash" endarrow="block"/>
                      <v:imagedata o:title=""/>
                      <o:lock v:ext="edit" aspectratio="f"/>
                    </v:shape>
                  </w:pict>
                </mc:Fallback>
              </mc:AlternateContent>
            </w:r>
          </w:p>
          <w:p w14:paraId="625D2A60">
            <w:pPr>
              <w:pStyle w:val="2"/>
              <w:ind w:firstLine="480"/>
            </w:pPr>
            <w:r>
              <mc:AlternateContent>
                <mc:Choice Requires="wps">
                  <w:drawing>
                    <wp:anchor distT="0" distB="0" distL="114300" distR="114300" simplePos="0" relativeHeight="251713536" behindDoc="0" locked="0" layoutInCell="1" allowOverlap="1">
                      <wp:simplePos x="0" y="0"/>
                      <wp:positionH relativeFrom="column">
                        <wp:posOffset>4394200</wp:posOffset>
                      </wp:positionH>
                      <wp:positionV relativeFrom="paragraph">
                        <wp:posOffset>306705</wp:posOffset>
                      </wp:positionV>
                      <wp:extent cx="0" cy="1028700"/>
                      <wp:effectExtent l="76200" t="0" r="57150" b="57150"/>
                      <wp:wrapNone/>
                      <wp:docPr id="1099330562" name="直接箭头连接符 85"/>
                      <wp:cNvGraphicFramePr/>
                      <a:graphic xmlns:a="http://schemas.openxmlformats.org/drawingml/2006/main">
                        <a:graphicData uri="http://schemas.microsoft.com/office/word/2010/wordprocessingShape">
                          <wps:wsp>
                            <wps:cNvCnPr/>
                            <wps:spPr>
                              <a:xfrm>
                                <a:off x="0" y="0"/>
                                <a:ext cx="0" cy="1028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5" o:spid="_x0000_s1026" o:spt="32" type="#_x0000_t32" style="position:absolute;left:0pt;margin-left:346pt;margin-top:24.15pt;height:81pt;width:0pt;z-index:251713536;mso-width-relative:page;mso-height-relative:page;" filled="f" stroked="t" coordsize="21600,21600" o:gfxdata="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7hYI7aAAAA&#10;CgEAAA8AAAAAAAAAAQAgAAAAIgAAAGRycy9kb3ducmV2LnhtbFBLAQIUABQAAAAIAIdO4kAlHvfT&#10;GwIAAA0EAAAOAAAAAAAAAAEAIAAAACkBAABkcnMvZTJvRG9jLnhtbFBLBQYAAAAABgAGAFkBAAC2&#10;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3714750</wp:posOffset>
                      </wp:positionH>
                      <wp:positionV relativeFrom="paragraph">
                        <wp:posOffset>300355</wp:posOffset>
                      </wp:positionV>
                      <wp:extent cx="704850" cy="0"/>
                      <wp:effectExtent l="0" t="76200" r="19050" b="95250"/>
                      <wp:wrapNone/>
                      <wp:docPr id="2043082215" name="直接箭头连接符 84"/>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4" o:spid="_x0000_s1026" o:spt="32" type="#_x0000_t32" style="position:absolute;left:0pt;margin-left:292.5pt;margin-top:23.65pt;height:0pt;width:55.5pt;z-index:251712512;mso-width-relative:page;mso-height-relative:page;" filled="f" stroked="t" coordsize="21600,21600" o:gfxdata="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2idPvYAAAACQEA&#10;AA8AAAAAAAAAAQAgAAAAIgAAAGRycy9kb3ducmV2LnhtbFBLAQIUABQAAAAIAIdO4kBbV8qeGgIA&#10;AAwEAAAOAAAAAAAAAAEAIAAAACcBAABkcnMvZTJvRG9jLnhtbFBLBQYAAAAABgAGAFkBAACzBQAA&#10;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2603500</wp:posOffset>
                      </wp:positionH>
                      <wp:positionV relativeFrom="paragraph">
                        <wp:posOffset>287655</wp:posOffset>
                      </wp:positionV>
                      <wp:extent cx="495300" cy="0"/>
                      <wp:effectExtent l="0" t="76200" r="19050" b="95250"/>
                      <wp:wrapNone/>
                      <wp:docPr id="583148026" name="直接箭头连接符 25"/>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25" o:spid="_x0000_s1026" o:spt="32" type="#_x0000_t32" style="position:absolute;left:0pt;margin-left:205pt;margin-top:22.65pt;height:0pt;width:39pt;z-index:251677696;mso-width-relative:page;mso-height-relative:page;" filled="f" stroked="t" coordsize="21600,21600" o:gfxdata="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GvebYAAAACQEAAA8AAAAAAAAAAQAgAAAAIgAAAGRycy9kb3ducmV2LnhtbFBLAQIU&#10;ABQAAAAIAIdO4kDRu6a5LAIAACwEAAAOAAAAAAAAAAEAIAAAACcBAABkcnMvZTJvRG9jLnhtbFBL&#10;BQYAAAAABgAGAFkBAADF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1330960</wp:posOffset>
                      </wp:positionH>
                      <wp:positionV relativeFrom="paragraph">
                        <wp:posOffset>284480</wp:posOffset>
                      </wp:positionV>
                      <wp:extent cx="463550" cy="298450"/>
                      <wp:effectExtent l="0" t="0" r="0" b="6350"/>
                      <wp:wrapNone/>
                      <wp:docPr id="1397155764"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5CDB18DE">
                                  <w:pPr>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04.8pt;margin-top:22.4pt;height:23.5pt;width:36.5pt;z-index:251680768;v-text-anchor:middle;mso-width-relative:page;mso-height-relative:page;" filled="f" stroked="f" coordsize="21600,21600" o:gfxdata="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W1&#10;/V/UAAAACQEAAA8AAAAAAAAAAQAgAAAAIgAAAGRycy9kb3ducmV2LnhtbFBLAQIUABQAAAAIAIdO&#10;4kALdkkmYAIAAKwEAAAOAAAAAAAAAAEAIAAAACMBAABkcnMvZTJvRG9jLnhtbFBLBQYAAAAABgAG&#10;AFkBAAD1BQAAAAA=&#10;">
                      <v:fill on="f" focussize="0,0"/>
                      <v:stroke on="f"/>
                      <v:imagedata o:title=""/>
                      <o:lock v:ext="edit" aspectratio="f"/>
                      <v:textbox>
                        <w:txbxContent>
                          <w:p w14:paraId="5CDB18DE">
                            <w:pPr>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2632710</wp:posOffset>
                      </wp:positionH>
                      <wp:positionV relativeFrom="paragraph">
                        <wp:posOffset>2540</wp:posOffset>
                      </wp:positionV>
                      <wp:extent cx="463550" cy="298450"/>
                      <wp:effectExtent l="0" t="0" r="0" b="6350"/>
                      <wp:wrapNone/>
                      <wp:docPr id="888341902"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5C55E04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07.3pt;margin-top:0.2pt;height:23.5pt;width:36.5pt;z-index:251681792;v-text-anchor:middle;mso-width-relative:page;mso-height-relative:page;" filled="f" stroked="f" coordsize="21600,21600" o:gfxdata="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hEPx9EA&#10;AAAHAQAADwAAAAAAAAABACAAAAAiAAAAZHJzL2Rvd25yZXYueG1sUEsBAhQAFAAAAAgAh07iQMW5&#10;Y+BfAgAAqwQAAA4AAAAAAAAAAQAgAAAAIAEAAGRycy9lMm9Eb2MueG1sUEsFBgAAAAAGAAYAWQEA&#10;APEFAAAAAA==&#10;">
                      <v:fill on="f" focussize="0,0"/>
                      <v:stroke on="f"/>
                      <v:imagedata o:title=""/>
                      <o:lock v:ext="edit" aspectratio="f"/>
                      <v:textbox>
                        <w:txbxContent>
                          <w:p w14:paraId="5C55E04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0</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3098800</wp:posOffset>
                      </wp:positionH>
                      <wp:positionV relativeFrom="paragraph">
                        <wp:posOffset>144145</wp:posOffset>
                      </wp:positionV>
                      <wp:extent cx="622300" cy="298450"/>
                      <wp:effectExtent l="0" t="0" r="25400" b="25400"/>
                      <wp:wrapNone/>
                      <wp:docPr id="1337332102" name="矩形 24"/>
                      <wp:cNvGraphicFramePr/>
                      <a:graphic xmlns:a="http://schemas.openxmlformats.org/drawingml/2006/main">
                        <a:graphicData uri="http://schemas.microsoft.com/office/word/2010/wordprocessingShape">
                          <wps:wsp>
                            <wps:cNvSpPr/>
                            <wps:spPr>
                              <a:xfrm>
                                <a:off x="0" y="0"/>
                                <a:ext cx="622300" cy="298450"/>
                              </a:xfrm>
                              <a:prstGeom prst="rect">
                                <a:avLst/>
                              </a:prstGeom>
                              <a:noFill/>
                              <a:ln w="9525" cap="flat" cmpd="sng" algn="ctr">
                                <a:solidFill>
                                  <a:sysClr val="windowText" lastClr="000000"/>
                                </a:solidFill>
                                <a:prstDash val="solid"/>
                              </a:ln>
                              <a:effectLst/>
                            </wps:spPr>
                            <wps:txbx>
                              <w:txbxContent>
                                <w:p w14:paraId="1ADF6DB3">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44pt;margin-top:11.35pt;height:23.5pt;width:49pt;z-index:251678720;v-text-anchor:middle;mso-width-relative:page;mso-height-relative:page;" filled="f" stroked="t" coordsize="21600,21600" o:gfxdata="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IcxTtkAAAAJAQAADwAAAAAAAAABACAA&#10;AAAiAAAAZHJzL2Rvd25yZXYueG1sUEsBAhQAFAAAAAgAh07iQA5eigZ+AgAA6QQAAA4AAAAAAAAA&#10;AQAgAAAAKAEAAGRycy9lMm9Eb2MueG1sUEsFBgAAAAAGAAYAWQEAABgGAAAAAA==&#10;">
                      <v:fill on="f" focussize="0,0"/>
                      <v:stroke color="#000000" joinstyle="round"/>
                      <v:imagedata o:title=""/>
                      <o:lock v:ext="edit" aspectratio="f"/>
                      <v:textbox>
                        <w:txbxContent>
                          <w:p w14:paraId="1ADF6DB3">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化粪池</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144145</wp:posOffset>
                      </wp:positionV>
                      <wp:extent cx="774700" cy="298450"/>
                      <wp:effectExtent l="0" t="0" r="25400" b="25400"/>
                      <wp:wrapNone/>
                      <wp:docPr id="1741562332" name="矩形 24"/>
                      <wp:cNvGraphicFramePr/>
                      <a:graphic xmlns:a="http://schemas.openxmlformats.org/drawingml/2006/main">
                        <a:graphicData uri="http://schemas.microsoft.com/office/word/2010/wordprocessingShape">
                          <wps:wsp>
                            <wps:cNvSpPr/>
                            <wps:spPr>
                              <a:xfrm>
                                <a:off x="0" y="0"/>
                                <a:ext cx="774700" cy="298450"/>
                              </a:xfrm>
                              <a:prstGeom prst="rect">
                                <a:avLst/>
                              </a:prstGeom>
                              <a:noFill/>
                              <a:ln w="9525" cap="flat" cmpd="sng" algn="ctr">
                                <a:solidFill>
                                  <a:sysClr val="windowText" lastClr="000000"/>
                                </a:solidFill>
                                <a:prstDash val="solid"/>
                              </a:ln>
                              <a:effectLst/>
                            </wps:spPr>
                            <wps:txbx>
                              <w:txbxContent>
                                <w:p w14:paraId="08801E9C">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44pt;margin-top:11.35pt;height:23.5pt;width:61pt;z-index:251669504;v-text-anchor:middle;mso-width-relative:page;mso-height-relative:page;" filled="f" stroked="t" coordsize="21600,21600" o:gfxdata="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tLURbZAAAACQEAAA8AAAAAAAAAAQAg&#10;AAAAIgAAAGRycy9kb3ducmV2LnhtbFBLAQIUABQAAAAIAIdO4kCGWShhfwIAAOkEAAAOAAAAAAAA&#10;AAEAIAAAACgBAABkcnMvZTJvRG9jLnhtbFBLBQYAAAAABgAGAFkBAAAZBgAAAAA=&#10;">
                      <v:fill on="f" focussize="0,0"/>
                      <v:stroke color="#000000" joinstyle="round"/>
                      <v:imagedata o:title=""/>
                      <o:lock v:ext="edit" aspectratio="f"/>
                      <v:textbox>
                        <w:txbxContent>
                          <w:p w14:paraId="08801E9C">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生活用水</w:t>
                            </w:r>
                          </w:p>
                        </w:txbxContent>
                      </v:textbox>
                    </v:rect>
                  </w:pict>
                </mc:Fallback>
              </mc:AlternateContent>
            </w:r>
            <w:r>
              <w:rPr>
                <w:rFonts w:hint="eastAsia"/>
              </w:rPr>
              <w:t xml:space="preserve"> </w:t>
            </w:r>
          </w:p>
          <w:p w14:paraId="2B2F7D24">
            <w:pPr>
              <w:pStyle w:val="2"/>
              <w:ind w:firstLine="480"/>
            </w:pPr>
            <w:r>
              <mc:AlternateContent>
                <mc:Choice Requires="wps">
                  <w:drawing>
                    <wp:anchor distT="0" distB="0" distL="114300" distR="114300" simplePos="0" relativeHeight="251670528" behindDoc="0" locked="0" layoutInCell="1" allowOverlap="1">
                      <wp:simplePos x="0" y="0"/>
                      <wp:positionH relativeFrom="column">
                        <wp:posOffset>1327150</wp:posOffset>
                      </wp:positionH>
                      <wp:positionV relativeFrom="paragraph">
                        <wp:posOffset>22860</wp:posOffset>
                      </wp:positionV>
                      <wp:extent cx="6350" cy="4577080"/>
                      <wp:effectExtent l="0" t="0" r="31750" b="33020"/>
                      <wp:wrapNone/>
                      <wp:docPr id="581243456" name="直接连接符 26"/>
                      <wp:cNvGraphicFramePr/>
                      <a:graphic xmlns:a="http://schemas.openxmlformats.org/drawingml/2006/main">
                        <a:graphicData uri="http://schemas.microsoft.com/office/word/2010/wordprocessingShape">
                          <wps:wsp>
                            <wps:cNvCnPr/>
                            <wps:spPr>
                              <a:xfrm flipH="1">
                                <a:off x="0" y="0"/>
                                <a:ext cx="6350" cy="4577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6" o:spid="_x0000_s1026" o:spt="20" style="position:absolute;left:0pt;flip:x;margin-left:104.5pt;margin-top:1.8pt;height:360.4pt;width:0.5pt;z-index:251670528;mso-width-relative:page;mso-height-relative:page;" filled="f" stroked="t" coordsize="21600,21600" o:gfxdata="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r8F1NcAAAAJAQAADwAAAAAAAAABACAAAAAiAAAAZHJz&#10;L2Rvd25yZXYueG1sUEsBAhQAFAAAAAgAh07iQAz0BWwFAgAA6QMAAA4AAAAAAAAAAQAgAAAAJgEA&#10;AGRycy9lMm9Eb2MueG1sUEsFBgAAAAAGAAYAWQEAAJ0FA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1330960</wp:posOffset>
                      </wp:positionH>
                      <wp:positionV relativeFrom="paragraph">
                        <wp:posOffset>19685</wp:posOffset>
                      </wp:positionV>
                      <wp:extent cx="495300" cy="0"/>
                      <wp:effectExtent l="0" t="76200" r="19050" b="95250"/>
                      <wp:wrapNone/>
                      <wp:docPr id="749132169" name="直接箭头连接符 25"/>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25" o:spid="_x0000_s1026" o:spt="32" type="#_x0000_t32" style="position:absolute;left:0pt;margin-left:104.8pt;margin-top:1.55pt;height:0pt;width:39pt;z-index:251671552;mso-width-relative:page;mso-height-relative:page;" filled="f" stroked="t" coordsize="21600,21600" o:gfxdata="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aQRwzVAAAABwEAAA8AAAAAAAAAAQAgAAAAIgAAAGRycy9kb3ducmV2LnhtbFBLAQIUABQA&#10;AAAIAIdO4kBfCGcTLAIAACwEAAAOAAAAAAAAAAEAIAAAACQBAABkcnMvZTJvRG9jLnhtbFBLBQYA&#10;AAAABgAGAFkBAADCBQAAAAA=&#10;">
                      <v:fill on="f" focussize="0,0"/>
                      <v:stroke color="#000000" joinstyle="round" endarrow="block"/>
                      <v:imagedata o:title=""/>
                      <o:lock v:ext="edit" aspectratio="f"/>
                    </v:shape>
                  </w:pict>
                </mc:Fallback>
              </mc:AlternateContent>
            </w:r>
          </w:p>
          <w:p w14:paraId="57E0A6DE">
            <w:r>
              <mc:AlternateContent>
                <mc:Choice Requires="wps">
                  <w:drawing>
                    <wp:anchor distT="0" distB="0" distL="114300" distR="114300" simplePos="0" relativeHeight="251691008" behindDoc="0" locked="0" layoutInCell="1" allowOverlap="1">
                      <wp:simplePos x="0" y="0"/>
                      <wp:positionH relativeFrom="column">
                        <wp:posOffset>721360</wp:posOffset>
                      </wp:positionH>
                      <wp:positionV relativeFrom="paragraph">
                        <wp:posOffset>27305</wp:posOffset>
                      </wp:positionV>
                      <wp:extent cx="681990" cy="298450"/>
                      <wp:effectExtent l="0" t="0" r="0" b="6350"/>
                      <wp:wrapNone/>
                      <wp:docPr id="827448202" name="矩形 24"/>
                      <wp:cNvGraphicFramePr/>
                      <a:graphic xmlns:a="http://schemas.openxmlformats.org/drawingml/2006/main">
                        <a:graphicData uri="http://schemas.microsoft.com/office/word/2010/wordprocessingShape">
                          <wps:wsp>
                            <wps:cNvSpPr/>
                            <wps:spPr>
                              <a:xfrm>
                                <a:off x="0" y="0"/>
                                <a:ext cx="681990" cy="298450"/>
                              </a:xfrm>
                              <a:prstGeom prst="rect">
                                <a:avLst/>
                              </a:prstGeom>
                              <a:noFill/>
                              <a:ln w="9525" cap="flat" cmpd="sng" algn="ctr">
                                <a:noFill/>
                                <a:prstDash val="solid"/>
                              </a:ln>
                              <a:effectLst/>
                            </wps:spPr>
                            <wps:txbx>
                              <w:txbxContent>
                                <w:p w14:paraId="3622EB1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30122.8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56.8pt;margin-top:2.15pt;height:23.5pt;width:53.7pt;z-index:251691008;v-text-anchor:middle;mso-width-relative:page;mso-height-relative:page;" filled="f" stroked="f" coordsize="21600,21600" o:gfxdata="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9ibR&#10;VtMAAAAIAQAADwAAAAAAAAABACAAAAAiAAAAZHJzL2Rvd25yZXYueG1sUEsBAhQAFAAAAAgAh07i&#10;QJdyaARgAgAAqwQAAA4AAAAAAAAAAQAgAAAAIgEAAGRycy9lMm9Eb2MueG1sUEsFBgAAAAAGAAYA&#10;WQEAAPQFAAAAAA==&#10;">
                      <v:fill on="f" focussize="0,0"/>
                      <v:stroke on="f"/>
                      <v:imagedata o:title=""/>
                      <o:lock v:ext="edit" aspectratio="f"/>
                      <v:textbox>
                        <w:txbxContent>
                          <w:p w14:paraId="3622EB1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30122.8</w:t>
                            </w:r>
                          </w:p>
                        </w:txbxContent>
                      </v:textbox>
                    </v:rect>
                  </w:pict>
                </mc:Fallback>
              </mc:AlternateContent>
            </w:r>
          </w:p>
          <w:p w14:paraId="606E75DA">
            <w:pPr>
              <w:pStyle w:val="2"/>
              <w:ind w:firstLine="480"/>
            </w:pPr>
            <w:r>
              <mc:AlternateContent>
                <mc:Choice Requires="wps">
                  <w:drawing>
                    <wp:anchor distT="0" distB="0" distL="114300" distR="114300" simplePos="0" relativeHeight="251714560" behindDoc="0" locked="0" layoutInCell="1" allowOverlap="1">
                      <wp:simplePos x="0" y="0"/>
                      <wp:positionH relativeFrom="column">
                        <wp:posOffset>4013200</wp:posOffset>
                      </wp:positionH>
                      <wp:positionV relativeFrom="paragraph">
                        <wp:posOffset>103505</wp:posOffset>
                      </wp:positionV>
                      <wp:extent cx="463550" cy="298450"/>
                      <wp:effectExtent l="0" t="0" r="0" b="6350"/>
                      <wp:wrapNone/>
                      <wp:docPr id="178521101"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184F6D1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316pt;margin-top:8.15pt;height:23.5pt;width:36.5pt;z-index:251714560;v-text-anchor:middle;mso-width-relative:page;mso-height-relative:page;" filled="f" stroked="f" coordsize="21600,21600" o:gfxdata="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hFkdMA&#10;AAAJAQAADwAAAAAAAAABACAAAAAiAAAAZHJzL2Rvd25yZXYueG1sUEsBAhQAFAAAAAgAh07iQHzo&#10;vk9dAgAAqwQAAA4AAAAAAAAAAQAgAAAAIgEAAGRycy9lMm9Eb2MueG1sUEsFBgAAAAAGAAYAWQEA&#10;APEFAAAAAA==&#10;">
                      <v:fill on="f" focussize="0,0"/>
                      <v:stroke on="f"/>
                      <v:imagedata o:title=""/>
                      <o:lock v:ext="edit" aspectratio="f"/>
                      <v:textbox>
                        <w:txbxContent>
                          <w:p w14:paraId="184F6D1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0</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2219960</wp:posOffset>
                      </wp:positionH>
                      <wp:positionV relativeFrom="paragraph">
                        <wp:posOffset>243840</wp:posOffset>
                      </wp:positionV>
                      <wp:extent cx="463550" cy="298450"/>
                      <wp:effectExtent l="0" t="0" r="0" b="6350"/>
                      <wp:wrapNone/>
                      <wp:docPr id="2142099958"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74A18F7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74.8pt;margin-top:19.2pt;height:23.5pt;width:36.5pt;z-index:251687936;v-text-anchor:middle;mso-width-relative:page;mso-height-relative:page;" filled="f" stroked="f" coordsize="21600,21600" o:gfxdata="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3zh&#10;LtUAAAAJAQAADwAAAAAAAAABACAAAAAiAAAAZHJzL2Rvd25yZXYueG1sUEsBAhQAFAAAAAgAh07i&#10;QMlW7pteAgAArAQAAA4AAAAAAAAAAQAgAAAAJAEAAGRycy9lMm9Eb2MueG1sUEsFBgAAAAAGAAYA&#10;WQEAAPQFAAAAAA==&#10;">
                      <v:fill on="f" focussize="0,0"/>
                      <v:stroke on="f"/>
                      <v:imagedata o:title=""/>
                      <o:lock v:ext="edit" aspectratio="f"/>
                      <v:textbox>
                        <w:txbxContent>
                          <w:p w14:paraId="74A18F7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838200</wp:posOffset>
                      </wp:positionH>
                      <wp:positionV relativeFrom="paragraph">
                        <wp:posOffset>178435</wp:posOffset>
                      </wp:positionV>
                      <wp:extent cx="495300" cy="0"/>
                      <wp:effectExtent l="0" t="76200" r="19050" b="95250"/>
                      <wp:wrapNone/>
                      <wp:docPr id="564336202" name="直接箭头连接符 25"/>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5" o:spid="_x0000_s1026" o:spt="32" type="#_x0000_t32" style="position:absolute;left:0pt;margin-left:66pt;margin-top:14.05pt;height:0pt;width:39pt;z-index:251668480;mso-width-relative:page;mso-height-relative:page;" filled="f" stroked="t" coordsize="21600,21600" o:gfxdata="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380t9cAAAAJAQAA&#10;DwAAAAAAAAABACAAAAAiAAAAZHJzL2Rvd25yZXYueG1sUEsBAhQAFAAAAAgAh07iQIuspyMaAgAA&#10;CwQAAA4AAAAAAAAAAQAgAAAAJgEAAGRycy9lMm9Eb2MueG1sUEsFBgAAAAAGAAYAWQEAALIFAAAA&#10;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165100</wp:posOffset>
                      </wp:positionH>
                      <wp:positionV relativeFrom="paragraph">
                        <wp:posOffset>51435</wp:posOffset>
                      </wp:positionV>
                      <wp:extent cx="673100" cy="298450"/>
                      <wp:effectExtent l="0" t="0" r="12700" b="25400"/>
                      <wp:wrapNone/>
                      <wp:docPr id="973702815" name="矩形 24"/>
                      <wp:cNvGraphicFramePr/>
                      <a:graphic xmlns:a="http://schemas.openxmlformats.org/drawingml/2006/main">
                        <a:graphicData uri="http://schemas.microsoft.com/office/word/2010/wordprocessingShape">
                          <wps:wsp>
                            <wps:cNvSpPr/>
                            <wps:spPr>
                              <a:xfrm>
                                <a:off x="0" y="0"/>
                                <a:ext cx="673100" cy="2984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09DEAF">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3pt;margin-top:4.05pt;height:23.5pt;width:53pt;z-index:251667456;v-text-anchor:middle;mso-width-relative:page;mso-height-relative:page;" filled="f" stroked="t" coordsize="21600,21600" o:gfxdata="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OB5i11gAAAAcBAAAPAAAAAAAAAAEAIAAAACIAAABkcnMvZG93bnJldi54bWxQ&#10;SwECFAAUAAAACACHTuJAGKrJymsCAADGBAAADgAAAAAAAAABACAAAAAlAQAAZHJzL2Uyb0RvYy54&#10;bWxQSwUGAAAAAAYABgBZAQAAAgYAAAAA&#10;">
                      <v:fill on="f" focussize="0,0"/>
                      <v:stroke color="#000000 [3213]" joinstyle="round"/>
                      <v:imagedata o:title=""/>
                      <o:lock v:ext="edit" aspectratio="f"/>
                      <v:textbox>
                        <w:txbxContent>
                          <w:p w14:paraId="7509DEAF">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新鲜水</w:t>
                            </w:r>
                          </w:p>
                        </w:txbxContent>
                      </v:textbox>
                    </v:rect>
                  </w:pict>
                </mc:Fallback>
              </mc:AlternateContent>
            </w:r>
          </w:p>
          <w:p w14:paraId="08AC18EC">
            <w:pPr>
              <w:pStyle w:val="2"/>
              <w:ind w:firstLine="480"/>
            </w:pPr>
            <w:r>
              <mc:AlternateContent>
                <mc:Choice Requires="wps">
                  <w:drawing>
                    <wp:anchor distT="0" distB="0" distL="114300" distR="114300" simplePos="0" relativeHeight="251679744" behindDoc="0" locked="0" layoutInCell="1" allowOverlap="1">
                      <wp:simplePos x="0" y="0"/>
                      <wp:positionH relativeFrom="column">
                        <wp:posOffset>4013200</wp:posOffset>
                      </wp:positionH>
                      <wp:positionV relativeFrom="paragraph">
                        <wp:posOffset>167640</wp:posOffset>
                      </wp:positionV>
                      <wp:extent cx="952500" cy="527050"/>
                      <wp:effectExtent l="0" t="0" r="19050" b="25400"/>
                      <wp:wrapNone/>
                      <wp:docPr id="1208526591" name="矩形 24"/>
                      <wp:cNvGraphicFramePr/>
                      <a:graphic xmlns:a="http://schemas.openxmlformats.org/drawingml/2006/main">
                        <a:graphicData uri="http://schemas.microsoft.com/office/word/2010/wordprocessingShape">
                          <wps:wsp>
                            <wps:cNvSpPr/>
                            <wps:spPr>
                              <a:xfrm>
                                <a:off x="0" y="0"/>
                                <a:ext cx="952500" cy="527050"/>
                              </a:xfrm>
                              <a:prstGeom prst="rect">
                                <a:avLst/>
                              </a:prstGeom>
                              <a:noFill/>
                              <a:ln w="12700" cap="flat" cmpd="sng" algn="ctr">
                                <a:solidFill>
                                  <a:schemeClr val="tx1"/>
                                </a:solidFill>
                                <a:prstDash val="solid"/>
                              </a:ln>
                              <a:effectLst/>
                            </wps:spPr>
                            <wps:txbx>
                              <w:txbxContent>
                                <w:p w14:paraId="658ADA2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衡山县污水处理厂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316pt;margin-top:13.2pt;height:41.5pt;width:75pt;z-index:251679744;v-text-anchor:middle;mso-width-relative:page;mso-height-relative:page;" filled="f" stroked="t" coordsize="21600,21600" o:gfxdata="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iaq0W2AAAAAoBAAAPAAAAAAAAAAEAIAAAACIAAABkcnMvZG93bnJl&#10;di54bWxQSwECFAAUAAAACACHTuJAtHdm1W8CAADWBAAADgAAAAAAAAABACAAAAAnAQAAZHJzL2Uy&#10;b0RvYy54bWxQSwUGAAAAAAYABgBZAQAACAYAAAAA&#10;">
                      <v:fill on="f" focussize="0,0"/>
                      <v:stroke weight="1pt" color="#000000 [3213]" joinstyle="round"/>
                      <v:imagedata o:title=""/>
                      <o:lock v:ext="edit" aspectratio="f"/>
                      <v:textbox>
                        <w:txbxContent>
                          <w:p w14:paraId="658ADA2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衡山县污水处理厂</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2854960</wp:posOffset>
                      </wp:positionH>
                      <wp:positionV relativeFrom="paragraph">
                        <wp:posOffset>88900</wp:posOffset>
                      </wp:positionV>
                      <wp:extent cx="463550" cy="298450"/>
                      <wp:effectExtent l="0" t="0" r="0" b="6350"/>
                      <wp:wrapNone/>
                      <wp:docPr id="1839670411"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76E418C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24.8pt;margin-top:7pt;height:23.5pt;width:36.5pt;z-index:251697152;v-text-anchor:middle;mso-width-relative:page;mso-height-relative:page;" filled="f" stroked="f" coordsize="21600,21600" o:gfxdata="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R0Q&#10;6dQAAAAJAQAADwAAAAAAAAABACAAAAAiAAAAZHJzL2Rvd25yZXYueG1sUEsBAhQAFAAAAAgAh07i&#10;QFCwBzVfAgAArAQAAA4AAAAAAAAAAQAgAAAAIwEAAGRycy9lMm9Eb2MueG1sUEsFBgAAAAAGAAYA&#10;WQEAAPQFAAAAAA==&#10;">
                      <v:fill on="f" focussize="0,0"/>
                      <v:stroke on="f"/>
                      <v:imagedata o:title=""/>
                      <o:lock v:ext="edit" aspectratio="f"/>
                      <v:textbox>
                        <w:txbxContent>
                          <w:p w14:paraId="76E418C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1330960</wp:posOffset>
                      </wp:positionH>
                      <wp:positionV relativeFrom="paragraph">
                        <wp:posOffset>177800</wp:posOffset>
                      </wp:positionV>
                      <wp:extent cx="463550" cy="298450"/>
                      <wp:effectExtent l="0" t="0" r="0" b="6350"/>
                      <wp:wrapNone/>
                      <wp:docPr id="632286029"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16B0D59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04.8pt;margin-top:14pt;height:23.5pt;width:36.5pt;z-index:251689984;v-text-anchor:middle;mso-width-relative:page;mso-height-relative:page;" filled="f" stroked="f" coordsize="21600,21600" o:gfxdata="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4BfuS&#10;1AAAAAkBAAAPAAAAAAAAAAEAIAAAACIAAABkcnMvZG93bnJldi54bWxQSwECFAAUAAAACACHTuJA&#10;TWtyQl4CAACrBAAADgAAAAAAAAABACAAAAAjAQAAZHJzL2Uyb0RvYy54bWxQSwUGAAAAAAYABgBZ&#10;AQAA8wUAAAAA&#10;">
                      <v:fill on="f" focussize="0,0"/>
                      <v:stroke on="f"/>
                      <v:imagedata o:title=""/>
                      <o:lock v:ext="edit" aspectratio="f"/>
                      <v:textbox>
                        <w:txbxContent>
                          <w:p w14:paraId="16B0D59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xbxContent>
                      </v:textbox>
                    </v:rect>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1940560</wp:posOffset>
                      </wp:positionH>
                      <wp:positionV relativeFrom="paragraph">
                        <wp:posOffset>125095</wp:posOffset>
                      </wp:positionV>
                      <wp:extent cx="419100" cy="196850"/>
                      <wp:effectExtent l="0" t="57150" r="19050" b="31750"/>
                      <wp:wrapNone/>
                      <wp:docPr id="1111076834" name="连接符: 曲线 27"/>
                      <wp:cNvGraphicFramePr/>
                      <a:graphic xmlns:a="http://schemas.openxmlformats.org/drawingml/2006/main">
                        <a:graphicData uri="http://schemas.microsoft.com/office/word/2010/wordprocessingShape">
                          <wps:wsp>
                            <wps:cNvCnPr/>
                            <wps:spPr>
                              <a:xfrm flipV="1">
                                <a:off x="0" y="0"/>
                                <a:ext cx="419100" cy="196850"/>
                              </a:xfrm>
                              <a:prstGeom prst="curvedConnector3">
                                <a:avLst/>
                              </a:prstGeom>
                              <a:noFill/>
                              <a:ln w="9525" cap="flat" cmpd="sng" algn="ctr">
                                <a:solidFill>
                                  <a:sysClr val="windowText" lastClr="000000">
                                    <a:shade val="95000"/>
                                    <a:satMod val="105000"/>
                                  </a:sysClr>
                                </a:solidFill>
                                <a:prstDash val="dash"/>
                                <a:tailEnd type="triangle"/>
                              </a:ln>
                              <a:effectLst/>
                            </wps:spPr>
                            <wps:bodyPr/>
                          </wps:wsp>
                        </a:graphicData>
                      </a:graphic>
                    </wp:anchor>
                  </w:drawing>
                </mc:Choice>
                <mc:Fallback>
                  <w:pict>
                    <v:shape id="连接符: 曲线 27" o:spid="_x0000_s1026" o:spt="38" type="#_x0000_t38" style="position:absolute;left:0pt;flip:y;margin-left:152.8pt;margin-top:9.85pt;height:15.5pt;width:33pt;z-index:251675648;mso-width-relative:page;mso-height-relative:page;" filled="f" stroked="t" coordsize="21600,21600" o:gfxdata="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PmEC2AAAAAkBAAAPAAAAAAAAAAEAIAAAACIAAABkcnMvZG93bnJl&#10;di54bWxQSwECFAAUAAAACACHTuJAYQh25zYCAAA1BAAADgAAAAAAAAABACAAAAAnAQAAZHJzL2Uy&#10;b0RvYy54bWxQSwUGAAAAAAYABgBZAQAAzwUAAAAA&#10;" adj="1080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1826260</wp:posOffset>
                      </wp:positionH>
                      <wp:positionV relativeFrom="paragraph">
                        <wp:posOffset>320675</wp:posOffset>
                      </wp:positionV>
                      <wp:extent cx="774700" cy="298450"/>
                      <wp:effectExtent l="0" t="0" r="25400" b="25400"/>
                      <wp:wrapNone/>
                      <wp:docPr id="1451930556" name="矩形 24"/>
                      <wp:cNvGraphicFramePr/>
                      <a:graphic xmlns:a="http://schemas.openxmlformats.org/drawingml/2006/main">
                        <a:graphicData uri="http://schemas.microsoft.com/office/word/2010/wordprocessingShape">
                          <wps:wsp>
                            <wps:cNvSpPr/>
                            <wps:spPr>
                              <a:xfrm>
                                <a:off x="0" y="0"/>
                                <a:ext cx="774700" cy="298450"/>
                              </a:xfrm>
                              <a:prstGeom prst="rect">
                                <a:avLst/>
                              </a:prstGeom>
                              <a:noFill/>
                              <a:ln w="9525" cap="flat" cmpd="sng" algn="ctr">
                                <a:solidFill>
                                  <a:sysClr val="windowText" lastClr="000000"/>
                                </a:solidFill>
                                <a:prstDash val="solid"/>
                              </a:ln>
                              <a:effectLst/>
                            </wps:spPr>
                            <wps:txbx>
                              <w:txbxContent>
                                <w:p w14:paraId="18FEB8A1">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喷淋用水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43.8pt;margin-top:25.25pt;height:23.5pt;width:61pt;z-index:251672576;v-text-anchor:middle;mso-width-relative:page;mso-height-relative:page;" filled="f" stroked="t" coordsize="21600,21600" o:gfxdata="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B3A+XZAAAACQEAAA8AAAAAAAAAAQAg&#10;AAAAIgAAAGRycy9kb3ducmV2LnhtbFBLAQIUABQAAAAIAIdO4kAqwdVefwIAAOkEAAAOAAAAAAAA&#10;AAEAIAAAACgBAABkcnMvZTJvRG9jLnhtbFBLBQYAAAAABgAGAFkBAAAZBgAAAAA=&#10;">
                      <v:fill on="f" focussize="0,0"/>
                      <v:stroke color="#000000" joinstyle="round"/>
                      <v:imagedata o:title=""/>
                      <o:lock v:ext="edit" aspectratio="f"/>
                      <v:textbox>
                        <w:txbxContent>
                          <w:p w14:paraId="18FEB8A1">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喷淋用水</w:t>
                            </w:r>
                          </w:p>
                        </w:txbxContent>
                      </v:textbox>
                    </v:rect>
                  </w:pict>
                </mc:Fallback>
              </mc:AlternateContent>
            </w:r>
          </w:p>
          <w:p w14:paraId="4D44B85A">
            <w:r>
              <mc:AlternateContent>
                <mc:Choice Requires="wps">
                  <w:drawing>
                    <wp:anchor distT="0" distB="0" distL="114300" distR="114300" simplePos="0" relativeHeight="251709440" behindDoc="0" locked="0" layoutInCell="1" allowOverlap="1">
                      <wp:simplePos x="0" y="0"/>
                      <wp:positionH relativeFrom="column">
                        <wp:posOffset>2590800</wp:posOffset>
                      </wp:positionH>
                      <wp:positionV relativeFrom="paragraph">
                        <wp:posOffset>54610</wp:posOffset>
                      </wp:positionV>
                      <wp:extent cx="1422400" cy="19050"/>
                      <wp:effectExtent l="0" t="57150" r="44450" b="95250"/>
                      <wp:wrapNone/>
                      <wp:docPr id="747884717" name="直接箭头连接符 80"/>
                      <wp:cNvGraphicFramePr/>
                      <a:graphic xmlns:a="http://schemas.openxmlformats.org/drawingml/2006/main">
                        <a:graphicData uri="http://schemas.microsoft.com/office/word/2010/wordprocessingShape">
                          <wps:wsp>
                            <wps:cNvCnPr/>
                            <wps:spPr>
                              <a:xfrm>
                                <a:off x="0" y="0"/>
                                <a:ext cx="14224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0" o:spid="_x0000_s1026" o:spt="32" type="#_x0000_t32" style="position:absolute;left:0pt;margin-left:204pt;margin-top:4.3pt;height:1.5pt;width:112pt;z-index:251709440;mso-width-relative:page;mso-height-relative:page;" filled="f" stroked="t" coordsize="21600,21600" o:gfxdata="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jbrcDXAAAA&#10;CAEAAA8AAAAAAAAAAQAgAAAAIgAAAGRycy9kb3ducmV2LnhtbFBLAQIUABQAAAAIAIdO4kDdNIMl&#10;HgIAABAEAAAOAAAAAAAAAAEAIAAAACYBAABkcnMvZTJvRG9jLnhtbFBLBQYAAAAABgAGAFkBAAC2&#10;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1606550</wp:posOffset>
                      </wp:positionH>
                      <wp:positionV relativeFrom="paragraph">
                        <wp:posOffset>139065</wp:posOffset>
                      </wp:positionV>
                      <wp:extent cx="0" cy="571500"/>
                      <wp:effectExtent l="76200" t="38100" r="57150" b="19050"/>
                      <wp:wrapNone/>
                      <wp:docPr id="719086003" name="直接箭头连接符 33"/>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3" o:spid="_x0000_s1026" o:spt="32" type="#_x0000_t32" style="position:absolute;left:0pt;flip:y;margin-left:126.5pt;margin-top:10.95pt;height:45pt;width:0pt;z-index:251686912;mso-width-relative:page;mso-height-relative:page;" filled="f" stroked="t" coordsize="21600,21600" o:gfxdata="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ch6pdcA&#10;AAAKAQAADwAAAAAAAAABACAAAAAiAAAAZHJzL2Rvd25yZXYueG1sUEsBAhQAFAAAAAgAh07iQHhx&#10;aJ0gAgAAFQQAAA4AAAAAAAAAAQAgAAAAJgEAAGRycy9lMm9Eb2MueG1sUEsFBgAAAAAGAAYAWQEA&#10;ALg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3244850</wp:posOffset>
                      </wp:positionH>
                      <wp:positionV relativeFrom="paragraph">
                        <wp:posOffset>139065</wp:posOffset>
                      </wp:positionV>
                      <wp:extent cx="0" cy="571500"/>
                      <wp:effectExtent l="0" t="0" r="38100" b="19050"/>
                      <wp:wrapNone/>
                      <wp:docPr id="473609130" name="直接连接符 3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30" o:spid="_x0000_s1026" o:spt="20" style="position:absolute;left:0pt;margin-left:255.5pt;margin-top:10.95pt;height:45pt;width:0pt;z-index:251684864;mso-width-relative:page;mso-height-relative:page;" filled="f" stroked="t" coordsize="21600,21600" o:gfxdata="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VS2hnVAAAACgEAAA8AAAAAAAAAAQAgAAAAIgAAAGRycy9kb3ducmV2LnhtbFBLAQIU&#10;ABQAAAAIAIdO4kB9EDCX9gEAANsDAAAOAAAAAAAAAAEAIAAAACQBAABkcnMvZTJvRG9jLnhtbFBL&#10;BQYAAAAABgAGAFkBAACM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2603500</wp:posOffset>
                      </wp:positionH>
                      <wp:positionV relativeFrom="paragraph">
                        <wp:posOffset>139065</wp:posOffset>
                      </wp:positionV>
                      <wp:extent cx="641350" cy="0"/>
                      <wp:effectExtent l="0" t="0" r="0" b="0"/>
                      <wp:wrapNone/>
                      <wp:docPr id="1310268508" name="直接连接符 29"/>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9" o:spid="_x0000_s1026" o:spt="20" style="position:absolute;left:0pt;margin-left:205pt;margin-top:10.95pt;height:0pt;width:50.5pt;z-index:251683840;mso-width-relative:page;mso-height-relative:page;" filled="f" stroked="t" coordsize="21600,21600" o:gfxdata="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NFgh7WAAAACQEAAA8AAAAAAAAAAQAgAAAAIgAAAGRycy9kb3ducmV2LnhtbFBL&#10;AQIUABQAAAAIAIdO4kDeI8OP+AEAANwDAAAOAAAAAAAAAAEAIAAAACUBAABkcnMvZTJvRG9jLnht&#10;bFBLBQYAAAAABgAGAFkBAACP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1330960</wp:posOffset>
                      </wp:positionH>
                      <wp:positionV relativeFrom="paragraph">
                        <wp:posOffset>139700</wp:posOffset>
                      </wp:positionV>
                      <wp:extent cx="495300" cy="0"/>
                      <wp:effectExtent l="0" t="76200" r="19050" b="95250"/>
                      <wp:wrapNone/>
                      <wp:docPr id="134704334" name="直接箭头连接符 25"/>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25" o:spid="_x0000_s1026" o:spt="32" type="#_x0000_t32" style="position:absolute;left:0pt;margin-left:104.8pt;margin-top:11pt;height:0pt;width:39pt;z-index:251673600;mso-width-relative:page;mso-height-relative:page;" filled="f" stroked="t" coordsize="21600,21600" o:gfxdata="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7MDNdgAAAAJAQAADwAAAAAAAAABACAAAAAiAAAAZHJzL2Rvd25yZXYueG1sUEsBAhQA&#10;FAAAAAgAh07iQKk1NX8rAgAALAQAAA4AAAAAAAAAAQAgAAAAJwEAAGRycy9lMm9Eb2MueG1sUEsF&#10;BgAAAAAGAAYAWQEAAMQFAAAAAA==&#10;">
                      <v:fill on="f" focussize="0,0"/>
                      <v:stroke color="#000000" joinstyle="round" endarrow="block"/>
                      <v:imagedata o:title=""/>
                      <o:lock v:ext="edit" aspectratio="f"/>
                    </v:shape>
                  </w:pict>
                </mc:Fallback>
              </mc:AlternateContent>
            </w:r>
          </w:p>
          <w:p w14:paraId="60612B63">
            <w:pPr>
              <w:pStyle w:val="2"/>
              <w:ind w:firstLine="480"/>
            </w:pPr>
            <w:r>
              <mc:AlternateContent>
                <mc:Choice Requires="wps">
                  <w:drawing>
                    <wp:anchor distT="0" distB="0" distL="114300" distR="114300" simplePos="0" relativeHeight="251723776" behindDoc="0" locked="0" layoutInCell="1" allowOverlap="1">
                      <wp:simplePos x="0" y="0"/>
                      <wp:positionH relativeFrom="column">
                        <wp:posOffset>4381500</wp:posOffset>
                      </wp:positionH>
                      <wp:positionV relativeFrom="paragraph">
                        <wp:posOffset>215265</wp:posOffset>
                      </wp:positionV>
                      <wp:extent cx="19050" cy="3054350"/>
                      <wp:effectExtent l="57150" t="38100" r="57150" b="12700"/>
                      <wp:wrapNone/>
                      <wp:docPr id="772933633" name="直接箭头连接符 68"/>
                      <wp:cNvGraphicFramePr/>
                      <a:graphic xmlns:a="http://schemas.openxmlformats.org/drawingml/2006/main">
                        <a:graphicData uri="http://schemas.microsoft.com/office/word/2010/wordprocessingShape">
                          <wps:wsp>
                            <wps:cNvCnPr/>
                            <wps:spPr>
                              <a:xfrm flipV="1">
                                <a:off x="0" y="0"/>
                                <a:ext cx="19050" cy="305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8" o:spid="_x0000_s1026" o:spt="32" type="#_x0000_t32" style="position:absolute;left:0pt;flip:y;margin-left:345pt;margin-top:16.95pt;height:240.5pt;width:1.5pt;z-index:251723776;mso-width-relative:page;mso-height-relative:page;" filled="f" stroked="t" coordsize="21600,21600" o:gfxdata="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S/wW9oAAAAKAQAADwAAAAAAAAABACAAAAAiAAAAZHJzL2Rvd25yZXYueG1sUEsBAhQAFAAA&#10;AAgAh07iQEAGAVkmAgAAGgQAAA4AAAAAAAAAAQAgAAAAKQEAAGRycy9lMm9Eb2MueG1sUEsFBgAA&#10;AAAGAAYAWQEAAME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1981200</wp:posOffset>
                      </wp:positionH>
                      <wp:positionV relativeFrom="paragraph">
                        <wp:posOffset>259080</wp:posOffset>
                      </wp:positionV>
                      <wp:extent cx="1022350" cy="298450"/>
                      <wp:effectExtent l="0" t="0" r="0" b="6350"/>
                      <wp:wrapNone/>
                      <wp:docPr id="50669552" name="矩形 24"/>
                      <wp:cNvGraphicFramePr/>
                      <a:graphic xmlns:a="http://schemas.openxmlformats.org/drawingml/2006/main">
                        <a:graphicData uri="http://schemas.microsoft.com/office/word/2010/wordprocessingShape">
                          <wps:wsp>
                            <wps:cNvSpPr/>
                            <wps:spPr>
                              <a:xfrm>
                                <a:off x="0" y="0"/>
                                <a:ext cx="1022350" cy="298450"/>
                              </a:xfrm>
                              <a:prstGeom prst="rect">
                                <a:avLst/>
                              </a:prstGeom>
                              <a:noFill/>
                              <a:ln w="9525" cap="flat" cmpd="sng" algn="ctr">
                                <a:noFill/>
                                <a:prstDash val="solid"/>
                              </a:ln>
                              <a:effectLst/>
                            </wps:spPr>
                            <wps:txbx>
                              <w:txbxContent>
                                <w:p w14:paraId="7EFDC9DB">
                                  <w:pPr>
                                    <w:rPr>
                                      <w:color w:val="000000" w:themeColor="text1"/>
                                      <w14:textFill>
                                        <w14:solidFill>
                                          <w14:schemeClr w14:val="tx1"/>
                                        </w14:solidFill>
                                      </w14:textFill>
                                    </w:rPr>
                                  </w:pPr>
                                  <w:r>
                                    <w:rPr>
                                      <w:rFonts w:hint="eastAsia"/>
                                      <w:color w:val="000000" w:themeColor="text1"/>
                                      <w14:textFill>
                                        <w14:solidFill>
                                          <w14:schemeClr w14:val="tx1"/>
                                        </w14:solidFill>
                                      </w14:textFill>
                                    </w:rPr>
                                    <w:t>循环量19</w:t>
                                  </w:r>
                                  <w:r>
                                    <w:rPr>
                                      <w:color w:val="000000" w:themeColor="text1"/>
                                      <w14:textFill>
                                        <w14:solidFill>
                                          <w14:schemeClr w14:val="tx1"/>
                                        </w14:solidFill>
                                      </w14:textFill>
                                    </w:rPr>
                                    <w:t>2000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56pt;margin-top:20.4pt;height:23.5pt;width:80.5pt;z-index:251688960;v-text-anchor:middle;mso-width-relative:page;mso-height-relative:page;" filled="f" stroked="f" coordsize="21600,21600" o:gfxdata="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Uu&#10;i9UAAAAJAQAADwAAAAAAAAABACAAAAAiAAAAZHJzL2Rvd25yZXYueG1sUEsBAhQAFAAAAAgAh07i&#10;QCUTzYReAgAAqwQAAA4AAAAAAAAAAQAgAAAAJAEAAGRycy9lMm9Eb2MueG1sUEsFBgAAAAAGAAYA&#10;WQEAAPQFAAAAAA==&#10;">
                      <v:fill on="f" focussize="0,0"/>
                      <v:stroke on="f"/>
                      <v:imagedata o:title=""/>
                      <o:lock v:ext="edit" aspectratio="f"/>
                      <v:textbox>
                        <w:txbxContent>
                          <w:p w14:paraId="7EFDC9DB">
                            <w:pPr>
                              <w:rPr>
                                <w:color w:val="000000" w:themeColor="text1"/>
                                <w14:textFill>
                                  <w14:solidFill>
                                    <w14:schemeClr w14:val="tx1"/>
                                  </w14:solidFill>
                                </w14:textFill>
                              </w:rPr>
                            </w:pPr>
                            <w:r>
                              <w:rPr>
                                <w:rFonts w:hint="eastAsia"/>
                                <w:color w:val="000000" w:themeColor="text1"/>
                                <w14:textFill>
                                  <w14:solidFill>
                                    <w14:schemeClr w14:val="tx1"/>
                                  </w14:solidFill>
                                </w14:textFill>
                              </w:rPr>
                              <w:t>循环量19</w:t>
                            </w:r>
                            <w:r>
                              <w:rPr>
                                <w:color w:val="000000" w:themeColor="text1"/>
                                <w14:textFill>
                                  <w14:solidFill>
                                    <w14:schemeClr w14:val="tx1"/>
                                  </w14:solidFill>
                                </w14:textFill>
                              </w:rPr>
                              <w:t>2000</w:t>
                            </w:r>
                          </w:p>
                        </w:txbxContent>
                      </v:textbox>
                    </v:rect>
                  </w:pict>
                </mc:Fallback>
              </mc:AlternateContent>
            </w:r>
          </w:p>
          <w:p w14:paraId="0ACA54E0">
            <w:r>
              <mc:AlternateContent>
                <mc:Choice Requires="wps">
                  <w:drawing>
                    <wp:anchor distT="0" distB="0" distL="114300" distR="114300" simplePos="0" relativeHeight="251715584" behindDoc="0" locked="0" layoutInCell="1" allowOverlap="1">
                      <wp:simplePos x="0" y="0"/>
                      <wp:positionH relativeFrom="column">
                        <wp:posOffset>4378960</wp:posOffset>
                      </wp:positionH>
                      <wp:positionV relativeFrom="paragraph">
                        <wp:posOffset>88900</wp:posOffset>
                      </wp:positionV>
                      <wp:extent cx="701040" cy="298450"/>
                      <wp:effectExtent l="0" t="0" r="0" b="6350"/>
                      <wp:wrapNone/>
                      <wp:docPr id="416279433" name="矩形 24"/>
                      <wp:cNvGraphicFramePr/>
                      <a:graphic xmlns:a="http://schemas.openxmlformats.org/drawingml/2006/main">
                        <a:graphicData uri="http://schemas.microsoft.com/office/word/2010/wordprocessingShape">
                          <wps:wsp>
                            <wps:cNvSpPr/>
                            <wps:spPr>
                              <a:xfrm>
                                <a:off x="0" y="0"/>
                                <a:ext cx="701040" cy="298450"/>
                              </a:xfrm>
                              <a:prstGeom prst="rect">
                                <a:avLst/>
                              </a:prstGeom>
                              <a:noFill/>
                              <a:ln w="9525" cap="flat" cmpd="sng" algn="ctr">
                                <a:noFill/>
                                <a:prstDash val="solid"/>
                              </a:ln>
                              <a:effectLst/>
                            </wps:spPr>
                            <wps:txbx>
                              <w:txbxContent>
                                <w:p w14:paraId="433B69E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20360.8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344.8pt;margin-top:7pt;height:23.5pt;width:55.2pt;z-index:251715584;v-text-anchor:middle;mso-width-relative:page;mso-height-relative:page;" filled="f" stroked="f" coordsize="21600,21600" o:gfxdata="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jXs9vS&#10;AAAACQEAAA8AAAAAAAAAAQAgAAAAIgAAAGRycy9kb3ducmV2LnhtbFBLAQIUABQAAAAIAIdO4kDs&#10;EzotXwIAAKsEAAAOAAAAAAAAAAEAIAAAACEBAABkcnMvZTJvRG9jLnhtbFBLBQYAAAAABgAGAFkB&#10;AADyBQAAAAA=&#10;">
                      <v:fill on="f" focussize="0,0"/>
                      <v:stroke on="f"/>
                      <v:imagedata o:title=""/>
                      <o:lock v:ext="edit" aspectratio="f"/>
                      <v:textbox>
                        <w:txbxContent>
                          <w:p w14:paraId="433B69E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20360.8</w:t>
                            </w:r>
                          </w:p>
                        </w:txbxContent>
                      </v:textbox>
                    </v:rect>
                  </w:pict>
                </mc:Fallback>
              </mc:AlternateContent>
            </w:r>
          </w:p>
          <w:p w14:paraId="0F26DC09">
            <w:pPr>
              <w:pStyle w:val="2"/>
              <w:ind w:firstLine="480"/>
            </w:pPr>
            <w:r>
              <w:rPr>
                <w:rFonts w:hint="eastAsia"/>
              </w:rPr>
              <mc:AlternateContent>
                <mc:Choice Requires="wps">
                  <w:drawing>
                    <wp:anchor distT="0" distB="0" distL="114300" distR="114300" simplePos="0" relativeHeight="251696128" behindDoc="0" locked="0" layoutInCell="1" allowOverlap="1">
                      <wp:simplePos x="0" y="0"/>
                      <wp:positionH relativeFrom="column">
                        <wp:posOffset>2241550</wp:posOffset>
                      </wp:positionH>
                      <wp:positionV relativeFrom="paragraph">
                        <wp:posOffset>225425</wp:posOffset>
                      </wp:positionV>
                      <wp:extent cx="387350" cy="201930"/>
                      <wp:effectExtent l="0" t="57150" r="12700" b="26670"/>
                      <wp:wrapNone/>
                      <wp:docPr id="768260574" name="连接符: 曲线 27"/>
                      <wp:cNvGraphicFramePr/>
                      <a:graphic xmlns:a="http://schemas.openxmlformats.org/drawingml/2006/main">
                        <a:graphicData uri="http://schemas.microsoft.com/office/word/2010/wordprocessingShape">
                          <wps:wsp>
                            <wps:cNvCnPr/>
                            <wps:spPr>
                              <a:xfrm flipV="1">
                                <a:off x="0" y="0"/>
                                <a:ext cx="387350" cy="201930"/>
                              </a:xfrm>
                              <a:prstGeom prst="curvedConnector3">
                                <a:avLst/>
                              </a:prstGeom>
                              <a:noFill/>
                              <a:ln w="9525" cap="flat" cmpd="sng" algn="ctr">
                                <a:solidFill>
                                  <a:sysClr val="windowText" lastClr="000000">
                                    <a:shade val="95000"/>
                                    <a:satMod val="105000"/>
                                  </a:sysClr>
                                </a:solidFill>
                                <a:prstDash val="dash"/>
                                <a:tailEnd type="triangle"/>
                              </a:ln>
                              <a:effectLst/>
                            </wps:spPr>
                            <wps:bodyPr/>
                          </wps:wsp>
                        </a:graphicData>
                      </a:graphic>
                    </wp:anchor>
                  </w:drawing>
                </mc:Choice>
                <mc:Fallback>
                  <w:pict>
                    <v:shape id="连接符: 曲线 27" o:spid="_x0000_s1026" o:spt="38" type="#_x0000_t38" style="position:absolute;left:0pt;flip:y;margin-left:176.5pt;margin-top:17.75pt;height:15.9pt;width:30.5pt;z-index:251696128;mso-width-relative:page;mso-height-relative:page;" filled="f" stroked="t" coordsize="21600,21600" o:gfxdata="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gzWtdkAAAAJAQAADwAAAAAAAAABACAAAAAiAAAAZHJzL2Rvd25y&#10;ZXYueG1sUEsBAhQAFAAAAAgAh07iQMHNsU42AgAANAQAAA4AAAAAAAAAAQAgAAAAKAEAAGRycy9l&#10;Mm9Eb2MueG1sUEsFBgAAAAAGAAYAWQEAANAFAAAAAA==&#10;" adj="1080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2514600</wp:posOffset>
                      </wp:positionH>
                      <wp:positionV relativeFrom="paragraph">
                        <wp:posOffset>100965</wp:posOffset>
                      </wp:positionV>
                      <wp:extent cx="552450" cy="298450"/>
                      <wp:effectExtent l="0" t="0" r="0" b="6350"/>
                      <wp:wrapNone/>
                      <wp:docPr id="1933357658" name="矩形 24"/>
                      <wp:cNvGraphicFramePr/>
                      <a:graphic xmlns:a="http://schemas.openxmlformats.org/drawingml/2006/main">
                        <a:graphicData uri="http://schemas.microsoft.com/office/word/2010/wordprocessingShape">
                          <wps:wsp>
                            <wps:cNvSpPr/>
                            <wps:spPr>
                              <a:xfrm>
                                <a:off x="0" y="0"/>
                                <a:ext cx="552450" cy="298450"/>
                              </a:xfrm>
                              <a:prstGeom prst="rect">
                                <a:avLst/>
                              </a:prstGeom>
                              <a:noFill/>
                              <a:ln w="9525" cap="flat" cmpd="sng" algn="ctr">
                                <a:noFill/>
                                <a:prstDash val="solid"/>
                              </a:ln>
                              <a:effectLst/>
                            </wps:spPr>
                            <wps:txbx>
                              <w:txbxContent>
                                <w:p w14:paraId="54C5BA1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8640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98pt;margin-top:7.95pt;height:23.5pt;width:43.5pt;z-index:251699200;v-text-anchor:middle;mso-width-relative:page;mso-height-relative:page;" filled="f" stroked="f" coordsize="21600,21600" o:gfxdata="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Yu9&#10;/tUAAAAJAQAADwAAAAAAAAABACAAAAAiAAAAZHJzL2Rvd25yZXYueG1sUEsBAhQAFAAAAAgAh07i&#10;QGusDpFeAgAArAQAAA4AAAAAAAAAAQAgAAAAJAEAAGRycy9lMm9Eb2MueG1sUEsFBgAAAAAGAAYA&#10;WQEAAPQFAAAAAA==&#10;">
                      <v:fill on="f" focussize="0,0"/>
                      <v:stroke on="f"/>
                      <v:imagedata o:title=""/>
                      <o:lock v:ext="edit" aspectratio="f"/>
                      <v:textbox>
                        <w:txbxContent>
                          <w:p w14:paraId="54C5BA1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8640</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1352550</wp:posOffset>
                      </wp:positionH>
                      <wp:positionV relativeFrom="paragraph">
                        <wp:posOffset>227965</wp:posOffset>
                      </wp:positionV>
                      <wp:extent cx="605790" cy="298450"/>
                      <wp:effectExtent l="0" t="0" r="0" b="6350"/>
                      <wp:wrapNone/>
                      <wp:docPr id="450730740" name="矩形 24"/>
                      <wp:cNvGraphicFramePr/>
                      <a:graphic xmlns:a="http://schemas.openxmlformats.org/drawingml/2006/main">
                        <a:graphicData uri="http://schemas.microsoft.com/office/word/2010/wordprocessingShape">
                          <wps:wsp>
                            <wps:cNvSpPr/>
                            <wps:spPr>
                              <a:xfrm>
                                <a:off x="0" y="0"/>
                                <a:ext cx="605790" cy="298450"/>
                              </a:xfrm>
                              <a:prstGeom prst="rect">
                                <a:avLst/>
                              </a:prstGeom>
                              <a:noFill/>
                              <a:ln w="9525" cap="flat" cmpd="sng" algn="ctr">
                                <a:noFill/>
                                <a:prstDash val="solid"/>
                              </a:ln>
                              <a:effectLst/>
                            </wps:spPr>
                            <wps:txbx>
                              <w:txbxContent>
                                <w:p w14:paraId="37860EE1">
                                  <w:pPr>
                                    <w:rPr>
                                      <w:color w:val="000000" w:themeColor="text1"/>
                                      <w14:textFill>
                                        <w14:solidFill>
                                          <w14:schemeClr w14:val="tx1"/>
                                        </w14:solidFill>
                                      </w14:textFill>
                                    </w:rPr>
                                  </w:pPr>
                                  <w:r>
                                    <w:rPr>
                                      <w:rFonts w:hint="eastAsia"/>
                                      <w:color w:val="000000" w:themeColor="text1"/>
                                      <w14:textFill>
                                        <w14:solidFill>
                                          <w14:schemeClr w14:val="tx1"/>
                                        </w14:solidFill>
                                      </w14:textFill>
                                    </w:rPr>
                                    <w:t>27360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06.5pt;margin-top:17.95pt;height:23.5pt;width:47.7pt;z-index:251700224;v-text-anchor:middle;mso-width-relative:page;mso-height-relative:page;" filled="f" stroked="f" coordsize="21600,21600" o:gfxdata="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ylb5&#10;1QAAAAkBAAAPAAAAAAAAAAEAIAAAACIAAABkcnMvZG93bnJldi54bWxQSwECFAAUAAAACACHTuJA&#10;ibMbf10CAACrBAAADgAAAAAAAAABACAAAAAkAQAAZHJzL2Uyb0RvYy54bWxQSwUGAAAAAAYABgBZ&#10;AQAA8wUAAAAA&#10;">
                      <v:fill on="f" focussize="0,0"/>
                      <v:stroke on="f"/>
                      <v:imagedata o:title=""/>
                      <o:lock v:ext="edit" aspectratio="f"/>
                      <v:textbox>
                        <w:txbxContent>
                          <w:p w14:paraId="37860EE1">
                            <w:pPr>
                              <w:rPr>
                                <w:color w:val="000000" w:themeColor="text1"/>
                                <w14:textFill>
                                  <w14:solidFill>
                                    <w14:schemeClr w14:val="tx1"/>
                                  </w14:solidFill>
                                </w14:textFill>
                              </w:rPr>
                            </w:pPr>
                            <w:r>
                              <w:rPr>
                                <w:rFonts w:hint="eastAsia"/>
                                <w:color w:val="000000" w:themeColor="text1"/>
                                <w14:textFill>
                                  <w14:solidFill>
                                    <w14:schemeClr w14:val="tx1"/>
                                  </w14:solidFill>
                                </w14:textFill>
                              </w:rPr>
                              <w:t>27360</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3020060</wp:posOffset>
                      </wp:positionH>
                      <wp:positionV relativeFrom="paragraph">
                        <wp:posOffset>257175</wp:posOffset>
                      </wp:positionV>
                      <wp:extent cx="624840" cy="298450"/>
                      <wp:effectExtent l="0" t="0" r="0" b="6350"/>
                      <wp:wrapNone/>
                      <wp:docPr id="750619808" name="矩形 24"/>
                      <wp:cNvGraphicFramePr/>
                      <a:graphic xmlns:a="http://schemas.openxmlformats.org/drawingml/2006/main">
                        <a:graphicData uri="http://schemas.microsoft.com/office/word/2010/wordprocessingShape">
                          <wps:wsp>
                            <wps:cNvSpPr/>
                            <wps:spPr>
                              <a:xfrm>
                                <a:off x="0" y="0"/>
                                <a:ext cx="624840" cy="298450"/>
                              </a:xfrm>
                              <a:prstGeom prst="rect">
                                <a:avLst/>
                              </a:prstGeom>
                              <a:noFill/>
                              <a:ln w="9525" cap="flat" cmpd="sng" algn="ctr">
                                <a:noFill/>
                                <a:prstDash val="solid"/>
                              </a:ln>
                              <a:effectLst/>
                            </wps:spPr>
                            <wps:txbx>
                              <w:txbxContent>
                                <w:p w14:paraId="74E49F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20160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37.8pt;margin-top:20.25pt;height:23.5pt;width:49.2pt;z-index:251703296;v-text-anchor:middle;mso-width-relative:page;mso-height-relative:page;" filled="f" stroked="f" coordsize="21600,21600" o:gfxdata="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9l&#10;xmfVAAAACQEAAA8AAAAAAAAAAQAgAAAAIgAAAGRycy9kb3ducmV2LnhtbFBLAQIUABQAAAAIAIdO&#10;4kAkW9yPXwIAAKsEAAAOAAAAAAAAAAEAIAAAACQBAABkcnMvZTJvRG9jLnhtbFBLBQYAAAAABgAG&#10;AFkBAAD1BQAAAAA=&#10;">
                      <v:fill on="f" focussize="0,0"/>
                      <v:stroke on="f"/>
                      <v:imagedata o:title=""/>
                      <o:lock v:ext="edit" aspectratio="f"/>
                      <v:textbox>
                        <w:txbxContent>
                          <w:p w14:paraId="74E49F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20160</w:t>
                            </w:r>
                          </w:p>
                        </w:txbxContent>
                      </v:textbox>
                    </v:rect>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1606550</wp:posOffset>
                      </wp:positionH>
                      <wp:positionV relativeFrom="paragraph">
                        <wp:posOffset>65405</wp:posOffset>
                      </wp:positionV>
                      <wp:extent cx="1638300" cy="0"/>
                      <wp:effectExtent l="0" t="0" r="0" b="0"/>
                      <wp:wrapNone/>
                      <wp:docPr id="668366787" name="直接连接符 31"/>
                      <wp:cNvGraphicFramePr/>
                      <a:graphic xmlns:a="http://schemas.openxmlformats.org/drawingml/2006/main">
                        <a:graphicData uri="http://schemas.microsoft.com/office/word/2010/wordprocessingShape">
                          <wps:wsp>
                            <wps:cNvCnPr/>
                            <wps:spPr>
                              <a:xfrm flipH="1">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31" o:spid="_x0000_s1026" o:spt="20" style="position:absolute;left:0pt;flip:x;margin-left:126.5pt;margin-top:5.15pt;height:0pt;width:129pt;z-index:251685888;mso-width-relative:page;mso-height-relative:page;" filled="f" stroked="t" coordsize="21600,21600" o:gfxdata="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nH7WtUAAAAJAQAADwAAAAAAAAABACAAAAAiAAAAZHJzL2Rvd25y&#10;ZXYueG1sUEsBAhQAFAAAAAgAh07iQA+mUoQBAgAA5gMAAA4AAAAAAAAAAQAgAAAAJAEAAGRycy9l&#10;Mm9Eb2MueG1sUEsFBgAAAAAGAAYAWQEAAJcFAAAAAA==&#10;">
                      <v:fill on="f" focussize="0,0"/>
                      <v:stroke color="#000000 [3200]" joinstyle="round"/>
                      <v:imagedata o:title=""/>
                      <o:lock v:ext="edit" aspectratio="f"/>
                    </v:line>
                  </w:pict>
                </mc:Fallback>
              </mc:AlternateContent>
            </w:r>
          </w:p>
          <w:p w14:paraId="4DB11430">
            <w:pPr>
              <w:spacing w:line="360" w:lineRule="auto"/>
              <w:ind w:firstLine="210" w:firstLineChars="100"/>
              <w:jc w:val="center"/>
              <w:rPr>
                <w:b/>
                <w:bCs/>
                <w:sz w:val="24"/>
              </w:rPr>
            </w:pPr>
            <w:r>
              <mc:AlternateContent>
                <mc:Choice Requires="wps">
                  <w:drawing>
                    <wp:anchor distT="0" distB="0" distL="114300" distR="114300" simplePos="0" relativeHeight="251716608" behindDoc="0" locked="0" layoutInCell="1" allowOverlap="1">
                      <wp:simplePos x="0" y="0"/>
                      <wp:positionH relativeFrom="column">
                        <wp:posOffset>1670050</wp:posOffset>
                      </wp:positionH>
                      <wp:positionV relativeFrom="paragraph">
                        <wp:posOffset>234315</wp:posOffset>
                      </wp:positionV>
                      <wp:extent cx="12700" cy="1695450"/>
                      <wp:effectExtent l="57150" t="38100" r="63500" b="19050"/>
                      <wp:wrapNone/>
                      <wp:docPr id="2005611137" name="直接箭头连接符 60"/>
                      <wp:cNvGraphicFramePr/>
                      <a:graphic xmlns:a="http://schemas.openxmlformats.org/drawingml/2006/main">
                        <a:graphicData uri="http://schemas.microsoft.com/office/word/2010/wordprocessingShape">
                          <wps:wsp>
                            <wps:cNvCnPr/>
                            <wps:spPr>
                              <a:xfrm flipV="1">
                                <a:off x="0" y="0"/>
                                <a:ext cx="12700" cy="169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0" o:spid="_x0000_s1026" o:spt="32" type="#_x0000_t32" style="position:absolute;left:0pt;flip:y;margin-left:131.5pt;margin-top:18.45pt;height:133.5pt;width:1pt;z-index:251716608;mso-width-relative:page;mso-height-relative:page;" filled="f" stroked="t" coordsize="21600,21600" o:gfxdata="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Oqk6NoAAAAKAQAADwAAAAAAAAABACAAAAAiAAAAZHJzL2Rvd25yZXYueG1sUEsBAhQAFAAA&#10;AAgAh07iQOI5DEgmAgAAGwQAAA4AAAAAAAAAAQAgAAAAKQEAAGRycy9lMm9Eb2MueG1sUEsFBgAA&#10;AAAGAAYAWQEAAME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2774950</wp:posOffset>
                      </wp:positionH>
                      <wp:positionV relativeFrom="paragraph">
                        <wp:posOffset>263525</wp:posOffset>
                      </wp:positionV>
                      <wp:extent cx="1631950" cy="6350"/>
                      <wp:effectExtent l="0" t="57150" r="25400" b="88900"/>
                      <wp:wrapNone/>
                      <wp:docPr id="1632426585" name="直接箭头连接符 82"/>
                      <wp:cNvGraphicFramePr/>
                      <a:graphic xmlns:a="http://schemas.openxmlformats.org/drawingml/2006/main">
                        <a:graphicData uri="http://schemas.microsoft.com/office/word/2010/wordprocessingShape">
                          <wps:wsp>
                            <wps:cNvCnPr/>
                            <wps:spPr>
                              <a:xfrm>
                                <a:off x="0" y="0"/>
                                <a:ext cx="16319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2" o:spid="_x0000_s1026" o:spt="32" type="#_x0000_t32" style="position:absolute;left:0pt;margin-left:218.5pt;margin-top:20.75pt;height:0.5pt;width:128.5pt;z-index:251710464;mso-width-relative:page;mso-height-relative:page;" filled="f" stroked="t" coordsize="21600,21600" o:gfxdata="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K5sO2gAA&#10;AAkBAAAPAAAAAAAAAAEAIAAAACIAAABkcnMvZG93bnJldi54bWxQSwECFAAUAAAACACHTuJAP0kV&#10;IhwCAAAQBAAADgAAAAAAAAABACAAAAApAQAAZHJzL2Uyb0RvYy54bWxQSwUGAAAAAAYABgBZAQAA&#10;tw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2012950</wp:posOffset>
                      </wp:positionH>
                      <wp:positionV relativeFrom="paragraph">
                        <wp:posOffset>113665</wp:posOffset>
                      </wp:positionV>
                      <wp:extent cx="774700" cy="298450"/>
                      <wp:effectExtent l="0" t="0" r="25400" b="25400"/>
                      <wp:wrapNone/>
                      <wp:docPr id="1785700819" name="矩形 24"/>
                      <wp:cNvGraphicFramePr/>
                      <a:graphic xmlns:a="http://schemas.openxmlformats.org/drawingml/2006/main">
                        <a:graphicData uri="http://schemas.microsoft.com/office/word/2010/wordprocessingShape">
                          <wps:wsp>
                            <wps:cNvSpPr/>
                            <wps:spPr>
                              <a:xfrm>
                                <a:off x="0" y="0"/>
                                <a:ext cx="774700" cy="298450"/>
                              </a:xfrm>
                              <a:prstGeom prst="rect">
                                <a:avLst/>
                              </a:prstGeom>
                              <a:noFill/>
                              <a:ln w="9525" cap="flat" cmpd="sng" algn="ctr">
                                <a:solidFill>
                                  <a:sysClr val="windowText" lastClr="000000"/>
                                </a:solidFill>
                                <a:prstDash val="solid"/>
                              </a:ln>
                              <a:effectLst/>
                            </wps:spPr>
                            <wps:txbx>
                              <w:txbxContent>
                                <w:p w14:paraId="66B39296">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洗涤用水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58.5pt;margin-top:8.95pt;height:23.5pt;width:61pt;z-index:251693056;v-text-anchor:middle;mso-width-relative:page;mso-height-relative:page;" filled="f" stroked="t" coordsize="21600,21600" o:gfxdata="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U/u3rYAAAACQEAAA8AAAAAAAAAAQAgAAAA&#10;IgAAAGRycy9kb3ducmV2LnhtbFBLAQIUABQAAAAIAIdO4kDFcLCLfQIAAOkEAAAOAAAAAAAAAAEA&#10;IAAAACcBAABkcnMvZTJvRG9jLnhtbFBLBQYAAAAABgAGAFkBAAAWBgAAAAA=&#10;">
                      <v:fill on="f" focussize="0,0"/>
                      <v:stroke color="#000000" joinstyle="round"/>
                      <v:imagedata o:title=""/>
                      <o:lock v:ext="edit" aspectratio="f"/>
                      <v:textbox>
                        <w:txbxContent>
                          <w:p w14:paraId="66B39296">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洗涤用水</w:t>
                            </w:r>
                          </w:p>
                        </w:txbxContent>
                      </v:textbox>
                    </v:rect>
                  </w:pict>
                </mc:Fallback>
              </mc:AlternateContent>
            </w:r>
            <w:r>
              <w:rPr>
                <w:b/>
                <w:bCs/>
                <w:sz w:val="24"/>
              </w:rPr>
              <mc:AlternateContent>
                <mc:Choice Requires="wps">
                  <w:drawing>
                    <wp:anchor distT="0" distB="0" distL="114300" distR="114300" simplePos="0" relativeHeight="251692032" behindDoc="0" locked="0" layoutInCell="1" allowOverlap="1">
                      <wp:simplePos x="0" y="0"/>
                      <wp:positionH relativeFrom="column">
                        <wp:posOffset>1327150</wp:posOffset>
                      </wp:positionH>
                      <wp:positionV relativeFrom="paragraph">
                        <wp:posOffset>225425</wp:posOffset>
                      </wp:positionV>
                      <wp:extent cx="685800" cy="6350"/>
                      <wp:effectExtent l="0" t="76200" r="19050" b="88900"/>
                      <wp:wrapNone/>
                      <wp:docPr id="1880524338" name="直接箭头连接符 72"/>
                      <wp:cNvGraphicFramePr/>
                      <a:graphic xmlns:a="http://schemas.openxmlformats.org/drawingml/2006/main">
                        <a:graphicData uri="http://schemas.microsoft.com/office/word/2010/wordprocessingShape">
                          <wps:wsp>
                            <wps:cNvCnPr/>
                            <wps:spPr>
                              <a:xfrm flipV="1">
                                <a:off x="0" y="0"/>
                                <a:ext cx="6858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72" o:spid="_x0000_s1026" o:spt="32" type="#_x0000_t32" style="position:absolute;left:0pt;flip:y;margin-left:104.5pt;margin-top:17.75pt;height:0.5pt;width:54pt;z-index:251692032;mso-width-relative:page;mso-height-relative:page;" filled="f" stroked="t" coordsize="21600,21600" o:gfxdata="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Db0kdkAAAAJAQAADwAAAAAAAAABACAAAAAiAAAAZHJzL2Rvd25yZXYueG1sUEsBAhQAFAAAAAgA&#10;h07iQBme70IkAgAAGQQAAA4AAAAAAAAAAQAgAAAAKAEAAGRycy9lMm9Eb2MueG1sUEsFBgAAAAAG&#10;AAYAWQEAAL4FAAAAAA==&#10;">
                      <v:fill on="f" focussize="0,0"/>
                      <v:stroke color="#000000 [3200]" joinstyle="round" endarrow="block"/>
                      <v:imagedata o:title=""/>
                      <o:lock v:ext="edit" aspectratio="f"/>
                    </v:shape>
                  </w:pict>
                </mc:Fallback>
              </mc:AlternateContent>
            </w:r>
          </w:p>
          <w:p w14:paraId="233F6343">
            <w:pPr>
              <w:spacing w:line="360" w:lineRule="auto"/>
              <w:ind w:firstLine="241" w:firstLineChars="100"/>
              <w:jc w:val="center"/>
              <w:rPr>
                <w:b/>
                <w:bCs/>
                <w:sz w:val="24"/>
              </w:rPr>
            </w:pPr>
          </w:p>
          <w:p w14:paraId="2855A7BB">
            <w:pPr>
              <w:spacing w:line="360" w:lineRule="auto"/>
              <w:ind w:firstLine="210" w:firstLineChars="100"/>
              <w:jc w:val="center"/>
              <w:rPr>
                <w:b/>
                <w:bCs/>
                <w:sz w:val="24"/>
              </w:rPr>
            </w:pPr>
            <w:r>
              <w:rPr>
                <w:rFonts w:hint="eastAsia"/>
              </w:rPr>
              <mc:AlternateContent>
                <mc:Choice Requires="wps">
                  <w:drawing>
                    <wp:anchor distT="0" distB="0" distL="114300" distR="114300" simplePos="0" relativeHeight="251707392" behindDoc="0" locked="0" layoutInCell="1" allowOverlap="1">
                      <wp:simplePos x="0" y="0"/>
                      <wp:positionH relativeFrom="column">
                        <wp:posOffset>2381250</wp:posOffset>
                      </wp:positionH>
                      <wp:positionV relativeFrom="paragraph">
                        <wp:posOffset>229870</wp:posOffset>
                      </wp:positionV>
                      <wp:extent cx="285750" cy="179070"/>
                      <wp:effectExtent l="0" t="57150" r="0" b="30480"/>
                      <wp:wrapNone/>
                      <wp:docPr id="9571827" name="连接符: 曲线 27"/>
                      <wp:cNvGraphicFramePr/>
                      <a:graphic xmlns:a="http://schemas.openxmlformats.org/drawingml/2006/main">
                        <a:graphicData uri="http://schemas.microsoft.com/office/word/2010/wordprocessingShape">
                          <wps:wsp>
                            <wps:cNvCnPr/>
                            <wps:spPr>
                              <a:xfrm flipV="1">
                                <a:off x="0" y="0"/>
                                <a:ext cx="285750" cy="179070"/>
                              </a:xfrm>
                              <a:prstGeom prst="curvedConnector3">
                                <a:avLst/>
                              </a:prstGeom>
                              <a:noFill/>
                              <a:ln w="9525" cap="flat" cmpd="sng" algn="ctr">
                                <a:solidFill>
                                  <a:sysClr val="windowText" lastClr="000000">
                                    <a:shade val="95000"/>
                                    <a:satMod val="105000"/>
                                  </a:sysClr>
                                </a:solidFill>
                                <a:prstDash val="dash"/>
                                <a:tailEnd type="triangle"/>
                              </a:ln>
                              <a:effectLst/>
                            </wps:spPr>
                            <wps:bodyPr/>
                          </wps:wsp>
                        </a:graphicData>
                      </a:graphic>
                    </wp:anchor>
                  </w:drawing>
                </mc:Choice>
                <mc:Fallback>
                  <w:pict>
                    <v:shape id="连接符: 曲线 27" o:spid="_x0000_s1026" o:spt="38" type="#_x0000_t38" style="position:absolute;left:0pt;flip:y;margin-left:187.5pt;margin-top:18.1pt;height:14.1pt;width:22.5pt;z-index:251707392;mso-width-relative:page;mso-height-relative:page;" filled="f" stroked="t" coordsize="21600,21600" o:gfxdata="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g0p12QAAAAkBAAAPAAAAAAAAAAEAIAAAACIAAABkcnMvZG93bnJldi54&#10;bWxQSwECFAAUAAAACACHTuJAIN7WCTICAAAyBAAADgAAAAAAAAABACAAAAAoAQAAZHJzL2Uyb0Rv&#10;Yy54bWxQSwUGAAAAAAYABgBZAQAAzAUAAAAA&#10;" adj="1080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2609850</wp:posOffset>
                      </wp:positionH>
                      <wp:positionV relativeFrom="paragraph">
                        <wp:posOffset>38735</wp:posOffset>
                      </wp:positionV>
                      <wp:extent cx="463550" cy="298450"/>
                      <wp:effectExtent l="0" t="0" r="0" b="6350"/>
                      <wp:wrapNone/>
                      <wp:docPr id="1600134316" name="矩形 24"/>
                      <wp:cNvGraphicFramePr/>
                      <a:graphic xmlns:a="http://schemas.openxmlformats.org/drawingml/2006/main">
                        <a:graphicData uri="http://schemas.microsoft.com/office/word/2010/wordprocessingShape">
                          <wps:wsp>
                            <wps:cNvSpPr/>
                            <wps:spPr>
                              <a:xfrm>
                                <a:off x="0" y="0"/>
                                <a:ext cx="463550" cy="298450"/>
                              </a:xfrm>
                              <a:prstGeom prst="rect">
                                <a:avLst/>
                              </a:prstGeom>
                              <a:noFill/>
                              <a:ln w="9525" cap="flat" cmpd="sng" algn="ctr">
                                <a:noFill/>
                                <a:prstDash val="solid"/>
                              </a:ln>
                              <a:effectLst/>
                            </wps:spPr>
                            <wps:txbx>
                              <w:txbxContent>
                                <w:p w14:paraId="571208D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05.5pt;margin-top:3.05pt;height:23.5pt;width:36.5pt;z-index:251708416;v-text-anchor:middle;mso-width-relative:page;mso-height-relative:page;" filled="f" stroked="f" coordsize="21600,21600" o:gfxdata="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Vo5j&#10;0wAAAAgBAAAPAAAAAAAAAAEAIAAAACIAAABkcnMvZG93bnJldi54bWxQSwECFAAUAAAACACHTuJA&#10;RNhdGF8CAACsBAAADgAAAAAAAAABACAAAAAiAQAAZHJzL2Uyb0RvYy54bWxQSwUGAAAAAAYABgBZ&#10;AQAA8wUAAAAA&#10;">
                      <v:fill on="f" focussize="0,0"/>
                      <v:stroke on="f"/>
                      <v:imagedata o:title=""/>
                      <o:lock v:ext="edit" aspectratio="f"/>
                      <v:textbox>
                        <w:txbxContent>
                          <w:p w14:paraId="571208D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xbxContent>
                      </v:textbox>
                    </v:rect>
                  </w:pict>
                </mc:Fallback>
              </mc:AlternateContent>
            </w:r>
          </w:p>
          <w:p w14:paraId="521A7375">
            <w:pPr>
              <w:pStyle w:val="2"/>
              <w:ind w:firstLine="480"/>
            </w:pPr>
            <w:r>
              <mc:AlternateContent>
                <mc:Choice Requires="wps">
                  <w:drawing>
                    <wp:anchor distT="0" distB="0" distL="114300" distR="114300" simplePos="0" relativeHeight="251719680" behindDoc="0" locked="0" layoutInCell="1" allowOverlap="1">
                      <wp:simplePos x="0" y="0"/>
                      <wp:positionH relativeFrom="column">
                        <wp:posOffset>3716020</wp:posOffset>
                      </wp:positionH>
                      <wp:positionV relativeFrom="paragraph">
                        <wp:posOffset>302260</wp:posOffset>
                      </wp:positionV>
                      <wp:extent cx="10795" cy="1275080"/>
                      <wp:effectExtent l="0" t="0" r="27940" b="20955"/>
                      <wp:wrapNone/>
                      <wp:docPr id="427715847" name="直接连接符 65"/>
                      <wp:cNvGraphicFramePr/>
                      <a:graphic xmlns:a="http://schemas.openxmlformats.org/drawingml/2006/main">
                        <a:graphicData uri="http://schemas.microsoft.com/office/word/2010/wordprocessingShape">
                          <wps:wsp>
                            <wps:cNvCnPr/>
                            <wps:spPr>
                              <a:xfrm flipH="1">
                                <a:off x="0" y="0"/>
                                <a:ext cx="10600" cy="12750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65" o:spid="_x0000_s1026" o:spt="20" style="position:absolute;left:0pt;flip:x;margin-left:292.6pt;margin-top:23.8pt;height:100.4pt;width:0.85pt;z-index:251719680;mso-width-relative:page;mso-height-relative:page;" filled="f" stroked="t" coordsize="21600,21600" o:gfxdata="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hTpDZAAAACgEAAA8AAAAAAAAAAQAgAAAAIgAAAGRy&#10;cy9kb3ducmV2LnhtbFBLAQIUABQAAAAIAIdO4kBtMWICBAIAAOoDAAAOAAAAAAAAAAEAIAAAACgB&#10;AABkcnMvZTJvRG9jLnhtbFBLBQYAAAAABgAGAFkBAACe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3054350</wp:posOffset>
                      </wp:positionH>
                      <wp:positionV relativeFrom="paragraph">
                        <wp:posOffset>322580</wp:posOffset>
                      </wp:positionV>
                      <wp:extent cx="673100" cy="0"/>
                      <wp:effectExtent l="0" t="0" r="0" b="0"/>
                      <wp:wrapNone/>
                      <wp:docPr id="1795089608" name="直接连接符 67"/>
                      <wp:cNvGraphicFramePr/>
                      <a:graphic xmlns:a="http://schemas.openxmlformats.org/drawingml/2006/main">
                        <a:graphicData uri="http://schemas.microsoft.com/office/word/2010/wordprocessingShape">
                          <wps:wsp>
                            <wps:cNvCnPr/>
                            <wps:spPr>
                              <a:xfrm flipH="1">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67" o:spid="_x0000_s1026" o:spt="20" style="position:absolute;left:0pt;flip:x;margin-left:240.5pt;margin-top:25.4pt;height:0pt;width:53pt;z-index:251720704;mso-width-relative:page;mso-height-relative:page;" filled="f" stroked="t" coordsize="21600,21600" o:gfxdata="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DaEbWAAAACQEAAA8AAAAAAAAAAQAgAAAAIgAAAGRycy9kb3du&#10;cmV2LnhtbFBLAQIUABQAAAAIAIdO4kDNl/CAAQIAAOYDAAAOAAAAAAAAAAEAIAAAACUBAABkcnMv&#10;ZTJvRG9jLnhtbFBLBQYAAAAABgAGAFkBAACY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2032000</wp:posOffset>
                      </wp:positionH>
                      <wp:positionV relativeFrom="paragraph">
                        <wp:posOffset>136525</wp:posOffset>
                      </wp:positionV>
                      <wp:extent cx="1003300" cy="298450"/>
                      <wp:effectExtent l="0" t="0" r="25400" b="25400"/>
                      <wp:wrapNone/>
                      <wp:docPr id="962973808" name="矩形 24"/>
                      <wp:cNvGraphicFramePr/>
                      <a:graphic xmlns:a="http://schemas.openxmlformats.org/drawingml/2006/main">
                        <a:graphicData uri="http://schemas.microsoft.com/office/word/2010/wordprocessingShape">
                          <wps:wsp>
                            <wps:cNvSpPr/>
                            <wps:spPr>
                              <a:xfrm>
                                <a:off x="0" y="0"/>
                                <a:ext cx="1003300" cy="298450"/>
                              </a:xfrm>
                              <a:prstGeom prst="rect">
                                <a:avLst/>
                              </a:prstGeom>
                              <a:noFill/>
                              <a:ln w="9525" cap="flat" cmpd="sng" algn="ctr">
                                <a:solidFill>
                                  <a:sysClr val="windowText" lastClr="000000"/>
                                </a:solidFill>
                                <a:prstDash val="solid"/>
                              </a:ln>
                              <a:effectLst/>
                            </wps:spPr>
                            <wps:txbx>
                              <w:txbxContent>
                                <w:p w14:paraId="14E65AF4">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熨烫烘干蒸汽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60pt;margin-top:10.75pt;height:23.5pt;width:79pt;z-index:251717632;v-text-anchor:middle;mso-width-relative:page;mso-height-relative:page;" filled="f" stroked="t" coordsize="21600,21600" o:gfxdata="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oYx/y2AAAAAkBAAAPAAAAAAAAAAEAIAAA&#10;ACIAAABkcnMvZG93bnJldi54bWxQSwECFAAUAAAACACHTuJASa/T434CAADpBAAADgAAAAAAAAAB&#10;ACAAAAAnAQAAZHJzL2Uyb0RvYy54bWxQSwUGAAAAAAYABgBZAQAAFwYAAAAA&#10;">
                      <v:fill on="f" focussize="0,0"/>
                      <v:stroke color="#000000" joinstyle="round"/>
                      <v:imagedata o:title=""/>
                      <o:lock v:ext="edit" aspectratio="f"/>
                      <v:textbox>
                        <w:txbxContent>
                          <w:p w14:paraId="14E65AF4">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熨烫烘干蒸汽</w:t>
                            </w:r>
                          </w:p>
                        </w:txbxContent>
                      </v:textbox>
                    </v:rect>
                  </w:pict>
                </mc:Fallback>
              </mc:AlternateContent>
            </w:r>
          </w:p>
          <w:p w14:paraId="0575BB7C">
            <w:pPr>
              <w:spacing w:line="360" w:lineRule="auto"/>
              <w:ind w:firstLine="210" w:firstLineChars="100"/>
              <w:jc w:val="center"/>
              <w:rPr>
                <w:b/>
                <w:bCs/>
                <w:sz w:val="24"/>
              </w:rPr>
            </w:pPr>
            <w:r>
              <mc:AlternateContent>
                <mc:Choice Requires="wps">
                  <w:drawing>
                    <wp:anchor distT="0" distB="0" distL="114300" distR="114300" simplePos="0" relativeHeight="251721728" behindDoc="0" locked="0" layoutInCell="1" allowOverlap="1">
                      <wp:simplePos x="0" y="0"/>
                      <wp:positionH relativeFrom="column">
                        <wp:posOffset>3737610</wp:posOffset>
                      </wp:positionH>
                      <wp:positionV relativeFrom="paragraph">
                        <wp:posOffset>34290</wp:posOffset>
                      </wp:positionV>
                      <wp:extent cx="463550" cy="635000"/>
                      <wp:effectExtent l="0" t="0" r="0" b="0"/>
                      <wp:wrapNone/>
                      <wp:docPr id="1048817948" name="矩形 24"/>
                      <wp:cNvGraphicFramePr/>
                      <a:graphic xmlns:a="http://schemas.openxmlformats.org/drawingml/2006/main">
                        <a:graphicData uri="http://schemas.microsoft.com/office/word/2010/wordprocessingShape">
                          <wps:wsp>
                            <wps:cNvSpPr/>
                            <wps:spPr>
                              <a:xfrm>
                                <a:off x="0" y="0"/>
                                <a:ext cx="463550" cy="635000"/>
                              </a:xfrm>
                              <a:prstGeom prst="rect">
                                <a:avLst/>
                              </a:prstGeom>
                              <a:noFill/>
                              <a:ln w="9525" cap="flat" cmpd="sng" algn="ctr">
                                <a:noFill/>
                                <a:prstDash val="solid"/>
                              </a:ln>
                              <a:effectLst/>
                            </wps:spPr>
                            <wps:txbx>
                              <w:txbxContent>
                                <w:p w14:paraId="0665F8A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回用1980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94.3pt;margin-top:2.7pt;height:50pt;width:36.5pt;z-index:251721728;v-text-anchor:middle;mso-width-relative:page;mso-height-relative:page;" filled="f" stroked="f" coordsize="21600,21600" o:gfxdata="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0OIv7S&#10;AAAACQEAAA8AAAAAAAAAAQAgAAAAIgAAAGRycy9kb3ducmV2LnhtbFBLAQIUABQAAAAIAIdO4kBf&#10;mQo3XwIAAKwEAAAOAAAAAAAAAAEAIAAAACEBAABkcnMvZTJvRG9jLnhtbFBLBQYAAAAABgAGAFkB&#10;AADyBQAAAAA=&#10;">
                      <v:fill on="f" focussize="0,0"/>
                      <v:stroke on="f"/>
                      <v:imagedata o:title=""/>
                      <o:lock v:ext="edit" aspectratio="f"/>
                      <v:textbox>
                        <w:txbxContent>
                          <w:p w14:paraId="0665F8A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回用1980</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2129790</wp:posOffset>
                      </wp:positionH>
                      <wp:positionV relativeFrom="paragraph">
                        <wp:posOffset>207645</wp:posOffset>
                      </wp:positionV>
                      <wp:extent cx="530860" cy="298450"/>
                      <wp:effectExtent l="0" t="0" r="0" b="6350"/>
                      <wp:wrapNone/>
                      <wp:docPr id="428874843" name="矩形 24"/>
                      <wp:cNvGraphicFramePr/>
                      <a:graphic xmlns:a="http://schemas.openxmlformats.org/drawingml/2006/main">
                        <a:graphicData uri="http://schemas.microsoft.com/office/word/2010/wordprocessingShape">
                          <wps:wsp>
                            <wps:cNvSpPr/>
                            <wps:spPr>
                              <a:xfrm>
                                <a:off x="0" y="0"/>
                                <a:ext cx="530860" cy="298450"/>
                              </a:xfrm>
                              <a:prstGeom prst="rect">
                                <a:avLst/>
                              </a:prstGeom>
                              <a:noFill/>
                              <a:ln w="9525" cap="flat" cmpd="sng" algn="ctr">
                                <a:noFill/>
                                <a:prstDash val="solid"/>
                              </a:ln>
                              <a:effectLst/>
                            </wps:spPr>
                            <wps:txbx>
                              <w:txbxContent>
                                <w:p w14:paraId="10C1605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2160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67.7pt;margin-top:16.35pt;height:23.5pt;width:41.8pt;z-index:251722752;v-text-anchor:middle;mso-width-relative:page;mso-height-relative:page;" filled="f" stroked="f" coordsize="21600,21600" o:gfxdata="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7CETadUAAAAJAQAADwAAAAAAAAABACAAAAAiAAAAZHJzL2Rvd25yZXYueG1sUEsBAhQAFAAAAAgA&#10;h07iQNgqXedhAgAAqwQAAA4AAAAAAAAAAQAgAAAAJAEAAGRycy9lMm9Eb2MueG1sUEsFBgAAAAAG&#10;AAYAWQEAAPcFAAAAAA==&#10;">
                      <v:fill on="f" focussize="0,0"/>
                      <v:stroke on="f"/>
                      <v:imagedata o:title=""/>
                      <o:lock v:ext="edit" aspectratio="f"/>
                      <v:textbox>
                        <w:txbxContent>
                          <w:p w14:paraId="10C1605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2160</w:t>
                            </w:r>
                          </w:p>
                        </w:txbxContent>
                      </v:textbox>
                    </v:rect>
                  </w:pict>
                </mc:Fallback>
              </mc:AlternateContent>
            </w:r>
            <w:r>
              <w:rPr>
                <w:b/>
                <w:bCs/>
                <w:sz w:val="24"/>
              </w:rPr>
              <mc:AlternateContent>
                <mc:Choice Requires="wps">
                  <w:drawing>
                    <wp:anchor distT="0" distB="0" distL="114300" distR="114300" simplePos="0" relativeHeight="251718656" behindDoc="0" locked="0" layoutInCell="1" allowOverlap="1">
                      <wp:simplePos x="0" y="0"/>
                      <wp:positionH relativeFrom="column">
                        <wp:posOffset>2552700</wp:posOffset>
                      </wp:positionH>
                      <wp:positionV relativeFrom="paragraph">
                        <wp:posOffset>97790</wp:posOffset>
                      </wp:positionV>
                      <wp:extent cx="6350" cy="647700"/>
                      <wp:effectExtent l="76200" t="38100" r="69850" b="19050"/>
                      <wp:wrapNone/>
                      <wp:docPr id="1216992282" name="直接箭头连接符 61"/>
                      <wp:cNvGraphicFramePr/>
                      <a:graphic xmlns:a="http://schemas.openxmlformats.org/drawingml/2006/main">
                        <a:graphicData uri="http://schemas.microsoft.com/office/word/2010/wordprocessingShape">
                          <wps:wsp>
                            <wps:cNvCnPr/>
                            <wps:spPr>
                              <a:xfrm flipH="1" flipV="1">
                                <a:off x="0" y="0"/>
                                <a:ext cx="635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1" o:spid="_x0000_s1026" o:spt="32" type="#_x0000_t32" style="position:absolute;left:0pt;flip:x y;margin-left:201pt;margin-top:7.7pt;height:51pt;width:0.5pt;z-index:251718656;mso-width-relative:page;mso-height-relative:page;" filled="f" stroked="t" coordsize="21600,21600" o:gfxdata="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UcYEjXAAAACgEAAA8AAAAAAAAAAQAgAAAAIgAAAGRycy9kb3ducmV2LnhtbFBLAQIUABQA&#10;AAAIAIdO4kDkOgUDKgIAACMEAAAOAAAAAAAAAAEAIAAAACYBAABkcnMvZTJvRG9jLnhtbFBLBQYA&#10;AAAABgAGAFkBAADCBQAAAAA=&#10;">
                      <v:fill on="f" focussize="0,0"/>
                      <v:stroke color="#000000 [3200]" joinstyle="round" endarrow="block"/>
                      <v:imagedata o:title=""/>
                      <o:lock v:ext="edit" aspectratio="f"/>
                    </v:shape>
                  </w:pict>
                </mc:Fallback>
              </mc:AlternateContent>
            </w:r>
          </w:p>
          <w:p w14:paraId="3025DD97">
            <w:pPr>
              <w:spacing w:line="360" w:lineRule="auto"/>
              <w:ind w:firstLine="241" w:firstLineChars="100"/>
              <w:jc w:val="center"/>
              <w:rPr>
                <w:b/>
                <w:bCs/>
                <w:sz w:val="24"/>
              </w:rPr>
            </w:pPr>
          </w:p>
          <w:p w14:paraId="13FBFAE3">
            <w:pPr>
              <w:spacing w:line="360" w:lineRule="auto"/>
              <w:ind w:firstLine="210" w:firstLineChars="100"/>
              <w:jc w:val="center"/>
              <w:rPr>
                <w:b/>
                <w:bCs/>
                <w:sz w:val="24"/>
              </w:rPr>
            </w:pPr>
            <w:r>
              <mc:AlternateContent>
                <mc:Choice Requires="wps">
                  <w:drawing>
                    <wp:anchor distT="0" distB="0" distL="114300" distR="114300" simplePos="0" relativeHeight="251706368" behindDoc="0" locked="0" layoutInCell="1" allowOverlap="1">
                      <wp:simplePos x="0" y="0"/>
                      <wp:positionH relativeFrom="column">
                        <wp:posOffset>1670050</wp:posOffset>
                      </wp:positionH>
                      <wp:positionV relativeFrom="paragraph">
                        <wp:posOffset>64135</wp:posOffset>
                      </wp:positionV>
                      <wp:extent cx="459740" cy="254000"/>
                      <wp:effectExtent l="0" t="0" r="0" b="0"/>
                      <wp:wrapNone/>
                      <wp:docPr id="1919879867" name="矩形 24"/>
                      <wp:cNvGraphicFramePr/>
                      <a:graphic xmlns:a="http://schemas.openxmlformats.org/drawingml/2006/main">
                        <a:graphicData uri="http://schemas.microsoft.com/office/word/2010/wordprocessingShape">
                          <wps:wsp>
                            <wps:cNvSpPr/>
                            <wps:spPr>
                              <a:xfrm>
                                <a:off x="0" y="0"/>
                                <a:ext cx="459740" cy="254000"/>
                              </a:xfrm>
                              <a:prstGeom prst="rect">
                                <a:avLst/>
                              </a:prstGeom>
                              <a:noFill/>
                              <a:ln w="9525" cap="flat" cmpd="sng" algn="ctr">
                                <a:noFill/>
                                <a:prstDash val="solid"/>
                              </a:ln>
                              <a:effectLst/>
                            </wps:spPr>
                            <wps:txbx>
                              <w:txbxContent>
                                <w:p w14:paraId="5AEBADA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1440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31.5pt;margin-top:5.05pt;height:20pt;width:36.2pt;z-index:251706368;v-text-anchor:middle;mso-width-relative:page;mso-height-relative:page;" filled="f" stroked="f" coordsize="21600,21600" o:gfxdata="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Bs&#10;Q8fUAAAACQEAAA8AAAAAAAAAAQAgAAAAIgAAAGRycy9kb3ducmV2LnhtbFBLAQIUABQAAAAIAIdO&#10;4kCi54trYAIAAKwEAAAOAAAAAAAAAAEAIAAAACMBAABkcnMvZTJvRG9jLnhtbFBLBQYAAAAABgAG&#10;AFkBAAD1BQAAAAA=&#10;">
                      <v:fill on="f" focussize="0,0"/>
                      <v:stroke on="f"/>
                      <v:imagedata o:title=""/>
                      <o:lock v:ext="edit" aspectratio="f"/>
                      <v:textbox>
                        <w:txbxContent>
                          <w:p w14:paraId="5AEBADA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1440</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2467610</wp:posOffset>
                      </wp:positionH>
                      <wp:positionV relativeFrom="paragraph">
                        <wp:posOffset>229235</wp:posOffset>
                      </wp:positionV>
                      <wp:extent cx="878840" cy="298450"/>
                      <wp:effectExtent l="0" t="0" r="16510" b="25400"/>
                      <wp:wrapNone/>
                      <wp:docPr id="40425283" name="矩形 24"/>
                      <wp:cNvGraphicFramePr/>
                      <a:graphic xmlns:a="http://schemas.openxmlformats.org/drawingml/2006/main">
                        <a:graphicData uri="http://schemas.microsoft.com/office/word/2010/wordprocessingShape">
                          <wps:wsp>
                            <wps:cNvSpPr/>
                            <wps:spPr>
                              <a:xfrm>
                                <a:off x="0" y="0"/>
                                <a:ext cx="878840" cy="298450"/>
                              </a:xfrm>
                              <a:prstGeom prst="rect">
                                <a:avLst/>
                              </a:prstGeom>
                              <a:noFill/>
                              <a:ln w="6350" cap="flat" cmpd="sng" algn="ctr">
                                <a:solidFill>
                                  <a:srgbClr val="002060"/>
                                </a:solidFill>
                                <a:prstDash val="solid"/>
                              </a:ln>
                              <a:effectLst/>
                            </wps:spPr>
                            <wps:txbx>
                              <w:txbxContent>
                                <w:p w14:paraId="3517032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蒸汽3600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94.3pt;margin-top:18.05pt;height:23.5pt;width:69.2pt;z-index:251698176;v-text-anchor:middle;mso-width-relative:page;mso-height-relative:page;" filled="f" stroked="t" coordsize="21600,21600" o:gfxdata="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m+bO3VAAAACQEAAA8AAAAAAAAAAQAgAAAAIgAAAGRycy9kb3ducmV2&#10;LnhtbFBLAQIUABQAAAAIAIdO4kBtdMgncQIAANMEAAAOAAAAAAAAAAEAIAAAACQBAABkcnMvZTJv&#10;RG9jLnhtbFBLBQYAAAAABgAGAFkBAAAHBgAAAAA=&#10;">
                      <v:fill on="f" focussize="0,0"/>
                      <v:stroke weight="0.5pt" color="#002060" joinstyle="round"/>
                      <v:imagedata o:title=""/>
                      <o:lock v:ext="edit" aspectratio="f"/>
                      <v:textbox>
                        <w:txbxContent>
                          <w:p w14:paraId="3517032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蒸汽3600</w:t>
                            </w:r>
                          </w:p>
                        </w:txbxContent>
                      </v:textbox>
                    </v:rect>
                  </w:pict>
                </mc:Fallback>
              </mc:AlternateContent>
            </w:r>
          </w:p>
          <w:p w14:paraId="2CD02547">
            <w:pPr>
              <w:spacing w:line="360" w:lineRule="auto"/>
              <w:ind w:firstLine="210" w:firstLineChars="100"/>
              <w:jc w:val="center"/>
              <w:rPr>
                <w:b/>
                <w:bCs/>
                <w:sz w:val="24"/>
              </w:rPr>
            </w:pPr>
            <w:r>
              <mc:AlternateContent>
                <mc:Choice Requires="wps">
                  <w:drawing>
                    <wp:anchor distT="0" distB="0" distL="114300" distR="114300" simplePos="0" relativeHeight="251705344" behindDoc="0" locked="0" layoutInCell="1" allowOverlap="1">
                      <wp:simplePos x="0" y="0"/>
                      <wp:positionH relativeFrom="column">
                        <wp:posOffset>1657350</wp:posOffset>
                      </wp:positionH>
                      <wp:positionV relativeFrom="paragraph">
                        <wp:posOffset>17145</wp:posOffset>
                      </wp:positionV>
                      <wp:extent cx="806450" cy="6350"/>
                      <wp:effectExtent l="38100" t="76200" r="0" b="88900"/>
                      <wp:wrapNone/>
                      <wp:docPr id="1426057461" name="直接箭头连接符 76"/>
                      <wp:cNvGraphicFramePr/>
                      <a:graphic xmlns:a="http://schemas.openxmlformats.org/drawingml/2006/main">
                        <a:graphicData uri="http://schemas.microsoft.com/office/word/2010/wordprocessingShape">
                          <wps:wsp>
                            <wps:cNvCnPr/>
                            <wps:spPr>
                              <a:xfrm flipH="1" flipV="1">
                                <a:off x="0" y="0"/>
                                <a:ext cx="8064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76" o:spid="_x0000_s1026" o:spt="32" type="#_x0000_t32" style="position:absolute;left:0pt;flip:x y;margin-left:130.5pt;margin-top:1.35pt;height:0.5pt;width:63.5pt;z-index:251705344;mso-width-relative:page;mso-height-relative:page;" filled="f" stroked="t" coordsize="21600,21600" o:gfxdata="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MtW2jWAAAABwEAAA8AAAAAAAAAAQAgAAAAIgAAAGRycy9kb3ducmV2LnhtbFBLAQIUABQAAAAI&#10;AIdO4kAyeJ7gKAIAACMEAAAOAAAAAAAAAAEAIAAAACUBAABkcnMvZTJvRG9jLnhtbFBLBQYAAAAA&#10;BgAGAFkBAAC/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2051050</wp:posOffset>
                      </wp:positionH>
                      <wp:positionV relativeFrom="paragraph">
                        <wp:posOffset>99695</wp:posOffset>
                      </wp:positionV>
                      <wp:extent cx="444500" cy="279400"/>
                      <wp:effectExtent l="0" t="76200" r="0" b="25400"/>
                      <wp:wrapNone/>
                      <wp:docPr id="174592064" name="连接符: 肘形 74"/>
                      <wp:cNvGraphicFramePr/>
                      <a:graphic xmlns:a="http://schemas.openxmlformats.org/drawingml/2006/main">
                        <a:graphicData uri="http://schemas.microsoft.com/office/word/2010/wordprocessingShape">
                          <wps:wsp>
                            <wps:cNvCnPr/>
                            <wps:spPr>
                              <a:xfrm flipV="1">
                                <a:off x="0" y="0"/>
                                <a:ext cx="444500" cy="2794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74" o:spid="_x0000_s1026" o:spt="34" type="#_x0000_t34" style="position:absolute;left:0pt;flip:y;margin-left:161.5pt;margin-top:7.85pt;height:22pt;width:35pt;z-index:251704320;mso-width-relative:page;mso-height-relative:page;" filled="f" stroked="t" coordsize="21600,21600" o:gfxdata="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aXUsdcA&#10;AAAJAQAADwAAAAAAAAABACAAAAAiAAAAZHJzL2Rvd25yZXYueG1sUEsBAhQAFAAAAAgAh07iQO2r&#10;j5UgAgAAEgQAAA4AAAAAAAAAAQAgAAAAJgEAAGRycy9lMm9Eb2MueG1sUEsFBgAAAAAGAAYAWQEA&#10;ALgFAAAAAA==&#10;" adj="10800">
                      <v:fill on="f" focussize="0,0"/>
                      <v:stroke color="#000000 [3200]" joinstyle="round" endarrow="block"/>
                      <v:imagedata o:title=""/>
                      <o:lock v:ext="edit" aspectratio="f"/>
                    </v:shape>
                  </w:pict>
                </mc:Fallback>
              </mc:AlternateContent>
            </w:r>
          </w:p>
          <w:p w14:paraId="64F0EEE9">
            <w:pPr>
              <w:spacing w:line="360" w:lineRule="auto"/>
              <w:ind w:firstLine="210" w:firstLineChars="100"/>
              <w:jc w:val="center"/>
              <w:rPr>
                <w:b/>
                <w:bCs/>
                <w:sz w:val="24"/>
              </w:rPr>
            </w:pPr>
            <w:r>
              <mc:AlternateContent>
                <mc:Choice Requires="wps">
                  <w:drawing>
                    <wp:anchor distT="0" distB="0" distL="114300" distR="114300" simplePos="0" relativeHeight="251724800" behindDoc="0" locked="0" layoutInCell="1" allowOverlap="1">
                      <wp:simplePos x="0" y="0"/>
                      <wp:positionH relativeFrom="column">
                        <wp:posOffset>2766060</wp:posOffset>
                      </wp:positionH>
                      <wp:positionV relativeFrom="paragraph">
                        <wp:posOffset>179070</wp:posOffset>
                      </wp:positionV>
                      <wp:extent cx="991870" cy="6985"/>
                      <wp:effectExtent l="19050" t="57150" r="0" b="88265"/>
                      <wp:wrapNone/>
                      <wp:docPr id="1844798579" name="直接箭头连接符 67"/>
                      <wp:cNvGraphicFramePr/>
                      <a:graphic xmlns:a="http://schemas.openxmlformats.org/drawingml/2006/main">
                        <a:graphicData uri="http://schemas.microsoft.com/office/word/2010/wordprocessingShape">
                          <wps:wsp>
                            <wps:cNvCnPr/>
                            <wps:spPr>
                              <a:xfrm flipH="1">
                                <a:off x="0" y="0"/>
                                <a:ext cx="991772" cy="7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7" o:spid="_x0000_s1026" o:spt="32" type="#_x0000_t32" style="position:absolute;left:0pt;flip:x;margin-left:217.8pt;margin-top:14.1pt;height:0.55pt;width:78.1pt;z-index:251724800;mso-width-relative:page;mso-height-relative:page;" filled="f" stroked="t" coordsize="21600,21600" o:gfxdata="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VEQw9kAAAAJAQAADwAAAAAAAAABACAAAAAiAAAAZHJzL2Rvd25yZXYueG1sUEsBAhQAFAAAAAgA&#10;h07iQDnn8O0kAgAAGQQAAA4AAAAAAAAAAQAgAAAAKAEAAGRycy9lMm9Eb2MueG1sUEsFBgAAAAAG&#10;AAYAWQEAAL4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3844290</wp:posOffset>
                      </wp:positionH>
                      <wp:positionV relativeFrom="paragraph">
                        <wp:posOffset>9525</wp:posOffset>
                      </wp:positionV>
                      <wp:extent cx="542290" cy="298450"/>
                      <wp:effectExtent l="0" t="0" r="0" b="6350"/>
                      <wp:wrapNone/>
                      <wp:docPr id="1744155080" name="矩形 24"/>
                      <wp:cNvGraphicFramePr/>
                      <a:graphic xmlns:a="http://schemas.openxmlformats.org/drawingml/2006/main">
                        <a:graphicData uri="http://schemas.microsoft.com/office/word/2010/wordprocessingShape">
                          <wps:wsp>
                            <wps:cNvSpPr/>
                            <wps:spPr>
                              <a:xfrm>
                                <a:off x="0" y="0"/>
                                <a:ext cx="542290" cy="298450"/>
                              </a:xfrm>
                              <a:prstGeom prst="rect">
                                <a:avLst/>
                              </a:prstGeom>
                              <a:noFill/>
                              <a:ln w="9525" cap="flat" cmpd="sng" algn="ctr">
                                <a:noFill/>
                                <a:prstDash val="solid"/>
                              </a:ln>
                              <a:effectLst/>
                            </wps:spPr>
                            <wps:txbx>
                              <w:txbxContent>
                                <w:p w14:paraId="726B97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302.7pt;margin-top:0.75pt;height:23.5pt;width:42.7pt;z-index:251702272;v-text-anchor:middle;mso-width-relative:page;mso-height-relative:page;" filled="f" stroked="f" coordsize="21600,21600" o:gfxdata="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bCTH&#10;0wAAAAgBAAAPAAAAAAAAAAEAIAAAACIAAABkcnMvZG93bnJldi54bWxQSwECFAAUAAAACACHTuJA&#10;9ql9yF8CAACsBAAADgAAAAAAAAABACAAAAAiAQAAZHJzL2Uyb0RvYy54bWxQSwUGAAAAAAYABgBZ&#10;AQAA8wUAAAAA&#10;">
                      <v:fill on="f" focussize="0,0"/>
                      <v:stroke on="f"/>
                      <v:imagedata o:title=""/>
                      <o:lock v:ext="edit" aspectratio="f"/>
                      <v:textbox>
                        <w:txbxContent>
                          <w:p w14:paraId="726B97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200.8</w:t>
                            </w:r>
                          </w:p>
                        </w:txbxContent>
                      </v:textbox>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1308100</wp:posOffset>
                      </wp:positionH>
                      <wp:positionV relativeFrom="paragraph">
                        <wp:posOffset>6985</wp:posOffset>
                      </wp:positionV>
                      <wp:extent cx="650240" cy="304800"/>
                      <wp:effectExtent l="0" t="0" r="0" b="0"/>
                      <wp:wrapNone/>
                      <wp:docPr id="2120608811" name="矩形 24"/>
                      <wp:cNvGraphicFramePr/>
                      <a:graphic xmlns:a="http://schemas.openxmlformats.org/drawingml/2006/main">
                        <a:graphicData uri="http://schemas.microsoft.com/office/word/2010/wordprocessingShape">
                          <wps:wsp>
                            <wps:cNvSpPr/>
                            <wps:spPr>
                              <a:xfrm>
                                <a:off x="0" y="0"/>
                                <a:ext cx="650240" cy="304800"/>
                              </a:xfrm>
                              <a:prstGeom prst="rect">
                                <a:avLst/>
                              </a:prstGeom>
                              <a:noFill/>
                              <a:ln w="9525" cap="flat" cmpd="sng" algn="ctr">
                                <a:noFill/>
                                <a:prstDash val="solid"/>
                              </a:ln>
                              <a:effectLst/>
                            </wps:spPr>
                            <wps:txbx>
                              <w:txbxContent>
                                <w:p w14:paraId="2DA47B5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1820.8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03pt;margin-top:0.55pt;height:24pt;width:51.2pt;z-index:251701248;v-text-anchor:middle;mso-width-relative:page;mso-height-relative:page;" filled="f" stroked="f" coordsize="21600,21600" o:gfxdata="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Y2T5A&#10;0wAAAAgBAAAPAAAAAAAAAAEAIAAAACIAAABkcnMvZG93bnJldi54bWxQSwECFAAUAAAACACHTuJA&#10;msA2u18CAACsBAAADgAAAAAAAAABACAAAAAiAQAAZHJzL2Uyb0RvYy54bWxQSwUGAAAAAAYABgBZ&#10;AQAA8wUAAAAA&#10;">
                      <v:fill on="f" focussize="0,0"/>
                      <v:stroke on="f"/>
                      <v:imagedata o:title=""/>
                      <o:lock v:ext="edit" aspectratio="f"/>
                      <v:textbox>
                        <w:txbxContent>
                          <w:p w14:paraId="2DA47B5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1820.8</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2025650</wp:posOffset>
                      </wp:positionH>
                      <wp:positionV relativeFrom="paragraph">
                        <wp:posOffset>116205</wp:posOffset>
                      </wp:positionV>
                      <wp:extent cx="774700" cy="298450"/>
                      <wp:effectExtent l="0" t="0" r="25400" b="25400"/>
                      <wp:wrapNone/>
                      <wp:docPr id="98955502" name="矩形 24"/>
                      <wp:cNvGraphicFramePr/>
                      <a:graphic xmlns:a="http://schemas.openxmlformats.org/drawingml/2006/main">
                        <a:graphicData uri="http://schemas.microsoft.com/office/word/2010/wordprocessingShape">
                          <wps:wsp>
                            <wps:cNvSpPr/>
                            <wps:spPr>
                              <a:xfrm>
                                <a:off x="0" y="0"/>
                                <a:ext cx="774700" cy="298450"/>
                              </a:xfrm>
                              <a:prstGeom prst="rect">
                                <a:avLst/>
                              </a:prstGeom>
                              <a:noFill/>
                              <a:ln w="9525" cap="flat" cmpd="sng" algn="ctr">
                                <a:solidFill>
                                  <a:sysClr val="windowText" lastClr="000000"/>
                                </a:solidFill>
                                <a:prstDash val="solid"/>
                              </a:ln>
                              <a:effectLst/>
                            </wps:spPr>
                            <wps:txbx>
                              <w:txbxContent>
                                <w:p w14:paraId="074410BC">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锅炉用水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159.5pt;margin-top:9.15pt;height:23.5pt;width:61pt;z-index:251694080;v-text-anchor:middle;mso-width-relative:page;mso-height-relative:page;" filled="f" stroked="t" coordsize="21600,21600" o:gfxdata="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uI1JfZAAAACQEAAA8AAAAAAAAAAQAgAAAA&#10;IgAAAGRycy9kb3ducmV2LnhtbFBLAQIUABQAAAAIAIdO4kC4NiAOfAIAAOcEAAAOAAAAAAAAAAEA&#10;IAAAACgBAABkcnMvZTJvRG9jLnhtbFBLBQYAAAAABgAGAFkBAAAWBgAAAAA=&#10;">
                      <v:fill on="f" focussize="0,0"/>
                      <v:stroke color="#000000" joinstyle="round"/>
                      <v:imagedata o:title=""/>
                      <o:lock v:ext="edit" aspectratio="f"/>
                      <v:textbox>
                        <w:txbxContent>
                          <w:p w14:paraId="074410BC">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锅炉用水</w:t>
                            </w:r>
                          </w:p>
                        </w:txbxContent>
                      </v:textbox>
                    </v:rect>
                  </w:pict>
                </mc:Fallback>
              </mc:AlternateContent>
            </w:r>
            <w:r>
              <w:rPr>
                <w:b/>
                <w:bCs/>
                <w:sz w:val="24"/>
              </w:rPr>
              <mc:AlternateContent>
                <mc:Choice Requires="wps">
                  <w:drawing>
                    <wp:anchor distT="0" distB="0" distL="114300" distR="114300" simplePos="0" relativeHeight="251695104" behindDoc="0" locked="0" layoutInCell="1" allowOverlap="1">
                      <wp:simplePos x="0" y="0"/>
                      <wp:positionH relativeFrom="column">
                        <wp:posOffset>1339850</wp:posOffset>
                      </wp:positionH>
                      <wp:positionV relativeFrom="paragraph">
                        <wp:posOffset>250825</wp:posOffset>
                      </wp:positionV>
                      <wp:extent cx="685800" cy="6350"/>
                      <wp:effectExtent l="0" t="76200" r="19050" b="88900"/>
                      <wp:wrapNone/>
                      <wp:docPr id="371798450" name="直接箭头连接符 72"/>
                      <wp:cNvGraphicFramePr/>
                      <a:graphic xmlns:a="http://schemas.openxmlformats.org/drawingml/2006/main">
                        <a:graphicData uri="http://schemas.microsoft.com/office/word/2010/wordprocessingShape">
                          <wps:wsp>
                            <wps:cNvCnPr/>
                            <wps:spPr>
                              <a:xfrm flipV="1">
                                <a:off x="0" y="0"/>
                                <a:ext cx="685800" cy="6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72" o:spid="_x0000_s1026" o:spt="32" type="#_x0000_t32" style="position:absolute;left:0pt;flip:y;margin-left:105.5pt;margin-top:19.75pt;height:0.5pt;width:54pt;z-index:251695104;mso-width-relative:page;mso-height-relative:page;" filled="f" stroked="t" coordsize="21600,21600" o:gfxdata="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vr5pdkAAAAJAQAADwAAAAAAAAABACAAAAAiAAAAZHJzL2Rvd25y&#10;ZXYueG1sUEsBAhQAFAAAAAgAh07iQOw9Dyg2AgAAOQQAAA4AAAAAAAAAAQAgAAAAKAEAAGRycy9l&#10;Mm9Eb2MueG1sUEsFBgAAAAAGAAYAWQEAANAFAAAAAA==&#10;">
                      <v:fill on="f" focussize="0,0"/>
                      <v:stroke color="#000000" joinstyle="round" endarrow="block"/>
                      <v:imagedata o:title=""/>
                      <o:lock v:ext="edit" aspectratio="f"/>
                    </v:shape>
                  </w:pict>
                </mc:Fallback>
              </mc:AlternateContent>
            </w:r>
          </w:p>
          <w:p w14:paraId="5CFFBED8">
            <w:pPr>
              <w:spacing w:line="360" w:lineRule="auto"/>
              <w:ind w:firstLine="241" w:firstLineChars="100"/>
              <w:jc w:val="center"/>
              <w:rPr>
                <w:b/>
                <w:bCs/>
                <w:sz w:val="24"/>
              </w:rPr>
            </w:pPr>
            <w:r>
              <w:rPr>
                <w:b/>
                <w:bCs/>
                <w:sz w:val="24"/>
              </w:rPr>
              <mc:AlternateContent>
                <mc:Choice Requires="wps">
                  <w:drawing>
                    <wp:anchor distT="0" distB="0" distL="114300" distR="114300" simplePos="0" relativeHeight="251711488" behindDoc="0" locked="0" layoutInCell="1" allowOverlap="1">
                      <wp:simplePos x="0" y="0"/>
                      <wp:positionH relativeFrom="column">
                        <wp:posOffset>2806700</wp:posOffset>
                      </wp:positionH>
                      <wp:positionV relativeFrom="paragraph">
                        <wp:posOffset>28575</wp:posOffset>
                      </wp:positionV>
                      <wp:extent cx="1600200" cy="6350"/>
                      <wp:effectExtent l="0" t="76200" r="19050" b="88900"/>
                      <wp:wrapNone/>
                      <wp:docPr id="432483204" name="直接箭头连接符 83"/>
                      <wp:cNvGraphicFramePr/>
                      <a:graphic xmlns:a="http://schemas.openxmlformats.org/drawingml/2006/main">
                        <a:graphicData uri="http://schemas.microsoft.com/office/word/2010/wordprocessingShape">
                          <wps:wsp>
                            <wps:cNvCnPr/>
                            <wps:spPr>
                              <a:xfrm flipV="1">
                                <a:off x="0" y="0"/>
                                <a:ext cx="16002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3" o:spid="_x0000_s1026" o:spt="32" type="#_x0000_t32" style="position:absolute;left:0pt;flip:y;margin-left:221pt;margin-top:2.25pt;height:0.5pt;width:126pt;z-index:251711488;mso-width-relative:page;mso-height-relative:page;" filled="f" stroked="t" coordsize="21600,21600" o:gfxdata="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Ik&#10;MXLXAAAABwEAAA8AAAAAAAAAAQAgAAAAIgAAAGRycy9kb3ducmV2LnhtbFBLAQIUABQAAAAIAIdO&#10;4kBTFfYXJAIAABkEAAAOAAAAAAAAAAEAIAAAACYBAABkcnMvZTJvRG9jLnhtbFBLBQYAAAAABgAG&#10;AFkBAAC8BQAAAAA=&#10;">
                      <v:fill on="f" focussize="0,0"/>
                      <v:stroke color="#000000 [3200]" joinstyle="round" endarrow="block"/>
                      <v:imagedata o:title=""/>
                      <o:lock v:ext="edit" aspectratio="f"/>
                    </v:shape>
                  </w:pict>
                </mc:Fallback>
              </mc:AlternateContent>
            </w:r>
          </w:p>
          <w:p w14:paraId="492CD43F">
            <w:pPr>
              <w:spacing w:line="360" w:lineRule="auto"/>
              <w:ind w:firstLine="241" w:firstLineChars="100"/>
              <w:jc w:val="center"/>
              <w:rPr>
                <w:b/>
                <w:bCs/>
                <w:sz w:val="24"/>
              </w:rPr>
            </w:pPr>
          </w:p>
          <w:p w14:paraId="7B9D7419">
            <w:pPr>
              <w:spacing w:line="360" w:lineRule="auto"/>
              <w:ind w:firstLine="241" w:firstLineChars="100"/>
              <w:jc w:val="center"/>
              <w:rPr>
                <w:b/>
                <w:bCs/>
                <w:sz w:val="24"/>
              </w:rPr>
            </w:pPr>
          </w:p>
          <w:p w14:paraId="60D403C2">
            <w:pPr>
              <w:spacing w:line="360" w:lineRule="auto"/>
              <w:ind w:firstLine="241" w:firstLineChars="100"/>
              <w:jc w:val="center"/>
              <w:rPr>
                <w:b/>
                <w:bCs/>
                <w:sz w:val="24"/>
              </w:rPr>
            </w:pPr>
            <w:r>
              <w:rPr>
                <w:rFonts w:hint="eastAsia"/>
                <w:b/>
                <w:bCs/>
                <w:sz w:val="24"/>
              </w:rPr>
              <w:t>图2</w:t>
            </w:r>
            <w:r>
              <w:rPr>
                <w:b/>
                <w:bCs/>
                <w:sz w:val="24"/>
              </w:rPr>
              <w:t xml:space="preserve">-1 </w:t>
            </w:r>
            <w:r>
              <w:rPr>
                <w:rFonts w:hint="eastAsia"/>
                <w:b/>
                <w:bCs/>
                <w:sz w:val="24"/>
              </w:rPr>
              <w:t>项目水平衡（单位t/a）</w:t>
            </w:r>
          </w:p>
          <w:p w14:paraId="0A2915DF">
            <w:pPr>
              <w:keepNext/>
              <w:keepLines/>
              <w:widowControl/>
              <w:spacing w:line="360" w:lineRule="auto"/>
              <w:ind w:firstLine="480" w:firstLineChars="200"/>
              <w:rPr>
                <w:color w:val="000000"/>
                <w:sz w:val="24"/>
              </w:rPr>
            </w:pPr>
          </w:p>
          <w:p w14:paraId="0D13DCF5">
            <w:pPr>
              <w:keepNext/>
              <w:keepLines/>
              <w:widowControl/>
              <w:spacing w:line="360" w:lineRule="auto"/>
              <w:ind w:firstLine="480" w:firstLineChars="200"/>
              <w:rPr>
                <w:color w:val="000000"/>
                <w:sz w:val="24"/>
              </w:rPr>
            </w:pPr>
            <w:r>
              <w:rPr>
                <w:rFonts w:hint="eastAsia"/>
                <w:color w:val="000000"/>
                <w:sz w:val="24"/>
              </w:rPr>
              <w:t>（5）供电：市政电网供电，</w:t>
            </w:r>
            <w:r>
              <w:rPr>
                <w:color w:val="000000"/>
                <w:sz w:val="24"/>
              </w:rPr>
              <w:t>本项目供电由城市供电系统供给，根据建设单位提供资料，项目用电为</w:t>
            </w:r>
            <w:r>
              <w:rPr>
                <w:rFonts w:hint="eastAsia"/>
                <w:color w:val="000000"/>
                <w:sz w:val="24"/>
              </w:rPr>
              <w:t>2</w:t>
            </w:r>
            <w:r>
              <w:rPr>
                <w:color w:val="000000"/>
                <w:sz w:val="24"/>
              </w:rPr>
              <w:t>万度/年。</w:t>
            </w:r>
          </w:p>
          <w:p w14:paraId="3DC8AE88"/>
          <w:p w14:paraId="1A7E9320"/>
          <w:p w14:paraId="75404038">
            <w:pPr>
              <w:keepNext/>
              <w:keepLines/>
              <w:widowControl/>
              <w:spacing w:line="360" w:lineRule="auto"/>
              <w:rPr>
                <w:color w:val="000000"/>
                <w:sz w:val="24"/>
              </w:rPr>
            </w:pPr>
            <w:r>
              <w:rPr>
                <w:rFonts w:hint="eastAsia"/>
                <w:b/>
                <w:bCs/>
                <w:color w:val="000000"/>
                <w:sz w:val="24"/>
              </w:rPr>
              <w:t>6、劳动定员及工作制度</w:t>
            </w:r>
          </w:p>
          <w:p w14:paraId="3CEC9EB4">
            <w:pPr>
              <w:keepNext/>
              <w:keepLines/>
              <w:widowControl/>
              <w:spacing w:line="360" w:lineRule="auto"/>
              <w:ind w:firstLine="480" w:firstLineChars="200"/>
              <w:rPr>
                <w:color w:val="000000"/>
                <w:sz w:val="24"/>
              </w:rPr>
            </w:pPr>
            <w:r>
              <w:rPr>
                <w:rFonts w:hint="eastAsia"/>
                <w:color w:val="000000"/>
                <w:sz w:val="24"/>
              </w:rPr>
              <w:t>本项目员工共计1</w:t>
            </w:r>
            <w:r>
              <w:rPr>
                <w:color w:val="000000"/>
                <w:sz w:val="24"/>
              </w:rPr>
              <w:t>0</w:t>
            </w:r>
            <w:r>
              <w:rPr>
                <w:rFonts w:hint="eastAsia"/>
                <w:color w:val="000000"/>
                <w:sz w:val="24"/>
              </w:rPr>
              <w:t>人，1班制，每班工作时长8小时，年工作300天。员工均不在厂内食宿。</w:t>
            </w:r>
          </w:p>
          <w:p w14:paraId="5C912AB1">
            <w:pPr>
              <w:keepNext/>
              <w:keepLines/>
              <w:widowControl/>
              <w:spacing w:line="360" w:lineRule="auto"/>
              <w:rPr>
                <w:color w:val="000000"/>
                <w:sz w:val="24"/>
              </w:rPr>
            </w:pPr>
            <w:r>
              <w:rPr>
                <w:rFonts w:hint="eastAsia"/>
                <w:b/>
                <w:bCs/>
                <w:color w:val="000000"/>
                <w:sz w:val="24"/>
              </w:rPr>
              <w:t>7、厂区平面布置</w:t>
            </w:r>
          </w:p>
          <w:p w14:paraId="481FB732">
            <w:pPr>
              <w:widowControl/>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进场道路</w:t>
            </w:r>
            <w:r>
              <w:rPr>
                <w:rFonts w:hint="eastAsia"/>
                <w:sz w:val="24"/>
              </w:rPr>
              <w:t>南</w:t>
            </w:r>
            <w:r>
              <w:rPr>
                <w:rFonts w:hint="eastAsia"/>
                <w:bCs/>
                <w:spacing w:val="4"/>
                <w:sz w:val="24"/>
              </w:rPr>
              <w:t>面厂区进出口连接东风路，生产线呈长方形分布，自西向东方向分别为锅炉供热区、熨烫折叠区、洗涤区等。</w:t>
            </w:r>
          </w:p>
          <w:p w14:paraId="3B3ABC1A">
            <w:pPr>
              <w:pStyle w:val="2"/>
              <w:ind w:left="0" w:leftChars="0" w:firstLine="480"/>
            </w:pPr>
            <w:r>
              <w:rPr>
                <w:bCs/>
                <w:szCs w:val="21"/>
              </w:rPr>
              <w:t>本项目平面布置功能分区明确、布置紧凑、生产流程顺畅，减少交叉干扰，有利于安全生产，便于管理，平面布置合理。项目平面布置见附图3。</w:t>
            </w:r>
          </w:p>
          <w:p w14:paraId="03C3CC6A">
            <w:pPr>
              <w:keepNext/>
              <w:keepLines/>
              <w:widowControl/>
              <w:spacing w:line="360" w:lineRule="auto"/>
              <w:rPr>
                <w:color w:val="000000"/>
                <w:sz w:val="24"/>
              </w:rPr>
            </w:pPr>
            <w:r>
              <w:rPr>
                <w:rFonts w:hint="eastAsia"/>
                <w:b/>
                <w:bCs/>
                <w:color w:val="000000"/>
                <w:sz w:val="24"/>
              </w:rPr>
              <w:t>8、项目四周情况</w:t>
            </w:r>
          </w:p>
          <w:p w14:paraId="0985AA6B">
            <w:pPr>
              <w:pStyle w:val="2"/>
              <w:spacing w:after="0"/>
              <w:ind w:left="0" w:leftChars="0" w:firstLine="480"/>
              <w:rPr>
                <w:color w:val="000000" w:themeColor="text1"/>
                <w:u w:val="single"/>
                <w14:textFill>
                  <w14:solidFill>
                    <w14:schemeClr w14:val="tx1"/>
                  </w14:solidFill>
                </w14:textFill>
              </w:rPr>
            </w:pPr>
            <w:r>
              <w:rPr>
                <w:rFonts w:hint="eastAsia"/>
              </w:rPr>
              <w:t>根据现场勘查情况可知，本项目四周500m范围分布居民点较少。</w:t>
            </w:r>
            <w:r>
              <w:rPr>
                <w:rFonts w:hint="eastAsia"/>
                <w:color w:val="000000" w:themeColor="text1"/>
                <w14:textFill>
                  <w14:solidFill>
                    <w14:schemeClr w14:val="tx1"/>
                  </w14:solidFill>
                </w14:textFill>
              </w:rPr>
              <w:t>本项目附近东北侧约37m的空置厂房，最近的居民点为北侧40m处有零散居民点，及南侧30m的零散居民点，西南侧约38m的敬老院。</w:t>
            </w:r>
          </w:p>
          <w:p w14:paraId="4FC0E07A">
            <w:pPr>
              <w:spacing w:line="360" w:lineRule="auto"/>
              <w:ind w:firstLine="240" w:firstLineChars="100"/>
              <w:rPr>
                <w:sz w:val="24"/>
              </w:rPr>
            </w:pPr>
          </w:p>
          <w:p w14:paraId="0D6A3919">
            <w:pPr>
              <w:spacing w:line="360" w:lineRule="auto"/>
              <w:ind w:firstLine="420" w:firstLineChars="200"/>
            </w:pPr>
          </w:p>
        </w:tc>
      </w:tr>
      <w:tr w14:paraId="3D4B4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9" w:hRule="atLeast"/>
          <w:jc w:val="center"/>
        </w:trPr>
        <w:tc>
          <w:tcPr>
            <w:tcW w:w="589" w:type="dxa"/>
            <w:vAlign w:val="center"/>
          </w:tcPr>
          <w:p w14:paraId="5D88FEDA">
            <w:pPr>
              <w:pStyle w:val="24"/>
              <w:adjustRightInd w:val="0"/>
              <w:snapToGrid w:val="0"/>
              <w:spacing w:before="0" w:beforeAutospacing="0" w:after="0" w:afterAutospacing="0"/>
              <w:jc w:val="center"/>
              <w:rPr>
                <w:rFonts w:hint="eastAsia" w:cs="宋体"/>
                <w:szCs w:val="24"/>
              </w:rPr>
            </w:pPr>
            <w:r>
              <w:rPr>
                <w:rFonts w:hint="eastAsia" w:cs="宋体"/>
                <w:szCs w:val="24"/>
              </w:rPr>
              <w:t>工艺流程和产排污环节</w:t>
            </w:r>
          </w:p>
        </w:tc>
        <w:tc>
          <w:tcPr>
            <w:tcW w:w="8471" w:type="dxa"/>
          </w:tcPr>
          <w:p w14:paraId="6B948B46">
            <w:pPr>
              <w:adjustRightInd w:val="0"/>
              <w:snapToGrid w:val="0"/>
              <w:spacing w:line="360" w:lineRule="auto"/>
              <w:ind w:firstLine="480" w:firstLineChars="200"/>
              <w:rPr>
                <w:rFonts w:hint="eastAsia" w:ascii="宋体" w:hAnsi="宋体"/>
                <w:bCs/>
                <w:sz w:val="24"/>
              </w:rPr>
            </w:pPr>
          </w:p>
          <w:p w14:paraId="0D2A15F1">
            <w:pPr>
              <w:spacing w:line="360" w:lineRule="auto"/>
              <w:rPr>
                <w:b/>
                <w:bCs/>
                <w:sz w:val="24"/>
              </w:rPr>
            </w:pPr>
            <w:r>
              <w:rPr>
                <w:b/>
                <w:bCs/>
                <w:sz w:val="24"/>
              </w:rPr>
              <w:t>1、施工期工艺流程及产污环节图</w:t>
            </w:r>
          </w:p>
          <w:p w14:paraId="22986DE8">
            <w:pPr>
              <w:spacing w:line="360" w:lineRule="auto"/>
              <w:ind w:firstLine="480" w:firstLineChars="200"/>
            </w:pPr>
            <w:r>
              <w:rPr>
                <w:bCs/>
                <w:sz w:val="24"/>
              </w:rPr>
              <w:t>项目</w:t>
            </w:r>
            <w:r>
              <w:rPr>
                <w:rFonts w:hint="eastAsia"/>
                <w:bCs/>
                <w:sz w:val="24"/>
              </w:rPr>
              <w:t>位于</w:t>
            </w:r>
            <w:r>
              <w:rPr>
                <w:rFonts w:hint="eastAsia"/>
                <w:bCs/>
                <w:spacing w:val="4"/>
                <w:sz w:val="24"/>
              </w:rPr>
              <w:t>衡山县</w:t>
            </w:r>
            <w:r>
              <w:rPr>
                <w:rFonts w:hint="eastAsia"/>
                <w:sz w:val="24"/>
              </w:rPr>
              <w:t>开云镇</w:t>
            </w:r>
            <w:r>
              <w:rPr>
                <w:bCs/>
                <w:sz w:val="24"/>
              </w:rPr>
              <w:t>，</w:t>
            </w:r>
            <w:r>
              <w:rPr>
                <w:rFonts w:hint="eastAsia"/>
                <w:bCs/>
                <w:sz w:val="24"/>
              </w:rPr>
              <w:t>目前厂房已经建设完成，</w:t>
            </w:r>
            <w:r>
              <w:rPr>
                <w:bCs/>
                <w:sz w:val="24"/>
              </w:rPr>
              <w:t>本项目是利用现有已建成厂房，施工期主要工序是对厂房内部进行布局 调整、对厂房进行装修，搬入设备。本项目施工期会产生少量的装修废气、 装修噪声及设备外包装袋。</w:t>
            </w:r>
          </w:p>
          <w:p w14:paraId="73FE869C">
            <w:pPr>
              <w:adjustRightInd w:val="0"/>
              <w:snapToGrid w:val="0"/>
              <w:spacing w:line="360" w:lineRule="auto"/>
              <w:ind w:firstLine="480" w:firstLineChars="200"/>
              <w:rPr>
                <w:rFonts w:hint="eastAsia" w:ascii="宋体" w:hAnsi="宋体"/>
                <w:bCs/>
                <w:sz w:val="24"/>
              </w:rPr>
            </w:pPr>
          </w:p>
          <w:p w14:paraId="5111B43A">
            <w:pPr>
              <w:spacing w:line="360" w:lineRule="auto"/>
              <w:rPr>
                <w:rFonts w:hint="eastAsia" w:ascii="宋体" w:hAnsi="宋体"/>
                <w:b/>
                <w:sz w:val="24"/>
              </w:rPr>
            </w:pPr>
            <w:r>
              <w:rPr>
                <w:rFonts w:hint="eastAsia" w:ascii="宋体" w:hAnsi="宋体"/>
                <w:b/>
                <w:sz w:val="24"/>
              </w:rPr>
              <w:t>2、运行期工艺流程和产污环节</w:t>
            </w:r>
          </w:p>
          <w:p w14:paraId="1735B2E9">
            <w:pPr>
              <w:adjustRightInd w:val="0"/>
              <w:snapToGrid w:val="0"/>
              <w:spacing w:line="360" w:lineRule="auto"/>
              <w:ind w:firstLine="480" w:firstLineChars="200"/>
              <w:rPr>
                <w:bCs/>
                <w:sz w:val="24"/>
              </w:rPr>
            </w:pPr>
            <w:r>
              <w:rPr>
                <w:rFonts w:hint="eastAsia"/>
                <w:bCs/>
                <w:sz w:val="24"/>
              </w:rPr>
              <w:t>1、</w:t>
            </w:r>
            <w:r>
              <w:rPr>
                <w:bCs/>
                <w:sz w:val="24"/>
              </w:rPr>
              <w:t>布草洗涤生产线</w:t>
            </w:r>
          </w:p>
          <w:p w14:paraId="6BA5D333">
            <w:pPr>
              <w:adjustRightInd w:val="0"/>
              <w:snapToGrid w:val="0"/>
              <w:spacing w:line="360" w:lineRule="auto"/>
              <w:ind w:firstLine="480" w:firstLineChars="200"/>
              <w:rPr>
                <w:rFonts w:hint="eastAsia" w:ascii="宋体" w:hAnsi="宋体"/>
                <w:bCs/>
                <w:sz w:val="24"/>
              </w:rPr>
            </w:pPr>
            <w:r>
              <w:rPr>
                <w:rFonts w:hint="eastAsia" w:ascii="宋体" w:hAnsi="宋体"/>
                <w:bCs/>
                <w:sz w:val="24"/>
              </w:rPr>
              <w:t>本项目布草洗涤生产工艺流程及产污环节见下图。</w:t>
            </w:r>
          </w:p>
          <w:p w14:paraId="6BC79D9F">
            <w:pPr>
              <w:pStyle w:val="2"/>
              <w:ind w:left="0" w:leftChars="0" w:firstLine="0" w:firstLineChars="0"/>
            </w:pPr>
            <w:r>
              <w:drawing>
                <wp:inline distT="0" distB="0" distL="0" distR="0">
                  <wp:extent cx="5732780" cy="2734945"/>
                  <wp:effectExtent l="0" t="0" r="1270" b="8255"/>
                  <wp:docPr id="527650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50230" name="图片 1"/>
                          <pic:cNvPicPr>
                            <a:picLocks noChangeAspect="1"/>
                          </pic:cNvPicPr>
                        </pic:nvPicPr>
                        <pic:blipFill>
                          <a:blip r:embed="rId10"/>
                          <a:stretch>
                            <a:fillRect/>
                          </a:stretch>
                        </pic:blipFill>
                        <pic:spPr>
                          <a:xfrm>
                            <a:off x="0" y="0"/>
                            <a:ext cx="5736911" cy="2737220"/>
                          </a:xfrm>
                          <a:prstGeom prst="rect">
                            <a:avLst/>
                          </a:prstGeom>
                        </pic:spPr>
                      </pic:pic>
                    </a:graphicData>
                  </a:graphic>
                </wp:inline>
              </w:drawing>
            </w:r>
          </w:p>
          <w:p w14:paraId="5BB84F4B">
            <w:pPr>
              <w:ind w:firstLine="630" w:firstLineChars="300"/>
              <w:rPr>
                <w:b/>
                <w:szCs w:val="21"/>
              </w:rPr>
            </w:pPr>
            <w:r>
              <w:t xml:space="preserve"> </w:t>
            </w:r>
          </w:p>
          <w:p w14:paraId="5A7AB5D2">
            <w:pPr>
              <w:adjustRightInd w:val="0"/>
              <w:snapToGrid w:val="0"/>
              <w:spacing w:line="360" w:lineRule="auto"/>
              <w:ind w:firstLine="422" w:firstLineChars="200"/>
              <w:jc w:val="center"/>
              <w:rPr>
                <w:b/>
                <w:szCs w:val="21"/>
              </w:rPr>
            </w:pPr>
            <w:r>
              <w:rPr>
                <w:b/>
                <w:szCs w:val="21"/>
              </w:rPr>
              <w:t>图2-</w:t>
            </w:r>
            <w:r>
              <w:rPr>
                <w:rFonts w:hint="eastAsia"/>
                <w:b/>
                <w:szCs w:val="21"/>
              </w:rPr>
              <w:t>2 项目生产</w:t>
            </w:r>
            <w:r>
              <w:rPr>
                <w:b/>
                <w:szCs w:val="21"/>
              </w:rPr>
              <w:t>工艺流程</w:t>
            </w:r>
            <w:r>
              <w:rPr>
                <w:rFonts w:hint="eastAsia"/>
                <w:b/>
                <w:szCs w:val="21"/>
              </w:rPr>
              <w:t>及产污节点</w:t>
            </w:r>
            <w:r>
              <w:rPr>
                <w:b/>
                <w:szCs w:val="21"/>
              </w:rPr>
              <w:t>图</w:t>
            </w:r>
          </w:p>
          <w:p w14:paraId="04335C73">
            <w:pPr>
              <w:adjustRightInd w:val="0"/>
              <w:snapToGrid w:val="0"/>
              <w:spacing w:line="360" w:lineRule="auto"/>
              <w:ind w:firstLine="482" w:firstLineChars="200"/>
              <w:rPr>
                <w:b/>
                <w:sz w:val="24"/>
              </w:rPr>
            </w:pPr>
          </w:p>
          <w:p w14:paraId="309E281C">
            <w:pPr>
              <w:adjustRightInd w:val="0"/>
              <w:snapToGrid w:val="0"/>
              <w:spacing w:line="360" w:lineRule="auto"/>
              <w:ind w:firstLine="482" w:firstLineChars="200"/>
              <w:rPr>
                <w:b/>
                <w:sz w:val="24"/>
              </w:rPr>
            </w:pPr>
            <w:r>
              <w:rPr>
                <w:rFonts w:hint="eastAsia"/>
                <w:b/>
                <w:sz w:val="24"/>
              </w:rPr>
              <w:t>工艺流程简述：</w:t>
            </w:r>
          </w:p>
          <w:p w14:paraId="10CBEA83">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分拣 </w:t>
            </w:r>
          </w:p>
          <w:p w14:paraId="7A0D5316">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将收回的毛巾、被套、床单等待清洗的布草，</w:t>
            </w:r>
            <w:r>
              <w:rPr>
                <w:rFonts w:hint="eastAsia"/>
                <w:color w:val="000000" w:themeColor="text1"/>
                <w:sz w:val="24"/>
                <w14:textFill>
                  <w14:solidFill>
                    <w14:schemeClr w14:val="tx1"/>
                  </w14:solidFill>
                </w14:textFill>
              </w:rPr>
              <w:t>人工</w:t>
            </w:r>
            <w:r>
              <w:rPr>
                <w:color w:val="000000" w:themeColor="text1"/>
                <w:sz w:val="24"/>
                <w14:textFill>
                  <w14:solidFill>
                    <w14:schemeClr w14:val="tx1"/>
                  </w14:solidFill>
                </w14:textFill>
              </w:rPr>
              <w:t xml:space="preserve">统一分拣分类。 </w:t>
            </w:r>
          </w:p>
          <w:p w14:paraId="7432E941">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（2）洗涤</w:t>
            </w:r>
            <w:r>
              <w:rPr>
                <w:color w:val="000000" w:themeColor="text1"/>
                <w:sz w:val="24"/>
                <w14:textFill>
                  <w14:solidFill>
                    <w14:schemeClr w14:val="tx1"/>
                  </w14:solidFill>
                </w14:textFill>
              </w:rPr>
              <w:t xml:space="preserve">（消毒） </w:t>
            </w:r>
          </w:p>
          <w:p w14:paraId="1E594558">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将分拣出来的毛巾、被套、床单等送至洗涤区，投放至全自动水洗脱机内，加入</w:t>
            </w:r>
            <w:r>
              <w:rPr>
                <w:rFonts w:hint="eastAsia"/>
                <w:color w:val="000000" w:themeColor="text1"/>
                <w:sz w:val="24"/>
                <w14:textFill>
                  <w14:solidFill>
                    <w14:schemeClr w14:val="tx1"/>
                  </w14:solidFill>
                </w14:textFill>
              </w:rPr>
              <w:t>洗衣粉、彩漂粉</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中和酸</w:t>
            </w:r>
            <w:r>
              <w:rPr>
                <w:color w:val="000000" w:themeColor="text1"/>
                <w:sz w:val="24"/>
                <w14:textFill>
                  <w14:solidFill>
                    <w14:schemeClr w14:val="tx1"/>
                  </w14:solidFill>
                </w14:textFill>
              </w:rPr>
              <w:t>等洗涤剂后，由洗脱机自动进行洗涤、过水清洗、</w:t>
            </w:r>
            <w:r>
              <w:rPr>
                <w:rFonts w:hint="eastAsia"/>
                <w:color w:val="000000" w:themeColor="text1"/>
                <w:sz w:val="24"/>
                <w14:textFill>
                  <w14:solidFill>
                    <w14:schemeClr w14:val="tx1"/>
                  </w14:solidFill>
                </w14:textFill>
              </w:rPr>
              <w:t>中和清洗、</w:t>
            </w:r>
            <w:r>
              <w:rPr>
                <w:color w:val="000000" w:themeColor="text1"/>
                <w:sz w:val="24"/>
                <w14:textFill>
                  <w14:solidFill>
                    <w14:schemeClr w14:val="tx1"/>
                  </w14:solidFill>
                </w14:textFill>
              </w:rPr>
              <w:t>脱水等工序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经</w:t>
            </w:r>
            <w:r>
              <w:rPr>
                <w:rFonts w:hint="eastAsia"/>
                <w:color w:val="000000" w:themeColor="text1"/>
                <w:sz w:val="24"/>
                <w14:textFill>
                  <w14:solidFill>
                    <w14:schemeClr w14:val="tx1"/>
                  </w14:solidFill>
                </w14:textFill>
              </w:rPr>
              <w:t>最后脱水后的布草进入熨烫折叠区，</w:t>
            </w:r>
            <w:r>
              <w:rPr>
                <w:color w:val="000000" w:themeColor="text1"/>
                <w:sz w:val="24"/>
                <w14:textFill>
                  <w14:solidFill>
                    <w14:schemeClr w14:val="tx1"/>
                  </w14:solidFill>
                </w14:textFill>
              </w:rPr>
              <w:t>本项目消毒采用在水洗环节加入</w:t>
            </w:r>
            <w:r>
              <w:rPr>
                <w:rFonts w:hint="eastAsia"/>
                <w:color w:val="000000" w:themeColor="text1"/>
                <w:sz w:val="24"/>
                <w14:textFill>
                  <w14:solidFill>
                    <w14:schemeClr w14:val="tx1"/>
                  </w14:solidFill>
                </w14:textFill>
              </w:rPr>
              <w:t>蒸汽</w:t>
            </w:r>
            <w:r>
              <w:rPr>
                <w:color w:val="000000" w:themeColor="text1"/>
                <w:sz w:val="24"/>
                <w14:textFill>
                  <w14:solidFill>
                    <w14:schemeClr w14:val="tx1"/>
                  </w14:solidFill>
                </w14:textFill>
              </w:rPr>
              <w:t>进行</w:t>
            </w:r>
            <w:r>
              <w:rPr>
                <w:rFonts w:hint="eastAsia"/>
                <w:color w:val="000000" w:themeColor="text1"/>
                <w:sz w:val="24"/>
                <w14:textFill>
                  <w14:solidFill>
                    <w14:schemeClr w14:val="tx1"/>
                  </w14:solidFill>
                </w14:textFill>
              </w:rPr>
              <w:t>高温</w:t>
            </w:r>
            <w:r>
              <w:rPr>
                <w:color w:val="000000" w:themeColor="text1"/>
                <w:sz w:val="24"/>
                <w14:textFill>
                  <w14:solidFill>
                    <w14:schemeClr w14:val="tx1"/>
                  </w14:solidFill>
                </w14:textFill>
              </w:rPr>
              <w:t>消毒处理。该过程会产生</w:t>
            </w:r>
            <w:r>
              <w:rPr>
                <w:rFonts w:hint="eastAsia"/>
                <w:color w:val="000000" w:themeColor="text1"/>
                <w:sz w:val="24"/>
                <w14:textFill>
                  <w14:solidFill>
                    <w14:schemeClr w14:val="tx1"/>
                  </w14:solidFill>
                </w14:textFill>
              </w:rPr>
              <w:t>洗涤</w:t>
            </w:r>
            <w:r>
              <w:rPr>
                <w:color w:val="000000" w:themeColor="text1"/>
                <w:sz w:val="24"/>
                <w14:textFill>
                  <w14:solidFill>
                    <w14:schemeClr w14:val="tx1"/>
                  </w14:solidFill>
                </w14:textFill>
              </w:rPr>
              <w:t>废水</w:t>
            </w:r>
            <w:r>
              <w:rPr>
                <w:rFonts w:hint="eastAsia"/>
                <w:color w:val="000000" w:themeColor="text1"/>
                <w:sz w:val="24"/>
                <w14:textFill>
                  <w14:solidFill>
                    <w14:schemeClr w14:val="tx1"/>
                  </w14:solidFill>
                </w14:textFill>
              </w:rPr>
              <w:t>W1</w:t>
            </w:r>
            <w:r>
              <w:rPr>
                <w:color w:val="000000" w:themeColor="text1"/>
                <w:sz w:val="24"/>
                <w14:textFill>
                  <w14:solidFill>
                    <w14:schemeClr w14:val="tx1"/>
                  </w14:solidFill>
                </w14:textFill>
              </w:rPr>
              <w:t xml:space="preserve">和噪声。 </w:t>
            </w:r>
          </w:p>
          <w:p w14:paraId="321E7E11">
            <w:pPr>
              <w:pStyle w:val="2"/>
              <w:ind w:left="0" w:leftChars="0" w:firstLine="480"/>
              <w:rPr>
                <w:bCs/>
                <w:kern w:val="2"/>
                <w:szCs w:val="24"/>
              </w:rPr>
            </w:pPr>
            <w:r>
              <w:rPr>
                <w:rFonts w:hint="eastAsia"/>
                <w:bCs/>
                <w:kern w:val="2"/>
                <w:szCs w:val="24"/>
              </w:rPr>
              <w:t>清洗</w:t>
            </w:r>
            <w:r>
              <w:rPr>
                <w:bCs/>
                <w:kern w:val="2"/>
                <w:szCs w:val="24"/>
              </w:rPr>
              <w:t>以蒸汽作为热源</w:t>
            </w:r>
            <w:r>
              <w:rPr>
                <w:rFonts w:hint="eastAsia"/>
                <w:bCs/>
                <w:kern w:val="2"/>
                <w:szCs w:val="24"/>
              </w:rPr>
              <w:t>进行消毒清洗</w:t>
            </w:r>
            <w:r>
              <w:rPr>
                <w:bCs/>
                <w:kern w:val="2"/>
                <w:szCs w:val="24"/>
              </w:rPr>
              <w:t>，蒸汽由</w:t>
            </w:r>
            <w:r>
              <w:rPr>
                <w:rFonts w:hint="eastAsia"/>
                <w:bCs/>
                <w:kern w:val="2"/>
                <w:szCs w:val="24"/>
              </w:rPr>
              <w:t>生物质蒸汽发生器</w:t>
            </w:r>
            <w:r>
              <w:rPr>
                <w:bCs/>
                <w:kern w:val="2"/>
                <w:szCs w:val="24"/>
              </w:rPr>
              <w:t>提供，</w:t>
            </w:r>
            <w:r>
              <w:rPr>
                <w:rFonts w:hint="eastAsia"/>
                <w:bCs/>
                <w:kern w:val="2"/>
                <w:szCs w:val="24"/>
              </w:rPr>
              <w:t>生物质蒸汽发生器</w:t>
            </w:r>
            <w:r>
              <w:rPr>
                <w:bCs/>
                <w:kern w:val="2"/>
                <w:szCs w:val="24"/>
              </w:rPr>
              <w:t>燃烧产生燃烧废气</w:t>
            </w:r>
            <w:r>
              <w:rPr>
                <w:rFonts w:hint="eastAsia"/>
                <w:bCs/>
                <w:kern w:val="2"/>
                <w:szCs w:val="24"/>
              </w:rPr>
              <w:t>G1（以颗粒物、二氧化硫、氮氧化物计），锅炉废水W2和水喷淋废水W3</w:t>
            </w:r>
            <w:r>
              <w:rPr>
                <w:bCs/>
                <w:kern w:val="2"/>
                <w:szCs w:val="24"/>
              </w:rPr>
              <w:t xml:space="preserve">。 </w:t>
            </w:r>
          </w:p>
          <w:p w14:paraId="542C1B61">
            <w:pPr>
              <w:adjustRightInd w:val="0"/>
              <w:snapToGrid w:val="0"/>
              <w:spacing w:line="360" w:lineRule="auto"/>
              <w:ind w:firstLine="240" w:firstLineChars="100"/>
              <w:rPr>
                <w:bCs/>
                <w:sz w:val="24"/>
              </w:rPr>
            </w:pPr>
            <w:r>
              <w:rPr>
                <w:bCs/>
                <w:sz w:val="24"/>
              </w:rPr>
              <w:t>（</w:t>
            </w:r>
            <w:r>
              <w:rPr>
                <w:rFonts w:hint="eastAsia"/>
                <w:bCs/>
                <w:sz w:val="24"/>
              </w:rPr>
              <w:t>3</w:t>
            </w:r>
            <w:r>
              <w:rPr>
                <w:bCs/>
                <w:sz w:val="24"/>
              </w:rPr>
              <w:t>）烘干</w:t>
            </w:r>
            <w:r>
              <w:rPr>
                <w:rFonts w:hint="eastAsia"/>
                <w:bCs/>
                <w:sz w:val="24"/>
              </w:rPr>
              <w:t>、</w:t>
            </w:r>
            <w:r>
              <w:rPr>
                <w:bCs/>
                <w:sz w:val="24"/>
              </w:rPr>
              <w:t>烫平</w:t>
            </w:r>
          </w:p>
          <w:p w14:paraId="37A5E818">
            <w:pPr>
              <w:adjustRightInd w:val="0"/>
              <w:snapToGrid w:val="0"/>
              <w:spacing w:line="360" w:lineRule="auto"/>
              <w:ind w:firstLine="480" w:firstLineChars="200"/>
              <w:rPr>
                <w:bCs/>
                <w:sz w:val="24"/>
              </w:rPr>
            </w:pPr>
            <w:r>
              <w:rPr>
                <w:bCs/>
                <w:sz w:val="24"/>
              </w:rPr>
              <w:t>将清洗干净并脱水后的布草送至烫平</w:t>
            </w:r>
            <w:r>
              <w:rPr>
                <w:rFonts w:hint="eastAsia"/>
                <w:bCs/>
                <w:sz w:val="24"/>
              </w:rPr>
              <w:t>折叠</w:t>
            </w:r>
            <w:r>
              <w:rPr>
                <w:bCs/>
                <w:sz w:val="24"/>
              </w:rPr>
              <w:t>区，</w:t>
            </w:r>
            <w:r>
              <w:rPr>
                <w:rFonts w:hint="eastAsia"/>
                <w:bCs/>
                <w:sz w:val="24"/>
              </w:rPr>
              <w:t>项目设</w:t>
            </w:r>
            <w:r>
              <w:rPr>
                <w:bCs/>
                <w:sz w:val="24"/>
              </w:rPr>
              <w:t>平烫折叠机1套</w:t>
            </w:r>
            <w:r>
              <w:rPr>
                <w:rFonts w:hint="eastAsia"/>
                <w:bCs/>
                <w:sz w:val="24"/>
              </w:rPr>
              <w:t>，</w:t>
            </w:r>
            <w:r>
              <w:rPr>
                <w:bCs/>
                <w:sz w:val="24"/>
              </w:rPr>
              <w:t>平烫折叠机</w:t>
            </w:r>
            <w:r>
              <w:rPr>
                <w:rFonts w:hint="eastAsia"/>
                <w:bCs/>
                <w:sz w:val="24"/>
              </w:rPr>
              <w:t>具有烘干、熨烫的功能，</w:t>
            </w:r>
            <w:r>
              <w:rPr>
                <w:bCs/>
                <w:sz w:val="24"/>
              </w:rPr>
              <w:t>通过</w:t>
            </w:r>
            <w:r>
              <w:rPr>
                <w:rFonts w:hint="eastAsia"/>
                <w:bCs/>
                <w:sz w:val="24"/>
              </w:rPr>
              <w:t>蒸汽将脱水的布草进行</w:t>
            </w:r>
            <w:r>
              <w:rPr>
                <w:bCs/>
                <w:sz w:val="24"/>
              </w:rPr>
              <w:t>加热烘干</w:t>
            </w:r>
            <w:r>
              <w:rPr>
                <w:rFonts w:hint="eastAsia"/>
                <w:bCs/>
                <w:sz w:val="24"/>
              </w:rPr>
              <w:t>并熨烫平整</w:t>
            </w:r>
            <w:r>
              <w:rPr>
                <w:bCs/>
                <w:sz w:val="24"/>
              </w:rPr>
              <w:t>，</w:t>
            </w:r>
            <w:r>
              <w:rPr>
                <w:rFonts w:hint="eastAsia"/>
                <w:bCs/>
                <w:sz w:val="24"/>
              </w:rPr>
              <w:t>该</w:t>
            </w:r>
            <w:r>
              <w:rPr>
                <w:bCs/>
                <w:sz w:val="24"/>
              </w:rPr>
              <w:t>过程中会产生噪声。</w:t>
            </w:r>
          </w:p>
          <w:p w14:paraId="2DD8FC39">
            <w:pPr>
              <w:adjustRightInd w:val="0"/>
              <w:snapToGrid w:val="0"/>
              <w:spacing w:line="360" w:lineRule="auto"/>
              <w:ind w:firstLine="240" w:firstLineChars="100"/>
              <w:rPr>
                <w:bCs/>
                <w:sz w:val="24"/>
              </w:rPr>
            </w:pPr>
            <w:r>
              <w:rPr>
                <w:rFonts w:hint="eastAsia"/>
                <w:bCs/>
                <w:sz w:val="24"/>
              </w:rPr>
              <w:t>（4）</w:t>
            </w:r>
            <w:r>
              <w:rPr>
                <w:bCs/>
                <w:sz w:val="24"/>
              </w:rPr>
              <w:t>折叠</w:t>
            </w:r>
            <w:r>
              <w:rPr>
                <w:rFonts w:hint="eastAsia"/>
                <w:bCs/>
                <w:sz w:val="24"/>
              </w:rPr>
              <w:t>、打包出货</w:t>
            </w:r>
          </w:p>
          <w:p w14:paraId="4F6ED2FA">
            <w:pPr>
              <w:adjustRightInd w:val="0"/>
              <w:snapToGrid w:val="0"/>
              <w:spacing w:line="360" w:lineRule="auto"/>
              <w:ind w:firstLine="480" w:firstLineChars="200"/>
              <w:rPr>
                <w:bCs/>
                <w:sz w:val="24"/>
              </w:rPr>
            </w:pPr>
            <w:r>
              <w:rPr>
                <w:bCs/>
                <w:sz w:val="24"/>
              </w:rPr>
              <w:t>对布草烫平烘干后予以手工叠放整齐， 并进行捆绑，放入专用布袋包装严实不裸露布草，送至客户手中做好记录</w:t>
            </w:r>
            <w:r>
              <w:rPr>
                <w:rFonts w:hint="eastAsia"/>
                <w:bCs/>
                <w:sz w:val="24"/>
              </w:rPr>
              <w:t>。</w:t>
            </w:r>
          </w:p>
          <w:p w14:paraId="7D5B68CB">
            <w:pPr>
              <w:adjustRightInd w:val="0"/>
              <w:snapToGrid w:val="0"/>
              <w:spacing w:line="360" w:lineRule="auto"/>
              <w:ind w:firstLine="240" w:firstLineChars="100"/>
              <w:rPr>
                <w:bCs/>
                <w:color w:val="000000" w:themeColor="text1"/>
                <w:sz w:val="24"/>
                <w14:textFill>
                  <w14:solidFill>
                    <w14:schemeClr w14:val="tx1"/>
                  </w14:solidFill>
                </w14:textFill>
              </w:rPr>
            </w:pPr>
          </w:p>
          <w:p w14:paraId="729A9F1B">
            <w:pPr>
              <w:adjustRightInd w:val="0"/>
              <w:snapToGrid w:val="0"/>
              <w:spacing w:line="360" w:lineRule="auto"/>
              <w:ind w:firstLine="240" w:firstLineChars="100"/>
              <w:rPr>
                <w:bCs/>
                <w:sz w:val="24"/>
              </w:rPr>
            </w:pPr>
            <w:r>
              <w:rPr>
                <w:bCs/>
                <w:sz w:val="24"/>
              </w:rPr>
              <w:t xml:space="preserve">2、软水制备工艺 </w:t>
            </w:r>
          </w:p>
          <w:p w14:paraId="458C2D8D">
            <w:pPr>
              <w:adjustRightInd w:val="0"/>
              <w:snapToGrid w:val="0"/>
              <w:spacing w:line="360" w:lineRule="auto"/>
              <w:ind w:firstLine="480" w:firstLineChars="200"/>
              <w:rPr>
                <w:bCs/>
                <w:sz w:val="24"/>
              </w:rPr>
            </w:pPr>
            <w:r>
              <w:rPr>
                <w:bCs/>
                <w:sz w:val="24"/>
              </w:rPr>
              <w:t xml:space="preserve">本项目建设一套软水制备系统为锅炉提供软化水，该系统为全自动软化水系统，通过离子交换原理，去除水中钙、镁等结垢离子，使水质软化。系统由树脂罐、盐罐（软化树脂）、控制器等组成的一体化设备。系统采用虹 吸原理吸盐，自动注水化盐、配比浓度无需盐泵、溶盐等附属设备，主要技术原理如下： </w:t>
            </w:r>
          </w:p>
          <w:p w14:paraId="0A2A9F22">
            <w:pPr>
              <w:adjustRightInd w:val="0"/>
              <w:snapToGrid w:val="0"/>
              <w:spacing w:line="360" w:lineRule="auto"/>
              <w:ind w:firstLine="240" w:firstLineChars="100"/>
              <w:rPr>
                <w:bCs/>
                <w:sz w:val="24"/>
              </w:rPr>
            </w:pPr>
            <w:r>
              <w:rPr>
                <w:rFonts w:ascii="Cambria Math" w:hAnsi="Cambria Math" w:cs="Cambria Math"/>
                <w:bCs/>
                <w:sz w:val="24"/>
              </w:rPr>
              <w:t>①</w:t>
            </w:r>
            <w:r>
              <w:rPr>
                <w:bCs/>
                <w:sz w:val="24"/>
              </w:rPr>
              <w:t xml:space="preserve">软水制备 </w:t>
            </w:r>
          </w:p>
          <w:p w14:paraId="6BFE7415">
            <w:pPr>
              <w:adjustRightInd w:val="0"/>
              <w:snapToGrid w:val="0"/>
              <w:spacing w:line="360" w:lineRule="auto"/>
              <w:ind w:firstLine="240" w:firstLineChars="100"/>
              <w:rPr>
                <w:bCs/>
                <w:sz w:val="24"/>
              </w:rPr>
            </w:pPr>
            <w:r>
              <w:rPr>
                <w:bCs/>
                <w:sz w:val="24"/>
              </w:rPr>
              <w:t xml:space="preserve">软水（交换）采用离子交换的原理除去水中的硬度，在交换罐内当离子交换树脂与原水相遇时，水中的钙（Ca）、镁（Mg）等离子与树脂（NaR） 进行反应，从而去除水中的钙镁盐类，使硬水成为软水，其反应过程为： </w:t>
            </w:r>
            <w:r>
              <w:rPr>
                <w:rFonts w:hint="eastAsia"/>
                <w:bCs/>
                <w:sz w:val="24"/>
              </w:rPr>
              <w:t xml:space="preserve">  </w:t>
            </w:r>
          </w:p>
          <w:p w14:paraId="3FE231AE">
            <w:pPr>
              <w:adjustRightInd w:val="0"/>
              <w:snapToGrid w:val="0"/>
              <w:spacing w:line="360" w:lineRule="auto"/>
              <w:ind w:firstLine="1680" w:firstLineChars="700"/>
              <w:rPr>
                <w:bCs/>
                <w:sz w:val="24"/>
              </w:rPr>
            </w:pPr>
            <w:r>
              <w:rPr>
                <w:bCs/>
                <w:sz w:val="24"/>
              </w:rPr>
              <w:t>CaR</w:t>
            </w:r>
            <w:r>
              <w:rPr>
                <w:bCs/>
                <w:sz w:val="24"/>
                <w:vertAlign w:val="subscript"/>
              </w:rPr>
              <w:t>2</w:t>
            </w:r>
            <w:r>
              <w:rPr>
                <w:bCs/>
                <w:sz w:val="24"/>
                <w:vertAlign w:val="superscript"/>
              </w:rPr>
              <w:t>+</w:t>
            </w:r>
            <w:r>
              <w:rPr>
                <w:bCs/>
                <w:sz w:val="24"/>
              </w:rPr>
              <w:t>+2NaR→CaR</w:t>
            </w:r>
            <w:r>
              <w:rPr>
                <w:bCs/>
                <w:sz w:val="24"/>
                <w:vertAlign w:val="subscript"/>
              </w:rPr>
              <w:t>2</w:t>
            </w:r>
            <w:r>
              <w:rPr>
                <w:bCs/>
                <w:sz w:val="24"/>
              </w:rPr>
              <w:t>+2Na</w:t>
            </w:r>
            <w:r>
              <w:rPr>
                <w:bCs/>
                <w:sz w:val="24"/>
                <w:vertAlign w:val="superscript"/>
              </w:rPr>
              <w:t>+</w:t>
            </w:r>
            <w:r>
              <w:rPr>
                <w:bCs/>
                <w:sz w:val="24"/>
              </w:rPr>
              <w:t xml:space="preserve"> </w:t>
            </w:r>
          </w:p>
          <w:p w14:paraId="2F9DDCB5">
            <w:pPr>
              <w:adjustRightInd w:val="0"/>
              <w:snapToGrid w:val="0"/>
              <w:spacing w:line="360" w:lineRule="auto"/>
              <w:ind w:firstLine="1200" w:firstLineChars="500"/>
              <w:rPr>
                <w:bCs/>
                <w:sz w:val="24"/>
              </w:rPr>
            </w:pPr>
            <w:r>
              <w:rPr>
                <w:bCs/>
                <w:sz w:val="24"/>
              </w:rPr>
              <w:t>MgR</w:t>
            </w:r>
            <w:r>
              <w:rPr>
                <w:bCs/>
                <w:sz w:val="24"/>
                <w:vertAlign w:val="subscript"/>
              </w:rPr>
              <w:t>2</w:t>
            </w:r>
            <w:r>
              <w:rPr>
                <w:bCs/>
                <w:sz w:val="24"/>
                <w:vertAlign w:val="superscript"/>
              </w:rPr>
              <w:t>+</w:t>
            </w:r>
            <w:r>
              <w:rPr>
                <w:bCs/>
                <w:sz w:val="24"/>
              </w:rPr>
              <w:t>+2NaR→MgR</w:t>
            </w:r>
            <w:r>
              <w:rPr>
                <w:bCs/>
                <w:sz w:val="24"/>
                <w:vertAlign w:val="subscript"/>
              </w:rPr>
              <w:t>2</w:t>
            </w:r>
            <w:r>
              <w:rPr>
                <w:bCs/>
                <w:sz w:val="24"/>
              </w:rPr>
              <w:t>+2Na</w:t>
            </w:r>
            <w:r>
              <w:rPr>
                <w:bCs/>
                <w:sz w:val="24"/>
                <w:vertAlign w:val="superscript"/>
              </w:rPr>
              <w:t>+</w:t>
            </w:r>
            <w:r>
              <w:rPr>
                <w:bCs/>
                <w:sz w:val="24"/>
              </w:rPr>
              <w:t xml:space="preserve">（¯R为树脂团） </w:t>
            </w:r>
          </w:p>
          <w:p w14:paraId="3E376D25">
            <w:pPr>
              <w:adjustRightInd w:val="0"/>
              <w:snapToGrid w:val="0"/>
              <w:spacing w:line="360" w:lineRule="auto"/>
              <w:ind w:firstLine="240" w:firstLineChars="100"/>
              <w:rPr>
                <w:bCs/>
                <w:sz w:val="24"/>
              </w:rPr>
            </w:pPr>
            <w:r>
              <w:rPr>
                <w:rFonts w:ascii="Cambria Math" w:hAnsi="Cambria Math" w:cs="Cambria Math"/>
                <w:bCs/>
                <w:sz w:val="24"/>
              </w:rPr>
              <w:t>②</w:t>
            </w:r>
            <w:r>
              <w:rPr>
                <w:bCs/>
                <w:sz w:val="24"/>
              </w:rPr>
              <w:t xml:space="preserve">与原水交换后的树脂成为饱和树脂，饱和树脂由位差压力送入再生罐， 在再生罐内与盐水置换反应，还原成新生树脂恢复交换能力，经清洗罐清洗后，由喷射器将树脂送回交换罐。其反应过程如下： </w:t>
            </w:r>
          </w:p>
          <w:p w14:paraId="4493B863">
            <w:pPr>
              <w:adjustRightInd w:val="0"/>
              <w:snapToGrid w:val="0"/>
              <w:spacing w:line="360" w:lineRule="auto"/>
              <w:ind w:firstLine="1200" w:firstLineChars="500"/>
              <w:rPr>
                <w:bCs/>
                <w:sz w:val="24"/>
              </w:rPr>
            </w:pPr>
            <w:r>
              <w:rPr>
                <w:bCs/>
                <w:sz w:val="24"/>
              </w:rPr>
              <w:t>CaR</w:t>
            </w:r>
            <w:r>
              <w:rPr>
                <w:bCs/>
                <w:sz w:val="24"/>
                <w:vertAlign w:val="subscript"/>
              </w:rPr>
              <w:t>2</w:t>
            </w:r>
            <w:r>
              <w:rPr>
                <w:bCs/>
                <w:sz w:val="24"/>
              </w:rPr>
              <w:t>+2NaCl→2NaR+CaCl</w:t>
            </w:r>
            <w:r>
              <w:rPr>
                <w:bCs/>
                <w:sz w:val="24"/>
                <w:vertAlign w:val="subscript"/>
              </w:rPr>
              <w:t xml:space="preserve">2 </w:t>
            </w:r>
          </w:p>
          <w:p w14:paraId="76A9F02B">
            <w:pPr>
              <w:adjustRightInd w:val="0"/>
              <w:snapToGrid w:val="0"/>
              <w:spacing w:line="360" w:lineRule="auto"/>
              <w:ind w:firstLine="1200" w:firstLineChars="500"/>
              <w:rPr>
                <w:bCs/>
                <w:sz w:val="24"/>
              </w:rPr>
            </w:pPr>
            <w:r>
              <w:rPr>
                <w:bCs/>
                <w:sz w:val="24"/>
              </w:rPr>
              <w:t>MgR</w:t>
            </w:r>
            <w:r>
              <w:rPr>
                <w:bCs/>
                <w:sz w:val="24"/>
                <w:vertAlign w:val="subscript"/>
              </w:rPr>
              <w:t>2</w:t>
            </w:r>
            <w:r>
              <w:rPr>
                <w:bCs/>
                <w:sz w:val="24"/>
              </w:rPr>
              <w:t>+2NaCl→2NaR+MgCl</w:t>
            </w:r>
            <w:r>
              <w:rPr>
                <w:bCs/>
                <w:sz w:val="24"/>
                <w:vertAlign w:val="subscript"/>
              </w:rPr>
              <w:t xml:space="preserve">2 </w:t>
            </w:r>
          </w:p>
          <w:p w14:paraId="70D93ED2">
            <w:pPr>
              <w:adjustRightInd w:val="0"/>
              <w:snapToGrid w:val="0"/>
              <w:spacing w:line="360" w:lineRule="auto"/>
              <w:ind w:firstLine="240" w:firstLineChars="100"/>
              <w:rPr>
                <w:bCs/>
                <w:sz w:val="24"/>
              </w:rPr>
            </w:pPr>
            <w:r>
              <w:rPr>
                <w:rFonts w:ascii="Cambria Math" w:hAnsi="Cambria Math" w:cs="Cambria Math"/>
                <w:bCs/>
                <w:sz w:val="24"/>
              </w:rPr>
              <w:t>③</w:t>
            </w:r>
            <w:r>
              <w:rPr>
                <w:bCs/>
                <w:sz w:val="24"/>
              </w:rPr>
              <w:t xml:space="preserve">树脂清洗 </w:t>
            </w:r>
          </w:p>
          <w:p w14:paraId="6654F73F">
            <w:pPr>
              <w:adjustRightInd w:val="0"/>
              <w:snapToGrid w:val="0"/>
              <w:spacing w:line="360" w:lineRule="auto"/>
              <w:ind w:firstLine="240" w:firstLineChars="100"/>
              <w:rPr>
                <w:bCs/>
                <w:sz w:val="24"/>
              </w:rPr>
            </w:pPr>
            <w:r>
              <w:rPr>
                <w:bCs/>
                <w:sz w:val="24"/>
              </w:rPr>
              <w:t>经过再生的树脂恢复交换能力后，经特殊装置抽入清洗罐清洗，然后进入交换罐与原水交换，如此这样连续进行，保证软水生产</w:t>
            </w:r>
            <w:r>
              <w:rPr>
                <w:rFonts w:hint="eastAsia"/>
                <w:bCs/>
                <w:sz w:val="24"/>
              </w:rPr>
              <w:t>。</w:t>
            </w:r>
          </w:p>
          <w:p w14:paraId="47E18D24">
            <w:pPr>
              <w:spacing w:line="360" w:lineRule="auto"/>
              <w:ind w:firstLine="1470" w:firstLineChars="700"/>
              <w:rPr>
                <w:color w:val="000000"/>
                <w:sz w:val="24"/>
              </w:rPr>
            </w:pPr>
            <w:r>
              <w:drawing>
                <wp:inline distT="0" distB="0" distL="0" distR="0">
                  <wp:extent cx="2766695" cy="1428750"/>
                  <wp:effectExtent l="0" t="0" r="0" b="0"/>
                  <wp:docPr id="249069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69846" name="图片 1"/>
                          <pic:cNvPicPr>
                            <a:picLocks noChangeAspect="1"/>
                          </pic:cNvPicPr>
                        </pic:nvPicPr>
                        <pic:blipFill>
                          <a:blip r:embed="rId11"/>
                          <a:stretch>
                            <a:fillRect/>
                          </a:stretch>
                        </pic:blipFill>
                        <pic:spPr>
                          <a:xfrm>
                            <a:off x="0" y="0"/>
                            <a:ext cx="2782008" cy="1436719"/>
                          </a:xfrm>
                          <a:prstGeom prst="rect">
                            <a:avLst/>
                          </a:prstGeom>
                        </pic:spPr>
                      </pic:pic>
                    </a:graphicData>
                  </a:graphic>
                </wp:inline>
              </w:drawing>
            </w:r>
          </w:p>
          <w:p w14:paraId="7BBAA258">
            <w:pPr>
              <w:adjustRightInd w:val="0"/>
              <w:snapToGrid w:val="0"/>
              <w:spacing w:line="360" w:lineRule="auto"/>
              <w:ind w:firstLine="422" w:firstLineChars="200"/>
              <w:jc w:val="center"/>
              <w:rPr>
                <w:b/>
                <w:szCs w:val="21"/>
              </w:rPr>
            </w:pPr>
          </w:p>
          <w:p w14:paraId="5A9F442C">
            <w:pPr>
              <w:adjustRightInd w:val="0"/>
              <w:snapToGrid w:val="0"/>
              <w:spacing w:line="360" w:lineRule="auto"/>
              <w:ind w:firstLine="422" w:firstLineChars="200"/>
              <w:jc w:val="center"/>
              <w:rPr>
                <w:b/>
                <w:szCs w:val="21"/>
              </w:rPr>
            </w:pPr>
            <w:r>
              <w:rPr>
                <w:b/>
                <w:szCs w:val="21"/>
              </w:rPr>
              <w:t>图2-</w:t>
            </w:r>
            <w:r>
              <w:rPr>
                <w:rFonts w:hint="eastAsia"/>
                <w:b/>
                <w:szCs w:val="21"/>
              </w:rPr>
              <w:t>3 纯水制备生产</w:t>
            </w:r>
            <w:r>
              <w:rPr>
                <w:b/>
                <w:szCs w:val="21"/>
              </w:rPr>
              <w:t>工艺流程</w:t>
            </w:r>
            <w:r>
              <w:rPr>
                <w:rFonts w:hint="eastAsia"/>
                <w:b/>
                <w:szCs w:val="21"/>
              </w:rPr>
              <w:t>及产污节点</w:t>
            </w:r>
            <w:r>
              <w:rPr>
                <w:b/>
                <w:szCs w:val="21"/>
              </w:rPr>
              <w:t>图</w:t>
            </w:r>
          </w:p>
          <w:p w14:paraId="501B0E30">
            <w:pPr>
              <w:spacing w:line="360" w:lineRule="auto"/>
              <w:ind w:firstLine="480" w:firstLineChars="200"/>
              <w:rPr>
                <w:color w:val="000000"/>
                <w:sz w:val="24"/>
              </w:rPr>
            </w:pPr>
          </w:p>
          <w:p w14:paraId="663ED8AE">
            <w:pPr>
              <w:spacing w:line="360" w:lineRule="auto"/>
              <w:ind w:firstLine="480" w:firstLineChars="200"/>
              <w:rPr>
                <w:color w:val="000000"/>
                <w:sz w:val="24"/>
              </w:rPr>
            </w:pPr>
            <w:r>
              <w:rPr>
                <w:color w:val="000000"/>
                <w:sz w:val="24"/>
              </w:rPr>
              <w:t>树脂经多次再生利用后需定期更换，将产生废离子交换树脂，本项目废离子交换树脂由原厂家回收；本工序将产生软化废水</w:t>
            </w:r>
            <w:r>
              <w:rPr>
                <w:rFonts w:hint="eastAsia"/>
                <w:color w:val="000000"/>
                <w:sz w:val="24"/>
              </w:rPr>
              <w:t>W2（锅炉废水包含）</w:t>
            </w:r>
            <w:r>
              <w:rPr>
                <w:color w:val="000000"/>
                <w:sz w:val="24"/>
              </w:rPr>
              <w:t>，主要污染因子为COD、全盐量，废水经管道排入</w:t>
            </w:r>
            <w:r>
              <w:rPr>
                <w:rFonts w:hint="eastAsia"/>
                <w:color w:val="000000"/>
                <w:sz w:val="24"/>
              </w:rPr>
              <w:t>衡山国祯水处理有限公司</w:t>
            </w:r>
            <w:r>
              <w:rPr>
                <w:color w:val="000000"/>
                <w:sz w:val="24"/>
              </w:rPr>
              <w:t>，</w:t>
            </w:r>
            <w:r>
              <w:rPr>
                <w:rFonts w:hint="eastAsia"/>
                <w:color w:val="000000"/>
                <w:sz w:val="24"/>
              </w:rPr>
              <w:t>进一步</w:t>
            </w:r>
            <w:r>
              <w:rPr>
                <w:color w:val="000000"/>
                <w:sz w:val="24"/>
              </w:rPr>
              <w:t>处理后最终排入</w:t>
            </w:r>
            <w:r>
              <w:rPr>
                <w:rFonts w:hint="eastAsia"/>
                <w:color w:val="000000"/>
                <w:sz w:val="24"/>
              </w:rPr>
              <w:t>湘江</w:t>
            </w:r>
            <w:r>
              <w:rPr>
                <w:color w:val="000000"/>
                <w:sz w:val="24"/>
              </w:rPr>
              <w:t>。</w:t>
            </w:r>
          </w:p>
          <w:p w14:paraId="53D91105">
            <w:pPr>
              <w:adjustRightInd w:val="0"/>
              <w:snapToGrid w:val="0"/>
              <w:spacing w:line="360" w:lineRule="auto"/>
              <w:ind w:firstLine="480" w:firstLineChars="200"/>
              <w:rPr>
                <w:rFonts w:hint="eastAsia" w:ascii="宋体" w:hAnsi="宋体"/>
                <w:bCs/>
                <w:sz w:val="24"/>
              </w:rPr>
            </w:pPr>
          </w:p>
          <w:p w14:paraId="67256ED0">
            <w:pPr>
              <w:adjustRightInd w:val="0"/>
              <w:snapToGrid w:val="0"/>
              <w:spacing w:line="360" w:lineRule="auto"/>
              <w:ind w:firstLine="480" w:firstLineChars="200"/>
            </w:pPr>
            <w:r>
              <w:rPr>
                <w:rFonts w:hint="eastAsia" w:ascii="宋体" w:hAnsi="宋体"/>
                <w:bCs/>
                <w:sz w:val="24"/>
              </w:rPr>
              <w:t>本项目运营期产污情况见下表所示。</w:t>
            </w:r>
          </w:p>
          <w:p w14:paraId="22190A6D">
            <w:pPr>
              <w:adjustRightInd w:val="0"/>
              <w:snapToGrid w:val="0"/>
              <w:ind w:firstLine="422" w:firstLineChars="200"/>
              <w:jc w:val="center"/>
              <w:rPr>
                <w:rFonts w:hint="eastAsia" w:ascii="宋体" w:hAnsi="宋体"/>
                <w:bCs/>
                <w:color w:val="000000" w:themeColor="text1"/>
                <w:szCs w:val="21"/>
                <w14:textFill>
                  <w14:solidFill>
                    <w14:schemeClr w14:val="tx1"/>
                  </w14:solidFill>
                </w14:textFill>
              </w:rPr>
            </w:pPr>
            <w:r>
              <w:rPr>
                <w:b/>
                <w:color w:val="000000" w:themeColor="text1"/>
                <w:szCs w:val="21"/>
                <w14:textFill>
                  <w14:solidFill>
                    <w14:schemeClr w14:val="tx1"/>
                  </w14:solidFill>
                </w14:textFill>
              </w:rPr>
              <w:t>表2-</w:t>
            </w:r>
            <w:r>
              <w:rPr>
                <w:rFonts w:hint="eastAsia"/>
                <w:b/>
                <w:color w:val="000000" w:themeColor="text1"/>
                <w:szCs w:val="21"/>
                <w14:textFill>
                  <w14:solidFill>
                    <w14:schemeClr w14:val="tx1"/>
                  </w14:solidFill>
                </w14:textFill>
              </w:rPr>
              <w:t>7</w:t>
            </w:r>
            <w:r>
              <w:rPr>
                <w:b/>
                <w:color w:val="000000" w:themeColor="text1"/>
                <w:szCs w:val="21"/>
                <w14:textFill>
                  <w14:solidFill>
                    <w14:schemeClr w14:val="tx1"/>
                  </w14:solidFill>
                </w14:textFill>
              </w:rPr>
              <w:t xml:space="preserve">  项目主要产污工序及污染物一览表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232"/>
              <w:gridCol w:w="1896"/>
              <w:gridCol w:w="3620"/>
            </w:tblGrid>
            <w:tr w14:paraId="7EE5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87" w:type="pct"/>
                  <w:vAlign w:val="center"/>
                </w:tcPr>
                <w:p w14:paraId="35B1C620">
                  <w:pPr>
                    <w:adjustRightInd w:val="0"/>
                    <w:snapToGrid w:val="0"/>
                    <w:jc w:val="center"/>
                    <w:rPr>
                      <w:bCs/>
                      <w:szCs w:val="21"/>
                    </w:rPr>
                  </w:pPr>
                  <w:r>
                    <w:rPr>
                      <w:bCs/>
                      <w:szCs w:val="21"/>
                    </w:rPr>
                    <w:t>项目</w:t>
                  </w:r>
                </w:p>
              </w:tc>
              <w:tc>
                <w:tcPr>
                  <w:tcW w:w="1329" w:type="pct"/>
                  <w:vAlign w:val="center"/>
                </w:tcPr>
                <w:p w14:paraId="000A7AE4">
                  <w:pPr>
                    <w:adjustRightInd w:val="0"/>
                    <w:snapToGrid w:val="0"/>
                    <w:jc w:val="center"/>
                    <w:rPr>
                      <w:bCs/>
                      <w:szCs w:val="21"/>
                    </w:rPr>
                  </w:pPr>
                  <w:r>
                    <w:rPr>
                      <w:bCs/>
                      <w:szCs w:val="21"/>
                    </w:rPr>
                    <w:t>污染物</w:t>
                  </w:r>
                </w:p>
              </w:tc>
              <w:tc>
                <w:tcPr>
                  <w:tcW w:w="1129" w:type="pct"/>
                  <w:vAlign w:val="center"/>
                </w:tcPr>
                <w:p w14:paraId="2D193853">
                  <w:pPr>
                    <w:adjustRightInd w:val="0"/>
                    <w:snapToGrid w:val="0"/>
                    <w:jc w:val="center"/>
                    <w:rPr>
                      <w:bCs/>
                      <w:szCs w:val="21"/>
                    </w:rPr>
                  </w:pPr>
                  <w:r>
                    <w:rPr>
                      <w:bCs/>
                      <w:szCs w:val="21"/>
                    </w:rPr>
                    <w:t>产污环节</w:t>
                  </w:r>
                </w:p>
              </w:tc>
              <w:tc>
                <w:tcPr>
                  <w:tcW w:w="2155" w:type="pct"/>
                  <w:vAlign w:val="center"/>
                </w:tcPr>
                <w:p w14:paraId="3B92842C">
                  <w:pPr>
                    <w:adjustRightInd w:val="0"/>
                    <w:snapToGrid w:val="0"/>
                    <w:jc w:val="center"/>
                    <w:rPr>
                      <w:bCs/>
                      <w:szCs w:val="21"/>
                    </w:rPr>
                  </w:pPr>
                  <w:r>
                    <w:rPr>
                      <w:bCs/>
                      <w:szCs w:val="21"/>
                    </w:rPr>
                    <w:t>污染因子</w:t>
                  </w:r>
                </w:p>
              </w:tc>
            </w:tr>
            <w:tr w14:paraId="5376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87" w:type="pct"/>
                  <w:vMerge w:val="restart"/>
                  <w:vAlign w:val="center"/>
                </w:tcPr>
                <w:p w14:paraId="40A2CB48">
                  <w:pPr>
                    <w:adjustRightInd w:val="0"/>
                    <w:snapToGrid w:val="0"/>
                    <w:jc w:val="center"/>
                    <w:rPr>
                      <w:bCs/>
                      <w:szCs w:val="21"/>
                    </w:rPr>
                  </w:pPr>
                  <w:r>
                    <w:rPr>
                      <w:bCs/>
                      <w:szCs w:val="21"/>
                    </w:rPr>
                    <w:t>废水</w:t>
                  </w:r>
                </w:p>
              </w:tc>
              <w:tc>
                <w:tcPr>
                  <w:tcW w:w="1329" w:type="pct"/>
                  <w:vAlign w:val="center"/>
                </w:tcPr>
                <w:p w14:paraId="405D6D09">
                  <w:pPr>
                    <w:adjustRightInd w:val="0"/>
                    <w:snapToGrid w:val="0"/>
                    <w:jc w:val="center"/>
                    <w:rPr>
                      <w:bCs/>
                      <w:szCs w:val="21"/>
                    </w:rPr>
                  </w:pPr>
                  <w:r>
                    <w:rPr>
                      <w:rFonts w:hint="eastAsia"/>
                      <w:bCs/>
                      <w:szCs w:val="21"/>
                    </w:rPr>
                    <w:t>生活污水</w:t>
                  </w:r>
                </w:p>
              </w:tc>
              <w:tc>
                <w:tcPr>
                  <w:tcW w:w="1129" w:type="pct"/>
                  <w:vAlign w:val="center"/>
                </w:tcPr>
                <w:p w14:paraId="5B2CD0FA">
                  <w:pPr>
                    <w:adjustRightInd w:val="0"/>
                    <w:snapToGrid w:val="0"/>
                    <w:jc w:val="center"/>
                    <w:rPr>
                      <w:bCs/>
                      <w:szCs w:val="21"/>
                    </w:rPr>
                  </w:pPr>
                  <w:r>
                    <w:rPr>
                      <w:rFonts w:hint="eastAsia"/>
                      <w:bCs/>
                      <w:szCs w:val="21"/>
                    </w:rPr>
                    <w:t>员工日常生活</w:t>
                  </w:r>
                </w:p>
              </w:tc>
              <w:tc>
                <w:tcPr>
                  <w:tcW w:w="2155" w:type="pct"/>
                  <w:vAlign w:val="center"/>
                </w:tcPr>
                <w:p w14:paraId="6159F770">
                  <w:pPr>
                    <w:adjustRightInd w:val="0"/>
                    <w:snapToGrid w:val="0"/>
                    <w:jc w:val="center"/>
                    <w:rPr>
                      <w:bCs/>
                      <w:szCs w:val="21"/>
                    </w:rPr>
                  </w:pPr>
                  <w:r>
                    <w:rPr>
                      <w:rFonts w:hint="eastAsia"/>
                      <w:bCs/>
                      <w:szCs w:val="21"/>
                    </w:rPr>
                    <w:t>COD、BOD</w:t>
                  </w:r>
                  <w:r>
                    <w:rPr>
                      <w:rFonts w:hint="eastAsia"/>
                      <w:bCs/>
                      <w:szCs w:val="21"/>
                      <w:vertAlign w:val="subscript"/>
                    </w:rPr>
                    <w:t>5</w:t>
                  </w:r>
                  <w:r>
                    <w:rPr>
                      <w:rFonts w:hint="eastAsia"/>
                      <w:bCs/>
                      <w:szCs w:val="21"/>
                    </w:rPr>
                    <w:t>、氨氮、SS</w:t>
                  </w:r>
                </w:p>
              </w:tc>
            </w:tr>
            <w:tr w14:paraId="145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14:paraId="5DBE6E35">
                  <w:pPr>
                    <w:adjustRightInd w:val="0"/>
                    <w:snapToGrid w:val="0"/>
                    <w:jc w:val="center"/>
                    <w:rPr>
                      <w:bCs/>
                      <w:szCs w:val="21"/>
                    </w:rPr>
                  </w:pPr>
                </w:p>
              </w:tc>
              <w:tc>
                <w:tcPr>
                  <w:tcW w:w="1329" w:type="pct"/>
                  <w:vAlign w:val="center"/>
                </w:tcPr>
                <w:p w14:paraId="6D96BE78">
                  <w:pPr>
                    <w:adjustRightInd w:val="0"/>
                    <w:snapToGrid w:val="0"/>
                    <w:jc w:val="center"/>
                    <w:rPr>
                      <w:bCs/>
                      <w:szCs w:val="21"/>
                    </w:rPr>
                  </w:pPr>
                  <w:r>
                    <w:rPr>
                      <w:rFonts w:hint="eastAsia"/>
                      <w:bCs/>
                      <w:szCs w:val="21"/>
                    </w:rPr>
                    <w:t>洗涤废水W1</w:t>
                  </w:r>
                </w:p>
              </w:tc>
              <w:tc>
                <w:tcPr>
                  <w:tcW w:w="1129" w:type="pct"/>
                  <w:vAlign w:val="center"/>
                </w:tcPr>
                <w:p w14:paraId="4B15EBEB">
                  <w:pPr>
                    <w:adjustRightInd w:val="0"/>
                    <w:snapToGrid w:val="0"/>
                    <w:jc w:val="center"/>
                    <w:rPr>
                      <w:bCs/>
                      <w:szCs w:val="21"/>
                    </w:rPr>
                  </w:pPr>
                  <w:r>
                    <w:rPr>
                      <w:rFonts w:hint="eastAsia"/>
                      <w:bCs/>
                      <w:szCs w:val="21"/>
                    </w:rPr>
                    <w:t>洗涤</w:t>
                  </w:r>
                </w:p>
              </w:tc>
              <w:tc>
                <w:tcPr>
                  <w:tcW w:w="2155" w:type="pct"/>
                  <w:vAlign w:val="center"/>
                </w:tcPr>
                <w:p w14:paraId="2308669F">
                  <w:pPr>
                    <w:adjustRightInd w:val="0"/>
                    <w:snapToGrid w:val="0"/>
                    <w:jc w:val="center"/>
                    <w:rPr>
                      <w:bCs/>
                      <w:szCs w:val="21"/>
                    </w:rPr>
                  </w:pPr>
                  <w:r>
                    <w:rPr>
                      <w:rFonts w:hint="eastAsia"/>
                      <w:bCs/>
                      <w:szCs w:val="21"/>
                    </w:rPr>
                    <w:t>COD、BOD</w:t>
                  </w:r>
                  <w:r>
                    <w:rPr>
                      <w:rFonts w:hint="eastAsia"/>
                      <w:bCs/>
                      <w:szCs w:val="21"/>
                      <w:vertAlign w:val="subscript"/>
                    </w:rPr>
                    <w:t>5</w:t>
                  </w:r>
                  <w:r>
                    <w:rPr>
                      <w:rFonts w:hint="eastAsia"/>
                      <w:bCs/>
                      <w:szCs w:val="21"/>
                    </w:rPr>
                    <w:t>、氨氮、SS、总氮、TP、LAS</w:t>
                  </w:r>
                </w:p>
              </w:tc>
            </w:tr>
            <w:tr w14:paraId="1C21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87" w:type="pct"/>
                  <w:vMerge w:val="continue"/>
                  <w:vAlign w:val="center"/>
                </w:tcPr>
                <w:p w14:paraId="1F052414">
                  <w:pPr>
                    <w:adjustRightInd w:val="0"/>
                    <w:snapToGrid w:val="0"/>
                    <w:jc w:val="center"/>
                    <w:rPr>
                      <w:bCs/>
                      <w:szCs w:val="21"/>
                    </w:rPr>
                  </w:pPr>
                </w:p>
              </w:tc>
              <w:tc>
                <w:tcPr>
                  <w:tcW w:w="1329" w:type="pct"/>
                  <w:vAlign w:val="center"/>
                </w:tcPr>
                <w:p w14:paraId="2345C5EB">
                  <w:pPr>
                    <w:adjustRightInd w:val="0"/>
                    <w:snapToGrid w:val="0"/>
                    <w:jc w:val="center"/>
                    <w:rPr>
                      <w:bCs/>
                      <w:szCs w:val="21"/>
                    </w:rPr>
                  </w:pPr>
                  <w:r>
                    <w:rPr>
                      <w:rFonts w:hint="eastAsia"/>
                      <w:bCs/>
                      <w:szCs w:val="21"/>
                    </w:rPr>
                    <w:t>喷淋废水W3</w:t>
                  </w:r>
                </w:p>
              </w:tc>
              <w:tc>
                <w:tcPr>
                  <w:tcW w:w="1129" w:type="pct"/>
                  <w:vAlign w:val="center"/>
                </w:tcPr>
                <w:p w14:paraId="46C69A1E">
                  <w:pPr>
                    <w:adjustRightInd w:val="0"/>
                    <w:snapToGrid w:val="0"/>
                    <w:jc w:val="center"/>
                    <w:rPr>
                      <w:bCs/>
                      <w:szCs w:val="21"/>
                    </w:rPr>
                  </w:pPr>
                  <w:r>
                    <w:rPr>
                      <w:rFonts w:hint="eastAsia"/>
                      <w:bCs/>
                      <w:szCs w:val="21"/>
                    </w:rPr>
                    <w:t>水喷淋</w:t>
                  </w:r>
                </w:p>
              </w:tc>
              <w:tc>
                <w:tcPr>
                  <w:tcW w:w="2155" w:type="pct"/>
                  <w:vAlign w:val="center"/>
                </w:tcPr>
                <w:p w14:paraId="4C135141">
                  <w:pPr>
                    <w:adjustRightInd w:val="0"/>
                    <w:snapToGrid w:val="0"/>
                    <w:jc w:val="center"/>
                    <w:rPr>
                      <w:bCs/>
                      <w:szCs w:val="21"/>
                    </w:rPr>
                  </w:pPr>
                  <w:r>
                    <w:rPr>
                      <w:rFonts w:hint="eastAsia"/>
                      <w:bCs/>
                      <w:szCs w:val="21"/>
                    </w:rPr>
                    <w:t>COD、SS</w:t>
                  </w:r>
                </w:p>
              </w:tc>
            </w:tr>
            <w:tr w14:paraId="458A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87" w:type="pct"/>
                  <w:vMerge w:val="continue"/>
                  <w:vAlign w:val="center"/>
                </w:tcPr>
                <w:p w14:paraId="0A89BCA0">
                  <w:pPr>
                    <w:adjustRightInd w:val="0"/>
                    <w:snapToGrid w:val="0"/>
                    <w:jc w:val="center"/>
                    <w:rPr>
                      <w:bCs/>
                      <w:szCs w:val="21"/>
                    </w:rPr>
                  </w:pPr>
                </w:p>
              </w:tc>
              <w:tc>
                <w:tcPr>
                  <w:tcW w:w="1329" w:type="pct"/>
                  <w:vAlign w:val="center"/>
                </w:tcPr>
                <w:p w14:paraId="6115ED89">
                  <w:pPr>
                    <w:adjustRightInd w:val="0"/>
                    <w:snapToGrid w:val="0"/>
                    <w:jc w:val="center"/>
                    <w:rPr>
                      <w:bCs/>
                      <w:szCs w:val="21"/>
                    </w:rPr>
                  </w:pPr>
                  <w:r>
                    <w:rPr>
                      <w:rFonts w:hint="eastAsia"/>
                      <w:bCs/>
                      <w:szCs w:val="21"/>
                    </w:rPr>
                    <w:t>锅炉废水（</w:t>
                  </w:r>
                  <w:r>
                    <w:rPr>
                      <w:color w:val="000000" w:themeColor="text1"/>
                      <w:szCs w:val="21"/>
                      <w14:textFill>
                        <w14:solidFill>
                          <w14:schemeClr w14:val="tx1"/>
                        </w14:solidFill>
                      </w14:textFill>
                    </w:rPr>
                    <w:t>锅炉排污水十软化处理废水</w:t>
                  </w:r>
                  <w:r>
                    <w:rPr>
                      <w:rFonts w:hint="eastAsia"/>
                      <w:bCs/>
                      <w:szCs w:val="21"/>
                    </w:rPr>
                    <w:t>）W2</w:t>
                  </w:r>
                </w:p>
              </w:tc>
              <w:tc>
                <w:tcPr>
                  <w:tcW w:w="1129" w:type="pct"/>
                  <w:vAlign w:val="center"/>
                </w:tcPr>
                <w:p w14:paraId="21468F71">
                  <w:pPr>
                    <w:adjustRightInd w:val="0"/>
                    <w:snapToGrid w:val="0"/>
                    <w:jc w:val="center"/>
                    <w:rPr>
                      <w:bCs/>
                      <w:szCs w:val="21"/>
                    </w:rPr>
                  </w:pPr>
                  <w:r>
                    <w:rPr>
                      <w:rFonts w:hint="eastAsia"/>
                      <w:bCs/>
                      <w:szCs w:val="21"/>
                    </w:rPr>
                    <w:t>蒸汽发生器</w:t>
                  </w:r>
                </w:p>
              </w:tc>
              <w:tc>
                <w:tcPr>
                  <w:tcW w:w="2155" w:type="pct"/>
                  <w:vAlign w:val="center"/>
                </w:tcPr>
                <w:p w14:paraId="2AF9A065">
                  <w:pPr>
                    <w:adjustRightInd w:val="0"/>
                    <w:snapToGrid w:val="0"/>
                    <w:jc w:val="center"/>
                    <w:rPr>
                      <w:bCs/>
                      <w:szCs w:val="21"/>
                    </w:rPr>
                  </w:pPr>
                  <w:r>
                    <w:rPr>
                      <w:color w:val="000000"/>
                      <w:szCs w:val="21"/>
                    </w:rPr>
                    <w:t>COD、全盐量</w:t>
                  </w:r>
                </w:p>
              </w:tc>
            </w:tr>
            <w:tr w14:paraId="4097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87" w:type="pct"/>
                  <w:vAlign w:val="center"/>
                </w:tcPr>
                <w:p w14:paraId="7EF77553">
                  <w:pPr>
                    <w:adjustRightInd w:val="0"/>
                    <w:snapToGrid w:val="0"/>
                    <w:jc w:val="center"/>
                    <w:rPr>
                      <w:bCs/>
                      <w:szCs w:val="21"/>
                    </w:rPr>
                  </w:pPr>
                  <w:r>
                    <w:rPr>
                      <w:rFonts w:hint="eastAsia"/>
                      <w:bCs/>
                      <w:szCs w:val="21"/>
                    </w:rPr>
                    <w:t>废气</w:t>
                  </w:r>
                </w:p>
              </w:tc>
              <w:tc>
                <w:tcPr>
                  <w:tcW w:w="1329" w:type="pct"/>
                  <w:vAlign w:val="center"/>
                </w:tcPr>
                <w:p w14:paraId="765CE48A">
                  <w:pPr>
                    <w:adjustRightInd w:val="0"/>
                    <w:snapToGrid w:val="0"/>
                    <w:jc w:val="center"/>
                    <w:rPr>
                      <w:bCs/>
                      <w:szCs w:val="21"/>
                    </w:rPr>
                  </w:pPr>
                  <w:r>
                    <w:rPr>
                      <w:rFonts w:hint="eastAsia"/>
                      <w:bCs/>
                      <w:szCs w:val="21"/>
                    </w:rPr>
                    <w:t>生物质颗粒燃烧废气G1</w:t>
                  </w:r>
                </w:p>
              </w:tc>
              <w:tc>
                <w:tcPr>
                  <w:tcW w:w="1129" w:type="pct"/>
                  <w:vAlign w:val="center"/>
                </w:tcPr>
                <w:p w14:paraId="64B877D8">
                  <w:pPr>
                    <w:adjustRightInd w:val="0"/>
                    <w:snapToGrid w:val="0"/>
                    <w:jc w:val="center"/>
                    <w:rPr>
                      <w:bCs/>
                      <w:szCs w:val="21"/>
                    </w:rPr>
                  </w:pPr>
                  <w:r>
                    <w:rPr>
                      <w:rFonts w:hint="eastAsia"/>
                      <w:bCs/>
                      <w:szCs w:val="21"/>
                    </w:rPr>
                    <w:t>蒸汽发生器</w:t>
                  </w:r>
                </w:p>
              </w:tc>
              <w:tc>
                <w:tcPr>
                  <w:tcW w:w="2155" w:type="pct"/>
                  <w:vAlign w:val="center"/>
                </w:tcPr>
                <w:p w14:paraId="13DA8119">
                  <w:pPr>
                    <w:adjustRightInd w:val="0"/>
                    <w:snapToGrid w:val="0"/>
                    <w:jc w:val="center"/>
                    <w:rPr>
                      <w:bCs/>
                      <w:szCs w:val="21"/>
                    </w:rPr>
                  </w:pPr>
                  <w:r>
                    <w:rPr>
                      <w:rFonts w:hint="eastAsia"/>
                      <w:bCs/>
                      <w:szCs w:val="21"/>
                    </w:rPr>
                    <w:t>烟尘、SO</w:t>
                  </w:r>
                  <w:r>
                    <w:rPr>
                      <w:rFonts w:hint="eastAsia"/>
                      <w:bCs/>
                      <w:szCs w:val="21"/>
                      <w:vertAlign w:val="subscript"/>
                    </w:rPr>
                    <w:t>2</w:t>
                  </w:r>
                  <w:r>
                    <w:rPr>
                      <w:rFonts w:hint="eastAsia"/>
                      <w:bCs/>
                      <w:szCs w:val="21"/>
                    </w:rPr>
                    <w:t>、NOx</w:t>
                  </w:r>
                </w:p>
              </w:tc>
            </w:tr>
            <w:tr w14:paraId="2CE4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4F0F037D">
                  <w:pPr>
                    <w:adjustRightInd w:val="0"/>
                    <w:snapToGrid w:val="0"/>
                    <w:jc w:val="center"/>
                    <w:rPr>
                      <w:bCs/>
                      <w:szCs w:val="21"/>
                    </w:rPr>
                  </w:pPr>
                  <w:r>
                    <w:rPr>
                      <w:rFonts w:hint="eastAsia"/>
                      <w:bCs/>
                      <w:szCs w:val="21"/>
                    </w:rPr>
                    <w:t>噪声</w:t>
                  </w:r>
                </w:p>
              </w:tc>
              <w:tc>
                <w:tcPr>
                  <w:tcW w:w="1329" w:type="pct"/>
                  <w:vAlign w:val="center"/>
                </w:tcPr>
                <w:p w14:paraId="0E05C474">
                  <w:pPr>
                    <w:adjustRightInd w:val="0"/>
                    <w:snapToGrid w:val="0"/>
                    <w:jc w:val="center"/>
                    <w:rPr>
                      <w:bCs/>
                      <w:szCs w:val="21"/>
                    </w:rPr>
                  </w:pPr>
                  <w:r>
                    <w:rPr>
                      <w:rFonts w:hint="eastAsia"/>
                      <w:bCs/>
                      <w:szCs w:val="21"/>
                    </w:rPr>
                    <w:t>设备噪声</w:t>
                  </w:r>
                </w:p>
              </w:tc>
              <w:tc>
                <w:tcPr>
                  <w:tcW w:w="1129" w:type="pct"/>
                  <w:vAlign w:val="center"/>
                </w:tcPr>
                <w:p w14:paraId="0E4E5B27">
                  <w:pPr>
                    <w:adjustRightInd w:val="0"/>
                    <w:snapToGrid w:val="0"/>
                    <w:jc w:val="center"/>
                    <w:rPr>
                      <w:bCs/>
                      <w:szCs w:val="21"/>
                    </w:rPr>
                  </w:pPr>
                  <w:r>
                    <w:rPr>
                      <w:rFonts w:hint="eastAsia"/>
                      <w:bCs/>
                      <w:szCs w:val="21"/>
                    </w:rPr>
                    <w:t>生产车间的所有生产设备</w:t>
                  </w:r>
                </w:p>
              </w:tc>
              <w:tc>
                <w:tcPr>
                  <w:tcW w:w="2155" w:type="pct"/>
                  <w:vAlign w:val="center"/>
                </w:tcPr>
                <w:p w14:paraId="6F0BA5CE">
                  <w:pPr>
                    <w:adjustRightInd w:val="0"/>
                    <w:snapToGrid w:val="0"/>
                    <w:jc w:val="center"/>
                    <w:rPr>
                      <w:bCs/>
                      <w:szCs w:val="21"/>
                    </w:rPr>
                  </w:pPr>
                  <w:r>
                    <w:rPr>
                      <w:rFonts w:hint="eastAsia"/>
                      <w:bCs/>
                      <w:szCs w:val="21"/>
                    </w:rPr>
                    <w:t>噪声Leq（A）</w:t>
                  </w:r>
                </w:p>
              </w:tc>
            </w:tr>
            <w:tr w14:paraId="6F0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7" w:type="pct"/>
                  <w:vMerge w:val="restart"/>
                  <w:vAlign w:val="center"/>
                </w:tcPr>
                <w:p w14:paraId="60336B35">
                  <w:pPr>
                    <w:adjustRightInd w:val="0"/>
                    <w:snapToGrid w:val="0"/>
                    <w:jc w:val="center"/>
                    <w:rPr>
                      <w:bCs/>
                      <w:szCs w:val="21"/>
                    </w:rPr>
                  </w:pPr>
                  <w:r>
                    <w:rPr>
                      <w:rFonts w:hint="eastAsia"/>
                      <w:bCs/>
                      <w:szCs w:val="21"/>
                    </w:rPr>
                    <w:t>固废</w:t>
                  </w:r>
                </w:p>
              </w:tc>
              <w:tc>
                <w:tcPr>
                  <w:tcW w:w="1329" w:type="pct"/>
                  <w:vAlign w:val="center"/>
                </w:tcPr>
                <w:p w14:paraId="2FA4B6E8">
                  <w:pPr>
                    <w:adjustRightInd w:val="0"/>
                    <w:snapToGrid w:val="0"/>
                    <w:jc w:val="center"/>
                    <w:rPr>
                      <w:bCs/>
                      <w:szCs w:val="21"/>
                    </w:rPr>
                  </w:pPr>
                  <w:r>
                    <w:rPr>
                      <w:rFonts w:hint="eastAsia"/>
                      <w:bCs/>
                      <w:szCs w:val="21"/>
                    </w:rPr>
                    <w:t>生活垃圾</w:t>
                  </w:r>
                </w:p>
              </w:tc>
              <w:tc>
                <w:tcPr>
                  <w:tcW w:w="1129" w:type="pct"/>
                  <w:vAlign w:val="center"/>
                </w:tcPr>
                <w:p w14:paraId="5D09B646">
                  <w:pPr>
                    <w:adjustRightInd w:val="0"/>
                    <w:snapToGrid w:val="0"/>
                    <w:jc w:val="center"/>
                    <w:rPr>
                      <w:bCs/>
                      <w:szCs w:val="21"/>
                    </w:rPr>
                  </w:pPr>
                  <w:r>
                    <w:rPr>
                      <w:rFonts w:hint="eastAsia"/>
                      <w:bCs/>
                      <w:szCs w:val="21"/>
                    </w:rPr>
                    <w:t>员工日常生活</w:t>
                  </w:r>
                </w:p>
              </w:tc>
              <w:tc>
                <w:tcPr>
                  <w:tcW w:w="2155" w:type="pct"/>
                  <w:vAlign w:val="center"/>
                </w:tcPr>
                <w:p w14:paraId="58A28D05">
                  <w:pPr>
                    <w:adjustRightInd w:val="0"/>
                    <w:snapToGrid w:val="0"/>
                    <w:jc w:val="center"/>
                    <w:rPr>
                      <w:bCs/>
                      <w:szCs w:val="21"/>
                    </w:rPr>
                  </w:pPr>
                  <w:r>
                    <w:rPr>
                      <w:rFonts w:hint="eastAsia"/>
                      <w:bCs/>
                      <w:szCs w:val="21"/>
                    </w:rPr>
                    <w:t>纸张、塑料袋等</w:t>
                  </w:r>
                </w:p>
              </w:tc>
            </w:tr>
            <w:tr w14:paraId="2B21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387" w:type="pct"/>
                  <w:vMerge w:val="continue"/>
                  <w:vAlign w:val="center"/>
                </w:tcPr>
                <w:p w14:paraId="42A2B064">
                  <w:pPr>
                    <w:adjustRightInd w:val="0"/>
                    <w:snapToGrid w:val="0"/>
                    <w:jc w:val="center"/>
                    <w:rPr>
                      <w:bCs/>
                      <w:szCs w:val="21"/>
                    </w:rPr>
                  </w:pPr>
                </w:p>
              </w:tc>
              <w:tc>
                <w:tcPr>
                  <w:tcW w:w="1329" w:type="pct"/>
                  <w:vAlign w:val="center"/>
                </w:tcPr>
                <w:p w14:paraId="7655BE5F">
                  <w:pPr>
                    <w:adjustRightInd w:val="0"/>
                    <w:snapToGrid w:val="0"/>
                    <w:jc w:val="center"/>
                    <w:rPr>
                      <w:bCs/>
                      <w:szCs w:val="21"/>
                    </w:rPr>
                  </w:pPr>
                  <w:r>
                    <w:rPr>
                      <w:rFonts w:hint="eastAsia"/>
                      <w:bCs/>
                      <w:szCs w:val="21"/>
                    </w:rPr>
                    <w:t>灰渣</w:t>
                  </w:r>
                </w:p>
              </w:tc>
              <w:tc>
                <w:tcPr>
                  <w:tcW w:w="1129" w:type="pct"/>
                  <w:vAlign w:val="center"/>
                </w:tcPr>
                <w:p w14:paraId="52753EBE">
                  <w:pPr>
                    <w:adjustRightInd w:val="0"/>
                    <w:snapToGrid w:val="0"/>
                    <w:jc w:val="center"/>
                    <w:rPr>
                      <w:bCs/>
                      <w:szCs w:val="21"/>
                    </w:rPr>
                  </w:pPr>
                  <w:r>
                    <w:rPr>
                      <w:rFonts w:hint="eastAsia"/>
                      <w:bCs/>
                      <w:szCs w:val="21"/>
                    </w:rPr>
                    <w:t>蒸汽发生器</w:t>
                  </w:r>
                </w:p>
              </w:tc>
              <w:tc>
                <w:tcPr>
                  <w:tcW w:w="2155" w:type="pct"/>
                  <w:vAlign w:val="center"/>
                </w:tcPr>
                <w:p w14:paraId="76F4DF27">
                  <w:pPr>
                    <w:adjustRightInd w:val="0"/>
                    <w:snapToGrid w:val="0"/>
                    <w:jc w:val="center"/>
                    <w:rPr>
                      <w:bCs/>
                      <w:szCs w:val="21"/>
                    </w:rPr>
                  </w:pPr>
                  <w:r>
                    <w:rPr>
                      <w:rFonts w:hint="eastAsia"/>
                      <w:bCs/>
                      <w:szCs w:val="21"/>
                    </w:rPr>
                    <w:t>灰渣</w:t>
                  </w:r>
                </w:p>
              </w:tc>
            </w:tr>
            <w:tr w14:paraId="2FB2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87" w:type="pct"/>
                  <w:vMerge w:val="continue"/>
                  <w:vAlign w:val="center"/>
                </w:tcPr>
                <w:p w14:paraId="58D6DB0A">
                  <w:pPr>
                    <w:adjustRightInd w:val="0"/>
                    <w:snapToGrid w:val="0"/>
                    <w:jc w:val="center"/>
                    <w:rPr>
                      <w:bCs/>
                      <w:szCs w:val="21"/>
                    </w:rPr>
                  </w:pPr>
                </w:p>
              </w:tc>
              <w:tc>
                <w:tcPr>
                  <w:tcW w:w="1329" w:type="pct"/>
                  <w:vAlign w:val="center"/>
                </w:tcPr>
                <w:p w14:paraId="459E04A5">
                  <w:pPr>
                    <w:adjustRightInd w:val="0"/>
                    <w:snapToGrid w:val="0"/>
                    <w:jc w:val="center"/>
                    <w:rPr>
                      <w:bCs/>
                      <w:szCs w:val="21"/>
                    </w:rPr>
                  </w:pPr>
                  <w:r>
                    <w:rPr>
                      <w:bCs/>
                      <w:szCs w:val="21"/>
                    </w:rPr>
                    <w:t>废离子交换树脂</w:t>
                  </w:r>
                </w:p>
              </w:tc>
              <w:tc>
                <w:tcPr>
                  <w:tcW w:w="1129" w:type="pct"/>
                  <w:vAlign w:val="center"/>
                </w:tcPr>
                <w:p w14:paraId="5A250B00">
                  <w:pPr>
                    <w:adjustRightInd w:val="0"/>
                    <w:snapToGrid w:val="0"/>
                    <w:jc w:val="center"/>
                    <w:rPr>
                      <w:bCs/>
                      <w:szCs w:val="21"/>
                    </w:rPr>
                  </w:pPr>
                  <w:r>
                    <w:rPr>
                      <w:rFonts w:hint="eastAsia"/>
                      <w:bCs/>
                      <w:szCs w:val="21"/>
                    </w:rPr>
                    <w:t>纯水制备</w:t>
                  </w:r>
                </w:p>
              </w:tc>
              <w:tc>
                <w:tcPr>
                  <w:tcW w:w="2155" w:type="pct"/>
                  <w:vAlign w:val="center"/>
                </w:tcPr>
                <w:p w14:paraId="5A23EFC4">
                  <w:pPr>
                    <w:adjustRightInd w:val="0"/>
                    <w:snapToGrid w:val="0"/>
                    <w:jc w:val="center"/>
                    <w:rPr>
                      <w:bCs/>
                      <w:szCs w:val="21"/>
                    </w:rPr>
                  </w:pPr>
                  <w:r>
                    <w:rPr>
                      <w:bCs/>
                      <w:szCs w:val="21"/>
                    </w:rPr>
                    <w:t>废树脂</w:t>
                  </w:r>
                </w:p>
              </w:tc>
            </w:tr>
            <w:tr w14:paraId="70D1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7" w:type="pct"/>
                  <w:vMerge w:val="continue"/>
                  <w:vAlign w:val="center"/>
                </w:tcPr>
                <w:p w14:paraId="4D2BBA5C">
                  <w:pPr>
                    <w:adjustRightInd w:val="0"/>
                    <w:snapToGrid w:val="0"/>
                    <w:jc w:val="center"/>
                    <w:rPr>
                      <w:bCs/>
                      <w:szCs w:val="21"/>
                    </w:rPr>
                  </w:pPr>
                </w:p>
              </w:tc>
              <w:tc>
                <w:tcPr>
                  <w:tcW w:w="1329" w:type="pct"/>
                  <w:vAlign w:val="center"/>
                </w:tcPr>
                <w:p w14:paraId="219930B1">
                  <w:pPr>
                    <w:adjustRightInd w:val="0"/>
                    <w:snapToGrid w:val="0"/>
                    <w:jc w:val="center"/>
                    <w:rPr>
                      <w:bCs/>
                      <w:szCs w:val="21"/>
                    </w:rPr>
                  </w:pPr>
                  <w:r>
                    <w:rPr>
                      <w:rFonts w:hint="eastAsia"/>
                      <w:bCs/>
                      <w:szCs w:val="21"/>
                    </w:rPr>
                    <w:t>沉渣</w:t>
                  </w:r>
                </w:p>
              </w:tc>
              <w:tc>
                <w:tcPr>
                  <w:tcW w:w="1129" w:type="pct"/>
                  <w:vAlign w:val="center"/>
                </w:tcPr>
                <w:p w14:paraId="0CEDC4E7">
                  <w:pPr>
                    <w:adjustRightInd w:val="0"/>
                    <w:snapToGrid w:val="0"/>
                    <w:jc w:val="center"/>
                    <w:rPr>
                      <w:bCs/>
                      <w:szCs w:val="21"/>
                    </w:rPr>
                  </w:pPr>
                  <w:r>
                    <w:rPr>
                      <w:rFonts w:hint="eastAsia"/>
                      <w:bCs/>
                      <w:szCs w:val="21"/>
                    </w:rPr>
                    <w:t>水喷淋、沉淀池</w:t>
                  </w:r>
                </w:p>
              </w:tc>
              <w:tc>
                <w:tcPr>
                  <w:tcW w:w="2155" w:type="pct"/>
                  <w:vAlign w:val="center"/>
                </w:tcPr>
                <w:p w14:paraId="18A79A27">
                  <w:pPr>
                    <w:adjustRightInd w:val="0"/>
                    <w:snapToGrid w:val="0"/>
                    <w:jc w:val="center"/>
                    <w:rPr>
                      <w:bCs/>
                      <w:szCs w:val="21"/>
                    </w:rPr>
                  </w:pPr>
                  <w:r>
                    <w:rPr>
                      <w:rFonts w:hint="eastAsia"/>
                      <w:bCs/>
                      <w:szCs w:val="21"/>
                    </w:rPr>
                    <w:t>粉沉渣</w:t>
                  </w:r>
                </w:p>
              </w:tc>
            </w:tr>
            <w:tr w14:paraId="2E1C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pct"/>
                  <w:vMerge w:val="continue"/>
                  <w:vAlign w:val="center"/>
                </w:tcPr>
                <w:p w14:paraId="30636DE4">
                  <w:pPr>
                    <w:adjustRightInd w:val="0"/>
                    <w:snapToGrid w:val="0"/>
                    <w:jc w:val="center"/>
                    <w:rPr>
                      <w:bCs/>
                      <w:szCs w:val="21"/>
                    </w:rPr>
                  </w:pPr>
                </w:p>
              </w:tc>
              <w:tc>
                <w:tcPr>
                  <w:tcW w:w="1329" w:type="pct"/>
                  <w:vAlign w:val="center"/>
                </w:tcPr>
                <w:p w14:paraId="717B86E3">
                  <w:pPr>
                    <w:adjustRightInd w:val="0"/>
                    <w:snapToGrid w:val="0"/>
                    <w:jc w:val="center"/>
                    <w:rPr>
                      <w:bCs/>
                      <w:szCs w:val="21"/>
                    </w:rPr>
                  </w:pPr>
                  <w:r>
                    <w:rPr>
                      <w:rFonts w:hint="eastAsia"/>
                      <w:bCs/>
                      <w:szCs w:val="21"/>
                    </w:rPr>
                    <w:t>废包装材料</w:t>
                  </w:r>
                </w:p>
              </w:tc>
              <w:tc>
                <w:tcPr>
                  <w:tcW w:w="1129" w:type="pct"/>
                  <w:vAlign w:val="center"/>
                </w:tcPr>
                <w:p w14:paraId="2AF2A21C">
                  <w:pPr>
                    <w:adjustRightInd w:val="0"/>
                    <w:snapToGrid w:val="0"/>
                    <w:jc w:val="center"/>
                    <w:rPr>
                      <w:bCs/>
                      <w:szCs w:val="21"/>
                    </w:rPr>
                  </w:pPr>
                  <w:r>
                    <w:rPr>
                      <w:rFonts w:hint="eastAsia"/>
                      <w:bCs/>
                      <w:szCs w:val="21"/>
                    </w:rPr>
                    <w:t>原料包装</w:t>
                  </w:r>
                </w:p>
              </w:tc>
              <w:tc>
                <w:tcPr>
                  <w:tcW w:w="2155" w:type="pct"/>
                  <w:vAlign w:val="center"/>
                </w:tcPr>
                <w:p w14:paraId="3941D886">
                  <w:pPr>
                    <w:adjustRightInd w:val="0"/>
                    <w:snapToGrid w:val="0"/>
                    <w:jc w:val="center"/>
                    <w:rPr>
                      <w:bCs/>
                      <w:szCs w:val="21"/>
                    </w:rPr>
                  </w:pPr>
                  <w:r>
                    <w:rPr>
                      <w:rFonts w:hint="eastAsia"/>
                      <w:bCs/>
                      <w:szCs w:val="21"/>
                    </w:rPr>
                    <w:t>塑料包装袋</w:t>
                  </w:r>
                </w:p>
              </w:tc>
            </w:tr>
          </w:tbl>
          <w:p w14:paraId="17CD6292">
            <w:pPr>
              <w:adjustRightInd w:val="0"/>
              <w:snapToGrid w:val="0"/>
              <w:spacing w:line="360" w:lineRule="auto"/>
              <w:rPr>
                <w:rFonts w:hint="eastAsia" w:ascii="宋体" w:hAnsi="宋体"/>
                <w:bCs/>
                <w:sz w:val="24"/>
              </w:rPr>
            </w:pPr>
          </w:p>
        </w:tc>
      </w:tr>
      <w:tr w14:paraId="669FC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dxa"/>
            <w:vAlign w:val="center"/>
          </w:tcPr>
          <w:p w14:paraId="3C11985B">
            <w:pPr>
              <w:pStyle w:val="24"/>
              <w:adjustRightInd w:val="0"/>
              <w:snapToGrid w:val="0"/>
              <w:spacing w:before="0" w:beforeAutospacing="0" w:after="0" w:afterAutospacing="0"/>
              <w:jc w:val="center"/>
              <w:rPr>
                <w:rFonts w:hint="eastAsia" w:cs="宋体"/>
                <w:bCs/>
                <w:kern w:val="2"/>
                <w:szCs w:val="24"/>
              </w:rPr>
            </w:pPr>
          </w:p>
          <w:p w14:paraId="6ED1C929">
            <w:pPr>
              <w:pStyle w:val="24"/>
              <w:adjustRightInd w:val="0"/>
              <w:snapToGrid w:val="0"/>
              <w:spacing w:before="0" w:beforeAutospacing="0" w:after="0" w:afterAutospacing="0"/>
              <w:jc w:val="center"/>
              <w:rPr>
                <w:rFonts w:hint="eastAsia" w:cs="宋体"/>
                <w:bCs/>
                <w:kern w:val="2"/>
                <w:szCs w:val="24"/>
              </w:rPr>
            </w:pPr>
          </w:p>
          <w:p w14:paraId="1EF8C85F">
            <w:pPr>
              <w:pStyle w:val="24"/>
              <w:adjustRightInd w:val="0"/>
              <w:snapToGrid w:val="0"/>
              <w:spacing w:before="0" w:beforeAutospacing="0" w:after="0" w:afterAutospacing="0"/>
              <w:jc w:val="center"/>
              <w:rPr>
                <w:rFonts w:hint="eastAsia" w:cs="宋体"/>
                <w:bCs/>
                <w:kern w:val="2"/>
                <w:szCs w:val="24"/>
              </w:rPr>
            </w:pPr>
          </w:p>
          <w:p w14:paraId="5098DC67">
            <w:pPr>
              <w:pStyle w:val="24"/>
              <w:adjustRightInd w:val="0"/>
              <w:snapToGrid w:val="0"/>
              <w:spacing w:before="0" w:beforeAutospacing="0" w:after="0" w:afterAutospacing="0"/>
              <w:jc w:val="center"/>
              <w:rPr>
                <w:rFonts w:hint="eastAsia" w:cs="宋体"/>
                <w:bCs/>
                <w:kern w:val="2"/>
                <w:szCs w:val="24"/>
              </w:rPr>
            </w:pPr>
          </w:p>
          <w:p w14:paraId="6FCEBDB0">
            <w:pPr>
              <w:pStyle w:val="24"/>
              <w:adjustRightInd w:val="0"/>
              <w:snapToGrid w:val="0"/>
              <w:spacing w:before="0" w:beforeAutospacing="0" w:after="0" w:afterAutospacing="0"/>
              <w:jc w:val="center"/>
              <w:rPr>
                <w:rFonts w:hint="eastAsia" w:cs="宋体"/>
                <w:bCs/>
                <w:kern w:val="2"/>
                <w:szCs w:val="24"/>
              </w:rPr>
            </w:pPr>
          </w:p>
          <w:p w14:paraId="3A344D2C">
            <w:pPr>
              <w:pStyle w:val="24"/>
              <w:adjustRightInd w:val="0"/>
              <w:snapToGrid w:val="0"/>
              <w:spacing w:before="0" w:beforeAutospacing="0" w:after="0" w:afterAutospacing="0"/>
              <w:jc w:val="center"/>
              <w:rPr>
                <w:rFonts w:hint="eastAsia" w:cs="宋体"/>
                <w:bCs/>
                <w:kern w:val="2"/>
                <w:szCs w:val="24"/>
              </w:rPr>
            </w:pPr>
          </w:p>
          <w:p w14:paraId="0AF91076">
            <w:pPr>
              <w:pStyle w:val="24"/>
              <w:adjustRightInd w:val="0"/>
              <w:snapToGrid w:val="0"/>
              <w:spacing w:before="0" w:beforeAutospacing="0" w:after="0" w:afterAutospacing="0"/>
              <w:jc w:val="center"/>
              <w:rPr>
                <w:rFonts w:hint="eastAsia" w:cs="宋体"/>
                <w:szCs w:val="24"/>
              </w:rPr>
            </w:pPr>
            <w:r>
              <w:rPr>
                <w:rFonts w:hint="eastAsia" w:cs="宋体"/>
                <w:bCs/>
                <w:kern w:val="2"/>
                <w:szCs w:val="24"/>
              </w:rPr>
              <w:t>与项目有关的原有环境污染问题</w:t>
            </w:r>
          </w:p>
        </w:tc>
        <w:tc>
          <w:tcPr>
            <w:tcW w:w="8471" w:type="dxa"/>
          </w:tcPr>
          <w:p w14:paraId="66D63800">
            <w:pPr>
              <w:adjustRightInd w:val="0"/>
              <w:snapToGrid w:val="0"/>
              <w:spacing w:line="360" w:lineRule="auto"/>
              <w:ind w:firstLine="480" w:firstLineChars="200"/>
              <w:rPr>
                <w:rFonts w:hint="eastAsia" w:ascii="宋体" w:hAnsi="宋体"/>
                <w:bCs/>
                <w:sz w:val="24"/>
              </w:rPr>
            </w:pPr>
          </w:p>
          <w:p w14:paraId="1104C2FD">
            <w:pPr>
              <w:spacing w:line="360" w:lineRule="auto"/>
              <w:ind w:firstLine="480" w:firstLineChars="200"/>
              <w:rPr>
                <w:rFonts w:hint="eastAsia" w:ascii="宋体" w:hAnsi="宋体"/>
                <w:bCs/>
                <w:sz w:val="24"/>
              </w:rPr>
            </w:pPr>
            <w:r>
              <w:rPr>
                <w:rFonts w:ascii="宋体" w:hAnsi="宋体"/>
                <w:bCs/>
                <w:sz w:val="24"/>
              </w:rPr>
              <w:t>项目选址于</w:t>
            </w:r>
            <w:r>
              <w:rPr>
                <w:rFonts w:hint="eastAsia" w:ascii="宋体" w:hAnsi="宋体"/>
                <w:bCs/>
                <w:sz w:val="24"/>
              </w:rPr>
              <w:t>衡山县开云镇，本项目属于未批先建项目，</w:t>
            </w:r>
            <w:r>
              <w:rPr>
                <w:rFonts w:ascii="宋体" w:hAnsi="宋体"/>
                <w:bCs/>
                <w:sz w:val="24"/>
              </w:rPr>
              <w:t>根据现场勘探，目前</w:t>
            </w:r>
            <w:r>
              <w:rPr>
                <w:rFonts w:hint="eastAsia" w:ascii="宋体" w:hAnsi="宋体"/>
                <w:bCs/>
                <w:sz w:val="24"/>
              </w:rPr>
              <w:t>项目已经建成投产，本项目属于未批先建并已经收到了相关部门的处罚（附件5）</w:t>
            </w:r>
            <w:r>
              <w:rPr>
                <w:rFonts w:ascii="宋体" w:hAnsi="宋体"/>
                <w:bCs/>
                <w:sz w:val="24"/>
              </w:rPr>
              <w:t>，</w:t>
            </w:r>
            <w:r>
              <w:rPr>
                <w:rFonts w:hint="eastAsia" w:ascii="宋体" w:hAnsi="宋体"/>
                <w:bCs/>
                <w:sz w:val="24"/>
              </w:rPr>
              <w:t>本项目对现有项目的污染物现状进行了监测，根据监测数据本项目产生的废气、废水、噪声在项目正常运行生产的情况下均能达标排放</w:t>
            </w:r>
            <w:r>
              <w:rPr>
                <w:rFonts w:ascii="宋体" w:hAnsi="宋体"/>
                <w:bCs/>
                <w:sz w:val="24"/>
              </w:rPr>
              <w:t>。</w:t>
            </w:r>
          </w:p>
          <w:p w14:paraId="4F4151CC">
            <w:pPr>
              <w:widowControl/>
              <w:numPr>
                <w:ilvl w:val="0"/>
                <w:numId w:val="3"/>
              </w:numPr>
              <w:spacing w:line="360" w:lineRule="auto"/>
              <w:jc w:val="left"/>
              <w:rPr>
                <w:rFonts w:hint="eastAsia" w:ascii="宋体" w:hAnsi="宋体" w:cs="宋体"/>
                <w:b/>
                <w:bCs/>
                <w:color w:val="000000"/>
                <w:kern w:val="0"/>
                <w:sz w:val="24"/>
                <w:lang w:bidi="ar"/>
              </w:rPr>
            </w:pPr>
            <w:r>
              <w:rPr>
                <w:rFonts w:hint="eastAsia" w:ascii="宋体" w:hAnsi="宋体" w:cs="宋体"/>
                <w:b/>
                <w:bCs/>
                <w:color w:val="000000"/>
                <w:kern w:val="0"/>
                <w:sz w:val="24"/>
                <w:lang w:bidi="ar"/>
              </w:rPr>
              <w:t>大气污染物排放情况及治理措施落实情况</w:t>
            </w:r>
          </w:p>
          <w:p w14:paraId="17EBD26F">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）大气污染物产生情况及治理措施</w:t>
            </w:r>
          </w:p>
          <w:p w14:paraId="4CF49F33">
            <w:pPr>
              <w:spacing w:line="360" w:lineRule="auto"/>
              <w:ind w:firstLine="480" w:firstLineChars="200"/>
              <w:jc w:val="left"/>
              <w:rPr>
                <w:sz w:val="24"/>
              </w:rPr>
            </w:pPr>
            <w:r>
              <w:rPr>
                <w:rFonts w:hint="eastAsia"/>
                <w:sz w:val="24"/>
              </w:rPr>
              <w:t>本项目产生的大气污染物主要是生物质蒸汽发生器燃烧废气。燃烧废气水喷淋塔处理后达到《</w:t>
            </w:r>
            <w:r>
              <w:rPr>
                <w:sz w:val="24"/>
              </w:rPr>
              <w:t>锅炉大气污染物排放标准》（GB13271-2014）中表2新建锅炉（燃煤锅炉）大气污染物排放浓度限值标准值</w:t>
            </w:r>
            <w:r>
              <w:rPr>
                <w:rFonts w:hint="eastAsia"/>
                <w:sz w:val="24"/>
              </w:rPr>
              <w:t>后经25米高排气筒排放；根据监测结果废气均能达标排放，对环境影响较小。</w:t>
            </w:r>
          </w:p>
          <w:p w14:paraId="419CF703">
            <w:pPr>
              <w:spacing w:line="360" w:lineRule="auto"/>
              <w:ind w:firstLine="480" w:firstLineChars="200"/>
              <w:jc w:val="left"/>
              <w:rPr>
                <w:sz w:val="24"/>
              </w:rPr>
            </w:pPr>
            <w:r>
              <w:rPr>
                <w:rFonts w:hint="eastAsia"/>
                <w:sz w:val="24"/>
              </w:rPr>
              <w:t>目前项目已落实大气污染物治理措施，</w:t>
            </w:r>
            <w:r>
              <w:rPr>
                <w:sz w:val="24"/>
              </w:rPr>
              <w:t>湖南紫素环保科技有限公司</w:t>
            </w:r>
            <w:r>
              <w:rPr>
                <w:rFonts w:hint="eastAsia"/>
                <w:sz w:val="24"/>
              </w:rPr>
              <w:t>于2025年5月22日-5月23日对项目生物质蒸汽发生器燃烧废气污染物进行了监测，据项目污染现状监测结果可知，项目目前运营期间大气污染物均能够达标排放。</w:t>
            </w:r>
          </w:p>
          <w:p w14:paraId="35184562">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大气污染物监测结果如下：</w:t>
            </w:r>
          </w:p>
          <w:p w14:paraId="3C7EF4D0">
            <w:pPr>
              <w:pStyle w:val="2"/>
              <w:ind w:firstLine="2741" w:firstLineChars="1300"/>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表2-8 废气污染物有组织监测结果一览表</w:t>
            </w:r>
          </w:p>
          <w:tbl>
            <w:tblPr>
              <w:tblStyle w:val="2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00"/>
              <w:gridCol w:w="696"/>
              <w:gridCol w:w="803"/>
              <w:gridCol w:w="696"/>
              <w:gridCol w:w="699"/>
              <w:gridCol w:w="802"/>
              <w:gridCol w:w="802"/>
              <w:gridCol w:w="697"/>
              <w:gridCol w:w="805"/>
              <w:gridCol w:w="824"/>
            </w:tblGrid>
            <w:tr w14:paraId="2447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56" w:type="dxa"/>
                  <w:vMerge w:val="restart"/>
                  <w:vAlign w:val="center"/>
                </w:tcPr>
                <w:p w14:paraId="50330C0A">
                  <w:pPr>
                    <w:jc w:val="center"/>
                    <w:rPr>
                      <w:rFonts w:hint="eastAsia" w:ascii="宋体" w:hAnsi="宋体" w:cs="宋体"/>
                      <w:szCs w:val="21"/>
                    </w:rPr>
                  </w:pPr>
                  <w:r>
                    <w:rPr>
                      <w:b/>
                      <w:szCs w:val="21"/>
                    </w:rPr>
                    <w:t>采样位置</w:t>
                  </w:r>
                </w:p>
              </w:tc>
              <w:tc>
                <w:tcPr>
                  <w:tcW w:w="1200" w:type="dxa"/>
                  <w:vMerge w:val="restart"/>
                  <w:vAlign w:val="center"/>
                </w:tcPr>
                <w:p w14:paraId="5161CD86">
                  <w:pPr>
                    <w:jc w:val="center"/>
                    <w:rPr>
                      <w:rFonts w:hint="eastAsia" w:ascii="宋体" w:hAnsi="宋体" w:cs="宋体"/>
                      <w:szCs w:val="21"/>
                    </w:rPr>
                  </w:pPr>
                  <w:r>
                    <w:rPr>
                      <w:rFonts w:hint="eastAsia" w:ascii="宋体" w:hAnsi="宋体" w:cs="宋体"/>
                      <w:b/>
                      <w:szCs w:val="21"/>
                    </w:rPr>
                    <w:t>检测项目</w:t>
                  </w:r>
                </w:p>
              </w:tc>
              <w:tc>
                <w:tcPr>
                  <w:tcW w:w="6000" w:type="dxa"/>
                  <w:gridSpan w:val="8"/>
                  <w:vAlign w:val="center"/>
                </w:tcPr>
                <w:p w14:paraId="30166B1E">
                  <w:pPr>
                    <w:jc w:val="center"/>
                    <w:rPr>
                      <w:rFonts w:hint="eastAsia" w:ascii="宋体" w:hAnsi="宋体" w:cs="宋体"/>
                      <w:b/>
                      <w:bCs/>
                      <w:szCs w:val="21"/>
                    </w:rPr>
                  </w:pPr>
                  <w:r>
                    <w:rPr>
                      <w:rFonts w:hint="eastAsia" w:ascii="宋体" w:hAnsi="宋体" w:cs="宋体"/>
                      <w:b/>
                      <w:szCs w:val="21"/>
                    </w:rPr>
                    <w:t>检测频次及结果</w:t>
                  </w:r>
                </w:p>
              </w:tc>
              <w:tc>
                <w:tcPr>
                  <w:tcW w:w="824" w:type="dxa"/>
                  <w:vMerge w:val="restart"/>
                  <w:vAlign w:val="center"/>
                </w:tcPr>
                <w:p w14:paraId="671824C7">
                  <w:pPr>
                    <w:jc w:val="center"/>
                    <w:rPr>
                      <w:rFonts w:hint="eastAsia" w:ascii="宋体" w:hAnsi="宋体" w:cs="宋体"/>
                      <w:b/>
                      <w:szCs w:val="21"/>
                    </w:rPr>
                  </w:pPr>
                  <w:r>
                    <w:rPr>
                      <w:rFonts w:hint="eastAsia" w:ascii="宋体" w:hAnsi="宋体" w:cs="宋体"/>
                      <w:b/>
                      <w:szCs w:val="21"/>
                    </w:rPr>
                    <w:t>单位</w:t>
                  </w:r>
                </w:p>
              </w:tc>
            </w:tr>
            <w:tr w14:paraId="0615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56" w:type="dxa"/>
                  <w:vMerge w:val="continue"/>
                  <w:vAlign w:val="center"/>
                </w:tcPr>
                <w:p w14:paraId="746B32ED">
                  <w:pPr>
                    <w:jc w:val="center"/>
                    <w:rPr>
                      <w:rFonts w:hint="eastAsia" w:ascii="宋体" w:hAnsi="宋体" w:cs="宋体"/>
                      <w:b/>
                      <w:szCs w:val="21"/>
                    </w:rPr>
                  </w:pPr>
                </w:p>
              </w:tc>
              <w:tc>
                <w:tcPr>
                  <w:tcW w:w="1200" w:type="dxa"/>
                  <w:vMerge w:val="continue"/>
                  <w:vAlign w:val="center"/>
                </w:tcPr>
                <w:p w14:paraId="4F8DB6FE">
                  <w:pPr>
                    <w:jc w:val="center"/>
                    <w:rPr>
                      <w:rFonts w:hint="eastAsia" w:ascii="宋体" w:hAnsi="宋体" w:cs="宋体"/>
                      <w:b/>
                      <w:szCs w:val="21"/>
                    </w:rPr>
                  </w:pPr>
                </w:p>
              </w:tc>
              <w:tc>
                <w:tcPr>
                  <w:tcW w:w="1499" w:type="dxa"/>
                  <w:gridSpan w:val="2"/>
                  <w:vAlign w:val="center"/>
                </w:tcPr>
                <w:p w14:paraId="0AB202B9">
                  <w:pPr>
                    <w:jc w:val="center"/>
                    <w:rPr>
                      <w:rFonts w:hint="eastAsia" w:ascii="宋体" w:hAnsi="宋体" w:cs="宋体"/>
                      <w:b/>
                      <w:szCs w:val="21"/>
                    </w:rPr>
                  </w:pPr>
                  <w:r>
                    <w:rPr>
                      <w:rFonts w:hint="eastAsia" w:ascii="宋体" w:hAnsi="宋体" w:cs="宋体"/>
                      <w:b/>
                      <w:szCs w:val="21"/>
                    </w:rPr>
                    <w:t>一次</w:t>
                  </w:r>
                </w:p>
              </w:tc>
              <w:tc>
                <w:tcPr>
                  <w:tcW w:w="1395" w:type="dxa"/>
                  <w:gridSpan w:val="2"/>
                  <w:vAlign w:val="center"/>
                </w:tcPr>
                <w:p w14:paraId="6A1F1B84">
                  <w:pPr>
                    <w:jc w:val="center"/>
                    <w:rPr>
                      <w:rFonts w:hint="eastAsia" w:ascii="宋体" w:hAnsi="宋体" w:cs="宋体"/>
                      <w:b/>
                      <w:szCs w:val="21"/>
                    </w:rPr>
                  </w:pPr>
                  <w:r>
                    <w:rPr>
                      <w:rFonts w:hint="eastAsia" w:ascii="宋体" w:hAnsi="宋体" w:cs="宋体"/>
                      <w:b/>
                      <w:szCs w:val="21"/>
                    </w:rPr>
                    <w:t>二次</w:t>
                  </w:r>
                </w:p>
              </w:tc>
              <w:tc>
                <w:tcPr>
                  <w:tcW w:w="1604" w:type="dxa"/>
                  <w:gridSpan w:val="2"/>
                  <w:vAlign w:val="center"/>
                </w:tcPr>
                <w:p w14:paraId="466F8C84">
                  <w:pPr>
                    <w:jc w:val="center"/>
                    <w:rPr>
                      <w:rFonts w:hint="eastAsia" w:ascii="宋体" w:hAnsi="宋体" w:cs="宋体"/>
                      <w:b/>
                      <w:szCs w:val="21"/>
                    </w:rPr>
                  </w:pPr>
                  <w:r>
                    <w:rPr>
                      <w:rFonts w:hint="eastAsia" w:ascii="宋体" w:hAnsi="宋体" w:cs="宋体"/>
                      <w:b/>
                      <w:szCs w:val="21"/>
                    </w:rPr>
                    <w:t>三次</w:t>
                  </w:r>
                </w:p>
              </w:tc>
              <w:tc>
                <w:tcPr>
                  <w:tcW w:w="1502" w:type="dxa"/>
                  <w:gridSpan w:val="2"/>
                  <w:vAlign w:val="center"/>
                </w:tcPr>
                <w:p w14:paraId="406E7D91">
                  <w:pPr>
                    <w:jc w:val="center"/>
                    <w:rPr>
                      <w:rFonts w:hint="eastAsia" w:ascii="宋体" w:hAnsi="宋体" w:cs="宋体"/>
                      <w:b/>
                      <w:bCs/>
                      <w:szCs w:val="21"/>
                    </w:rPr>
                  </w:pPr>
                  <w:r>
                    <w:rPr>
                      <w:rFonts w:hint="eastAsia" w:ascii="宋体" w:hAnsi="宋体" w:cs="宋体"/>
                      <w:b/>
                      <w:bCs/>
                      <w:szCs w:val="21"/>
                    </w:rPr>
                    <w:t>均值</w:t>
                  </w:r>
                </w:p>
              </w:tc>
              <w:tc>
                <w:tcPr>
                  <w:tcW w:w="824" w:type="dxa"/>
                  <w:vMerge w:val="continue"/>
                  <w:vAlign w:val="center"/>
                </w:tcPr>
                <w:p w14:paraId="69D406CE">
                  <w:pPr>
                    <w:jc w:val="center"/>
                    <w:rPr>
                      <w:rFonts w:hint="eastAsia" w:ascii="宋体" w:hAnsi="宋体" w:cs="宋体"/>
                      <w:b/>
                      <w:bCs/>
                      <w:szCs w:val="21"/>
                    </w:rPr>
                  </w:pPr>
                </w:p>
              </w:tc>
            </w:tr>
            <w:tr w14:paraId="20F3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56" w:type="dxa"/>
                  <w:vMerge w:val="continue"/>
                  <w:vAlign w:val="center"/>
                </w:tcPr>
                <w:p w14:paraId="130857F6">
                  <w:pPr>
                    <w:jc w:val="center"/>
                    <w:rPr>
                      <w:rFonts w:hint="eastAsia" w:ascii="宋体" w:hAnsi="宋体" w:cs="宋体"/>
                      <w:b/>
                      <w:szCs w:val="21"/>
                    </w:rPr>
                  </w:pPr>
                </w:p>
              </w:tc>
              <w:tc>
                <w:tcPr>
                  <w:tcW w:w="1200" w:type="dxa"/>
                  <w:vMerge w:val="continue"/>
                  <w:vAlign w:val="center"/>
                </w:tcPr>
                <w:p w14:paraId="42232852">
                  <w:pPr>
                    <w:jc w:val="center"/>
                    <w:rPr>
                      <w:rFonts w:hint="eastAsia" w:ascii="宋体" w:hAnsi="宋体" w:cs="宋体"/>
                      <w:b/>
                      <w:szCs w:val="21"/>
                    </w:rPr>
                  </w:pPr>
                </w:p>
              </w:tc>
              <w:tc>
                <w:tcPr>
                  <w:tcW w:w="696" w:type="dxa"/>
                  <w:vAlign w:val="center"/>
                </w:tcPr>
                <w:p w14:paraId="59CEB538">
                  <w:pPr>
                    <w:jc w:val="center"/>
                    <w:rPr>
                      <w:szCs w:val="21"/>
                    </w:rPr>
                  </w:pPr>
                  <w:r>
                    <w:rPr>
                      <w:rFonts w:hint="eastAsia"/>
                      <w:szCs w:val="21"/>
                    </w:rPr>
                    <w:t>实测</w:t>
                  </w:r>
                </w:p>
              </w:tc>
              <w:tc>
                <w:tcPr>
                  <w:tcW w:w="803" w:type="dxa"/>
                  <w:vAlign w:val="center"/>
                </w:tcPr>
                <w:p w14:paraId="6A0B009B">
                  <w:pPr>
                    <w:jc w:val="center"/>
                    <w:rPr>
                      <w:szCs w:val="21"/>
                    </w:rPr>
                  </w:pPr>
                  <w:r>
                    <w:rPr>
                      <w:rFonts w:hint="eastAsia"/>
                      <w:szCs w:val="21"/>
                    </w:rPr>
                    <w:t>折算</w:t>
                  </w:r>
                </w:p>
              </w:tc>
              <w:tc>
                <w:tcPr>
                  <w:tcW w:w="696" w:type="dxa"/>
                  <w:vAlign w:val="center"/>
                </w:tcPr>
                <w:p w14:paraId="43231D4A">
                  <w:pPr>
                    <w:jc w:val="center"/>
                    <w:rPr>
                      <w:szCs w:val="21"/>
                    </w:rPr>
                  </w:pPr>
                  <w:r>
                    <w:rPr>
                      <w:rFonts w:hint="eastAsia"/>
                      <w:szCs w:val="21"/>
                    </w:rPr>
                    <w:t>实测</w:t>
                  </w:r>
                </w:p>
              </w:tc>
              <w:tc>
                <w:tcPr>
                  <w:tcW w:w="699" w:type="dxa"/>
                  <w:vAlign w:val="center"/>
                </w:tcPr>
                <w:p w14:paraId="352777B3">
                  <w:pPr>
                    <w:jc w:val="center"/>
                    <w:rPr>
                      <w:szCs w:val="21"/>
                    </w:rPr>
                  </w:pPr>
                  <w:r>
                    <w:rPr>
                      <w:rFonts w:hint="eastAsia"/>
                      <w:szCs w:val="21"/>
                    </w:rPr>
                    <w:t>折算</w:t>
                  </w:r>
                </w:p>
              </w:tc>
              <w:tc>
                <w:tcPr>
                  <w:tcW w:w="802" w:type="dxa"/>
                  <w:vAlign w:val="center"/>
                </w:tcPr>
                <w:p w14:paraId="4627E35F">
                  <w:pPr>
                    <w:jc w:val="center"/>
                    <w:rPr>
                      <w:szCs w:val="21"/>
                    </w:rPr>
                  </w:pPr>
                  <w:r>
                    <w:rPr>
                      <w:rFonts w:hint="eastAsia"/>
                      <w:szCs w:val="21"/>
                    </w:rPr>
                    <w:t>实测</w:t>
                  </w:r>
                </w:p>
              </w:tc>
              <w:tc>
                <w:tcPr>
                  <w:tcW w:w="802" w:type="dxa"/>
                  <w:vAlign w:val="center"/>
                </w:tcPr>
                <w:p w14:paraId="034A8915">
                  <w:pPr>
                    <w:jc w:val="center"/>
                    <w:rPr>
                      <w:szCs w:val="21"/>
                    </w:rPr>
                  </w:pPr>
                  <w:r>
                    <w:rPr>
                      <w:rFonts w:hint="eastAsia"/>
                      <w:szCs w:val="21"/>
                    </w:rPr>
                    <w:t>折算</w:t>
                  </w:r>
                </w:p>
              </w:tc>
              <w:tc>
                <w:tcPr>
                  <w:tcW w:w="697" w:type="dxa"/>
                  <w:vAlign w:val="center"/>
                </w:tcPr>
                <w:p w14:paraId="5D79AEBD">
                  <w:pPr>
                    <w:jc w:val="center"/>
                    <w:rPr>
                      <w:szCs w:val="21"/>
                    </w:rPr>
                  </w:pPr>
                  <w:r>
                    <w:rPr>
                      <w:rFonts w:hint="eastAsia"/>
                      <w:szCs w:val="21"/>
                    </w:rPr>
                    <w:t>实测</w:t>
                  </w:r>
                </w:p>
              </w:tc>
              <w:tc>
                <w:tcPr>
                  <w:tcW w:w="805" w:type="dxa"/>
                  <w:vAlign w:val="center"/>
                </w:tcPr>
                <w:p w14:paraId="203166C6">
                  <w:pPr>
                    <w:jc w:val="center"/>
                    <w:rPr>
                      <w:szCs w:val="21"/>
                    </w:rPr>
                  </w:pPr>
                  <w:r>
                    <w:rPr>
                      <w:rFonts w:hint="eastAsia"/>
                      <w:szCs w:val="21"/>
                    </w:rPr>
                    <w:t>折算</w:t>
                  </w:r>
                </w:p>
              </w:tc>
              <w:tc>
                <w:tcPr>
                  <w:tcW w:w="824" w:type="dxa"/>
                  <w:vMerge w:val="continue"/>
                  <w:vAlign w:val="center"/>
                </w:tcPr>
                <w:p w14:paraId="224089CE">
                  <w:pPr>
                    <w:jc w:val="center"/>
                    <w:rPr>
                      <w:rFonts w:hint="eastAsia" w:ascii="宋体" w:hAnsi="宋体" w:cs="宋体"/>
                      <w:b/>
                      <w:bCs/>
                      <w:szCs w:val="21"/>
                    </w:rPr>
                  </w:pPr>
                </w:p>
              </w:tc>
            </w:tr>
            <w:tr w14:paraId="4A5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56" w:type="dxa"/>
                  <w:vMerge w:val="restart"/>
                  <w:vAlign w:val="center"/>
                </w:tcPr>
                <w:p w14:paraId="36070018">
                  <w:pPr>
                    <w:jc w:val="center"/>
                    <w:rPr>
                      <w:szCs w:val="21"/>
                    </w:rPr>
                  </w:pPr>
                  <w:r>
                    <w:rPr>
                      <w:szCs w:val="21"/>
                    </w:rPr>
                    <w:t>蒸汽发生器燃烧废气</w:t>
                  </w:r>
                </w:p>
                <w:p w14:paraId="459B5B7B">
                  <w:pPr>
                    <w:jc w:val="center"/>
                    <w:rPr>
                      <w:szCs w:val="21"/>
                    </w:rPr>
                  </w:pPr>
                  <w:r>
                    <w:rPr>
                      <w:szCs w:val="21"/>
                    </w:rPr>
                    <w:t>（DA001）</w:t>
                  </w:r>
                  <w:r>
                    <w:rPr>
                      <w:rFonts w:hint="eastAsia"/>
                      <w:szCs w:val="21"/>
                    </w:rPr>
                    <w:t>（5月22日）</w:t>
                  </w:r>
                </w:p>
              </w:tc>
              <w:tc>
                <w:tcPr>
                  <w:tcW w:w="1200" w:type="dxa"/>
                  <w:vAlign w:val="center"/>
                </w:tcPr>
                <w:p w14:paraId="74115173">
                  <w:pPr>
                    <w:jc w:val="center"/>
                    <w:rPr>
                      <w:rFonts w:hint="eastAsia" w:ascii="宋体" w:hAnsi="宋体" w:cs="宋体"/>
                      <w:bCs/>
                      <w:szCs w:val="21"/>
                    </w:rPr>
                  </w:pPr>
                  <w:r>
                    <w:rPr>
                      <w:rFonts w:hint="eastAsia" w:ascii="宋体" w:hAnsi="宋体" w:cs="宋体"/>
                      <w:bCs/>
                      <w:szCs w:val="21"/>
                    </w:rPr>
                    <w:t>二氧化硫</w:t>
                  </w:r>
                </w:p>
              </w:tc>
              <w:tc>
                <w:tcPr>
                  <w:tcW w:w="696" w:type="dxa"/>
                  <w:vAlign w:val="center"/>
                </w:tcPr>
                <w:p w14:paraId="576EABD3">
                  <w:pPr>
                    <w:jc w:val="center"/>
                    <w:rPr>
                      <w:szCs w:val="21"/>
                    </w:rPr>
                  </w:pPr>
                  <w:r>
                    <w:rPr>
                      <w:rFonts w:hint="eastAsia"/>
                      <w:szCs w:val="21"/>
                    </w:rPr>
                    <w:t>92</w:t>
                  </w:r>
                </w:p>
              </w:tc>
              <w:tc>
                <w:tcPr>
                  <w:tcW w:w="803" w:type="dxa"/>
                  <w:vAlign w:val="center"/>
                </w:tcPr>
                <w:p w14:paraId="4BC2B204">
                  <w:pPr>
                    <w:jc w:val="center"/>
                    <w:rPr>
                      <w:szCs w:val="21"/>
                    </w:rPr>
                  </w:pPr>
                  <w:r>
                    <w:rPr>
                      <w:rFonts w:hint="eastAsia"/>
                      <w:szCs w:val="21"/>
                    </w:rPr>
                    <w:t>113</w:t>
                  </w:r>
                </w:p>
              </w:tc>
              <w:tc>
                <w:tcPr>
                  <w:tcW w:w="696" w:type="dxa"/>
                  <w:vAlign w:val="center"/>
                </w:tcPr>
                <w:p w14:paraId="073420AB">
                  <w:pPr>
                    <w:jc w:val="center"/>
                    <w:rPr>
                      <w:szCs w:val="21"/>
                    </w:rPr>
                  </w:pPr>
                  <w:r>
                    <w:rPr>
                      <w:rFonts w:hint="eastAsia"/>
                      <w:szCs w:val="21"/>
                    </w:rPr>
                    <w:t>93</w:t>
                  </w:r>
                </w:p>
              </w:tc>
              <w:tc>
                <w:tcPr>
                  <w:tcW w:w="699" w:type="dxa"/>
                  <w:vAlign w:val="center"/>
                </w:tcPr>
                <w:p w14:paraId="75D5F218">
                  <w:pPr>
                    <w:jc w:val="center"/>
                    <w:rPr>
                      <w:szCs w:val="21"/>
                    </w:rPr>
                  </w:pPr>
                  <w:r>
                    <w:rPr>
                      <w:rFonts w:hint="eastAsia"/>
                      <w:szCs w:val="21"/>
                    </w:rPr>
                    <w:t>115</w:t>
                  </w:r>
                </w:p>
              </w:tc>
              <w:tc>
                <w:tcPr>
                  <w:tcW w:w="802" w:type="dxa"/>
                  <w:vAlign w:val="center"/>
                </w:tcPr>
                <w:p w14:paraId="2BB588D8">
                  <w:pPr>
                    <w:jc w:val="center"/>
                    <w:rPr>
                      <w:szCs w:val="21"/>
                    </w:rPr>
                  </w:pPr>
                  <w:r>
                    <w:rPr>
                      <w:rFonts w:hint="eastAsia"/>
                      <w:szCs w:val="21"/>
                    </w:rPr>
                    <w:t>93</w:t>
                  </w:r>
                </w:p>
              </w:tc>
              <w:tc>
                <w:tcPr>
                  <w:tcW w:w="802" w:type="dxa"/>
                  <w:vAlign w:val="center"/>
                </w:tcPr>
                <w:p w14:paraId="6E4F7F56">
                  <w:pPr>
                    <w:jc w:val="center"/>
                    <w:rPr>
                      <w:szCs w:val="21"/>
                    </w:rPr>
                  </w:pPr>
                  <w:r>
                    <w:rPr>
                      <w:rFonts w:hint="eastAsia"/>
                      <w:szCs w:val="21"/>
                    </w:rPr>
                    <w:t>116</w:t>
                  </w:r>
                </w:p>
              </w:tc>
              <w:tc>
                <w:tcPr>
                  <w:tcW w:w="697" w:type="dxa"/>
                  <w:vAlign w:val="center"/>
                </w:tcPr>
                <w:p w14:paraId="7AD50145">
                  <w:pPr>
                    <w:widowControl/>
                    <w:jc w:val="center"/>
                    <w:textAlignment w:val="center"/>
                    <w:rPr>
                      <w:color w:val="000000"/>
                      <w:szCs w:val="21"/>
                    </w:rPr>
                  </w:pPr>
                  <w:r>
                    <w:rPr>
                      <w:rFonts w:hint="eastAsia"/>
                      <w:color w:val="000000"/>
                      <w:szCs w:val="21"/>
                    </w:rPr>
                    <w:t>93</w:t>
                  </w:r>
                </w:p>
              </w:tc>
              <w:tc>
                <w:tcPr>
                  <w:tcW w:w="805" w:type="dxa"/>
                  <w:vAlign w:val="center"/>
                </w:tcPr>
                <w:p w14:paraId="589EBE28">
                  <w:pPr>
                    <w:widowControl/>
                    <w:jc w:val="center"/>
                    <w:textAlignment w:val="center"/>
                    <w:rPr>
                      <w:color w:val="000000"/>
                      <w:szCs w:val="21"/>
                    </w:rPr>
                  </w:pPr>
                  <w:r>
                    <w:rPr>
                      <w:rFonts w:hint="eastAsia"/>
                      <w:color w:val="000000"/>
                      <w:szCs w:val="21"/>
                    </w:rPr>
                    <w:t>115</w:t>
                  </w:r>
                </w:p>
              </w:tc>
              <w:tc>
                <w:tcPr>
                  <w:tcW w:w="824" w:type="dxa"/>
                  <w:vAlign w:val="center"/>
                </w:tcPr>
                <w:p w14:paraId="5CF1FBBE">
                  <w:pPr>
                    <w:jc w:val="center"/>
                    <w:rPr>
                      <w:szCs w:val="21"/>
                    </w:rPr>
                  </w:pPr>
                  <w:r>
                    <w:rPr>
                      <w:rFonts w:hint="eastAsia"/>
                      <w:szCs w:val="21"/>
                    </w:rPr>
                    <w:t>mg/m</w:t>
                  </w:r>
                  <w:r>
                    <w:rPr>
                      <w:rFonts w:hint="eastAsia"/>
                      <w:szCs w:val="21"/>
                      <w:vertAlign w:val="superscript"/>
                    </w:rPr>
                    <w:t>3</w:t>
                  </w:r>
                </w:p>
              </w:tc>
            </w:tr>
            <w:tr w14:paraId="330B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009B6D9C">
                  <w:pPr>
                    <w:jc w:val="center"/>
                    <w:rPr>
                      <w:rFonts w:hint="eastAsia" w:ascii="宋体" w:hAnsi="宋体" w:cs="宋体"/>
                      <w:szCs w:val="21"/>
                    </w:rPr>
                  </w:pPr>
                </w:p>
              </w:tc>
              <w:tc>
                <w:tcPr>
                  <w:tcW w:w="1200" w:type="dxa"/>
                  <w:vAlign w:val="center"/>
                </w:tcPr>
                <w:p w14:paraId="65C89AF0">
                  <w:pPr>
                    <w:jc w:val="center"/>
                    <w:rPr>
                      <w:rFonts w:hint="eastAsia" w:ascii="宋体" w:hAnsi="宋体" w:cs="宋体"/>
                      <w:bCs/>
                      <w:szCs w:val="21"/>
                    </w:rPr>
                  </w:pPr>
                  <w:r>
                    <w:rPr>
                      <w:rFonts w:hint="eastAsia" w:ascii="宋体" w:hAnsi="宋体" w:cs="宋体"/>
                      <w:bCs/>
                      <w:szCs w:val="21"/>
                    </w:rPr>
                    <w:t>氮氧化物</w:t>
                  </w:r>
                </w:p>
              </w:tc>
              <w:tc>
                <w:tcPr>
                  <w:tcW w:w="696" w:type="dxa"/>
                  <w:vAlign w:val="center"/>
                </w:tcPr>
                <w:p w14:paraId="5BECDBE7">
                  <w:pPr>
                    <w:jc w:val="center"/>
                    <w:rPr>
                      <w:szCs w:val="21"/>
                    </w:rPr>
                  </w:pPr>
                  <w:r>
                    <w:rPr>
                      <w:rFonts w:hint="eastAsia"/>
                      <w:szCs w:val="21"/>
                    </w:rPr>
                    <w:t>81</w:t>
                  </w:r>
                </w:p>
              </w:tc>
              <w:tc>
                <w:tcPr>
                  <w:tcW w:w="803" w:type="dxa"/>
                  <w:vAlign w:val="center"/>
                </w:tcPr>
                <w:p w14:paraId="28BD15BF">
                  <w:pPr>
                    <w:jc w:val="center"/>
                    <w:rPr>
                      <w:szCs w:val="21"/>
                    </w:rPr>
                  </w:pPr>
                  <w:r>
                    <w:rPr>
                      <w:rFonts w:hint="eastAsia"/>
                      <w:szCs w:val="21"/>
                    </w:rPr>
                    <w:t>99</w:t>
                  </w:r>
                </w:p>
              </w:tc>
              <w:tc>
                <w:tcPr>
                  <w:tcW w:w="696" w:type="dxa"/>
                  <w:vAlign w:val="center"/>
                </w:tcPr>
                <w:p w14:paraId="78F7F848">
                  <w:pPr>
                    <w:jc w:val="center"/>
                    <w:rPr>
                      <w:szCs w:val="21"/>
                    </w:rPr>
                  </w:pPr>
                  <w:r>
                    <w:rPr>
                      <w:rFonts w:hint="eastAsia"/>
                      <w:szCs w:val="21"/>
                    </w:rPr>
                    <w:t>84</w:t>
                  </w:r>
                </w:p>
              </w:tc>
              <w:tc>
                <w:tcPr>
                  <w:tcW w:w="699" w:type="dxa"/>
                  <w:vAlign w:val="center"/>
                </w:tcPr>
                <w:p w14:paraId="5BFCCF53">
                  <w:pPr>
                    <w:jc w:val="center"/>
                    <w:rPr>
                      <w:szCs w:val="21"/>
                    </w:rPr>
                  </w:pPr>
                  <w:r>
                    <w:rPr>
                      <w:rFonts w:hint="eastAsia"/>
                      <w:szCs w:val="21"/>
                    </w:rPr>
                    <w:t>104</w:t>
                  </w:r>
                </w:p>
              </w:tc>
              <w:tc>
                <w:tcPr>
                  <w:tcW w:w="802" w:type="dxa"/>
                  <w:vAlign w:val="center"/>
                </w:tcPr>
                <w:p w14:paraId="0CAA9605">
                  <w:pPr>
                    <w:jc w:val="center"/>
                    <w:rPr>
                      <w:szCs w:val="21"/>
                    </w:rPr>
                  </w:pPr>
                  <w:r>
                    <w:rPr>
                      <w:rFonts w:hint="eastAsia"/>
                      <w:szCs w:val="21"/>
                    </w:rPr>
                    <w:t>84</w:t>
                  </w:r>
                </w:p>
              </w:tc>
              <w:tc>
                <w:tcPr>
                  <w:tcW w:w="802" w:type="dxa"/>
                  <w:vAlign w:val="center"/>
                </w:tcPr>
                <w:p w14:paraId="074A02C1">
                  <w:pPr>
                    <w:jc w:val="center"/>
                    <w:rPr>
                      <w:szCs w:val="21"/>
                    </w:rPr>
                  </w:pPr>
                  <w:r>
                    <w:rPr>
                      <w:rFonts w:hint="eastAsia"/>
                      <w:szCs w:val="21"/>
                    </w:rPr>
                    <w:t>105</w:t>
                  </w:r>
                </w:p>
              </w:tc>
              <w:tc>
                <w:tcPr>
                  <w:tcW w:w="697" w:type="dxa"/>
                  <w:vAlign w:val="center"/>
                </w:tcPr>
                <w:p w14:paraId="3D585DC9">
                  <w:pPr>
                    <w:widowControl/>
                    <w:jc w:val="center"/>
                    <w:textAlignment w:val="center"/>
                    <w:rPr>
                      <w:color w:val="000000"/>
                      <w:szCs w:val="21"/>
                    </w:rPr>
                  </w:pPr>
                  <w:r>
                    <w:rPr>
                      <w:rFonts w:hint="eastAsia"/>
                      <w:color w:val="000000"/>
                      <w:szCs w:val="21"/>
                    </w:rPr>
                    <w:t>83</w:t>
                  </w:r>
                </w:p>
              </w:tc>
              <w:tc>
                <w:tcPr>
                  <w:tcW w:w="805" w:type="dxa"/>
                  <w:vAlign w:val="center"/>
                </w:tcPr>
                <w:p w14:paraId="0212C04A">
                  <w:pPr>
                    <w:widowControl/>
                    <w:jc w:val="center"/>
                    <w:textAlignment w:val="center"/>
                    <w:rPr>
                      <w:color w:val="000000"/>
                      <w:szCs w:val="21"/>
                    </w:rPr>
                  </w:pPr>
                  <w:r>
                    <w:rPr>
                      <w:rFonts w:hint="eastAsia"/>
                      <w:color w:val="000000"/>
                      <w:szCs w:val="21"/>
                    </w:rPr>
                    <w:t>103</w:t>
                  </w:r>
                </w:p>
              </w:tc>
              <w:tc>
                <w:tcPr>
                  <w:tcW w:w="824" w:type="dxa"/>
                  <w:vAlign w:val="center"/>
                </w:tcPr>
                <w:p w14:paraId="24678950">
                  <w:pPr>
                    <w:jc w:val="center"/>
                    <w:rPr>
                      <w:szCs w:val="21"/>
                    </w:rPr>
                  </w:pPr>
                  <w:r>
                    <w:rPr>
                      <w:rFonts w:hint="eastAsia"/>
                      <w:szCs w:val="21"/>
                    </w:rPr>
                    <w:t>mg/m</w:t>
                  </w:r>
                  <w:r>
                    <w:rPr>
                      <w:rFonts w:hint="eastAsia"/>
                      <w:szCs w:val="21"/>
                      <w:vertAlign w:val="superscript"/>
                    </w:rPr>
                    <w:t>3</w:t>
                  </w:r>
                </w:p>
              </w:tc>
            </w:tr>
            <w:tr w14:paraId="7CA4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5B1067A4">
                  <w:pPr>
                    <w:jc w:val="center"/>
                    <w:rPr>
                      <w:rFonts w:hint="eastAsia" w:ascii="宋体" w:hAnsi="宋体" w:cs="宋体"/>
                      <w:szCs w:val="21"/>
                    </w:rPr>
                  </w:pPr>
                </w:p>
              </w:tc>
              <w:tc>
                <w:tcPr>
                  <w:tcW w:w="1200" w:type="dxa"/>
                  <w:vAlign w:val="center"/>
                </w:tcPr>
                <w:p w14:paraId="1F64E4DC">
                  <w:pPr>
                    <w:jc w:val="center"/>
                    <w:rPr>
                      <w:rFonts w:hint="eastAsia" w:ascii="宋体" w:hAnsi="宋体" w:cs="宋体"/>
                      <w:bCs/>
                      <w:szCs w:val="21"/>
                    </w:rPr>
                  </w:pPr>
                  <w:r>
                    <w:rPr>
                      <w:rFonts w:hint="eastAsia" w:ascii="宋体" w:hAnsi="宋体" w:cs="宋体"/>
                      <w:szCs w:val="21"/>
                    </w:rPr>
                    <w:t>颗粒物</w:t>
                  </w:r>
                </w:p>
              </w:tc>
              <w:tc>
                <w:tcPr>
                  <w:tcW w:w="696" w:type="dxa"/>
                  <w:vAlign w:val="center"/>
                </w:tcPr>
                <w:p w14:paraId="7CAC7D12">
                  <w:pPr>
                    <w:jc w:val="center"/>
                    <w:rPr>
                      <w:szCs w:val="21"/>
                    </w:rPr>
                  </w:pPr>
                  <w:r>
                    <w:rPr>
                      <w:rFonts w:hint="eastAsia"/>
                      <w:szCs w:val="21"/>
                    </w:rPr>
                    <w:t>24.1</w:t>
                  </w:r>
                </w:p>
              </w:tc>
              <w:tc>
                <w:tcPr>
                  <w:tcW w:w="803" w:type="dxa"/>
                  <w:vAlign w:val="center"/>
                </w:tcPr>
                <w:p w14:paraId="004721BD">
                  <w:pPr>
                    <w:jc w:val="center"/>
                    <w:rPr>
                      <w:szCs w:val="21"/>
                    </w:rPr>
                  </w:pPr>
                  <w:r>
                    <w:rPr>
                      <w:rFonts w:hint="eastAsia"/>
                      <w:szCs w:val="21"/>
                    </w:rPr>
                    <w:t>27.5</w:t>
                  </w:r>
                </w:p>
              </w:tc>
              <w:tc>
                <w:tcPr>
                  <w:tcW w:w="696" w:type="dxa"/>
                  <w:vAlign w:val="center"/>
                </w:tcPr>
                <w:p w14:paraId="43E60F6D">
                  <w:pPr>
                    <w:jc w:val="center"/>
                    <w:rPr>
                      <w:szCs w:val="21"/>
                    </w:rPr>
                  </w:pPr>
                  <w:r>
                    <w:rPr>
                      <w:rFonts w:hint="eastAsia"/>
                      <w:szCs w:val="21"/>
                    </w:rPr>
                    <w:t>23.1</w:t>
                  </w:r>
                </w:p>
              </w:tc>
              <w:tc>
                <w:tcPr>
                  <w:tcW w:w="699" w:type="dxa"/>
                  <w:vAlign w:val="center"/>
                </w:tcPr>
                <w:p w14:paraId="6BEA922D">
                  <w:pPr>
                    <w:jc w:val="center"/>
                    <w:rPr>
                      <w:szCs w:val="21"/>
                    </w:rPr>
                  </w:pPr>
                  <w:r>
                    <w:rPr>
                      <w:rFonts w:hint="eastAsia"/>
                      <w:szCs w:val="21"/>
                    </w:rPr>
                    <w:t>28.5</w:t>
                  </w:r>
                </w:p>
              </w:tc>
              <w:tc>
                <w:tcPr>
                  <w:tcW w:w="802" w:type="dxa"/>
                  <w:vAlign w:val="center"/>
                </w:tcPr>
                <w:p w14:paraId="20F6BED0">
                  <w:pPr>
                    <w:jc w:val="center"/>
                    <w:rPr>
                      <w:szCs w:val="21"/>
                    </w:rPr>
                  </w:pPr>
                  <w:r>
                    <w:rPr>
                      <w:rFonts w:hint="eastAsia"/>
                      <w:szCs w:val="21"/>
                    </w:rPr>
                    <w:t>25.4</w:t>
                  </w:r>
                </w:p>
              </w:tc>
              <w:tc>
                <w:tcPr>
                  <w:tcW w:w="802" w:type="dxa"/>
                  <w:vAlign w:val="center"/>
                </w:tcPr>
                <w:p w14:paraId="3502EBC8">
                  <w:pPr>
                    <w:jc w:val="center"/>
                    <w:rPr>
                      <w:szCs w:val="21"/>
                    </w:rPr>
                  </w:pPr>
                  <w:r>
                    <w:rPr>
                      <w:rFonts w:hint="eastAsia"/>
                      <w:szCs w:val="21"/>
                    </w:rPr>
                    <w:t>31.4</w:t>
                  </w:r>
                </w:p>
              </w:tc>
              <w:tc>
                <w:tcPr>
                  <w:tcW w:w="697" w:type="dxa"/>
                  <w:vAlign w:val="center"/>
                </w:tcPr>
                <w:p w14:paraId="4C1C36AA">
                  <w:pPr>
                    <w:widowControl/>
                    <w:jc w:val="center"/>
                    <w:textAlignment w:val="center"/>
                    <w:rPr>
                      <w:color w:val="000000"/>
                      <w:szCs w:val="21"/>
                    </w:rPr>
                  </w:pPr>
                  <w:r>
                    <w:rPr>
                      <w:rFonts w:hint="eastAsia"/>
                      <w:color w:val="000000"/>
                      <w:szCs w:val="21"/>
                    </w:rPr>
                    <w:t>24.2</w:t>
                  </w:r>
                </w:p>
              </w:tc>
              <w:tc>
                <w:tcPr>
                  <w:tcW w:w="805" w:type="dxa"/>
                  <w:vAlign w:val="center"/>
                </w:tcPr>
                <w:p w14:paraId="7169FDE2">
                  <w:pPr>
                    <w:widowControl/>
                    <w:jc w:val="center"/>
                    <w:textAlignment w:val="center"/>
                    <w:rPr>
                      <w:color w:val="000000"/>
                      <w:szCs w:val="21"/>
                    </w:rPr>
                  </w:pPr>
                  <w:r>
                    <w:rPr>
                      <w:rFonts w:hint="eastAsia"/>
                      <w:color w:val="000000"/>
                      <w:szCs w:val="21"/>
                    </w:rPr>
                    <w:t>29.1</w:t>
                  </w:r>
                </w:p>
              </w:tc>
              <w:tc>
                <w:tcPr>
                  <w:tcW w:w="824" w:type="dxa"/>
                  <w:vAlign w:val="center"/>
                </w:tcPr>
                <w:p w14:paraId="0A3DB70C">
                  <w:pPr>
                    <w:jc w:val="center"/>
                    <w:rPr>
                      <w:szCs w:val="21"/>
                    </w:rPr>
                  </w:pPr>
                  <w:r>
                    <w:rPr>
                      <w:rFonts w:hint="eastAsia"/>
                      <w:szCs w:val="21"/>
                    </w:rPr>
                    <w:t>mg/m</w:t>
                  </w:r>
                  <w:r>
                    <w:rPr>
                      <w:rFonts w:hint="eastAsia"/>
                      <w:szCs w:val="21"/>
                      <w:vertAlign w:val="superscript"/>
                    </w:rPr>
                    <w:t>3</w:t>
                  </w:r>
                </w:p>
              </w:tc>
            </w:tr>
            <w:tr w14:paraId="5E37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4AEAC9D5">
                  <w:pPr>
                    <w:jc w:val="center"/>
                    <w:rPr>
                      <w:rFonts w:hint="eastAsia" w:ascii="宋体" w:hAnsi="宋体" w:cs="宋体"/>
                      <w:szCs w:val="21"/>
                    </w:rPr>
                  </w:pPr>
                </w:p>
              </w:tc>
              <w:tc>
                <w:tcPr>
                  <w:tcW w:w="1200" w:type="dxa"/>
                  <w:vAlign w:val="center"/>
                </w:tcPr>
                <w:p w14:paraId="2C4DDD07">
                  <w:pPr>
                    <w:jc w:val="center"/>
                    <w:rPr>
                      <w:rFonts w:hint="eastAsia" w:ascii="宋体" w:hAnsi="宋体" w:cs="宋体"/>
                      <w:bCs/>
                      <w:szCs w:val="21"/>
                    </w:rPr>
                  </w:pPr>
                  <w:r>
                    <w:rPr>
                      <w:rFonts w:hint="eastAsia" w:ascii="宋体" w:hAnsi="宋体" w:cs="宋体"/>
                      <w:bCs/>
                      <w:szCs w:val="21"/>
                    </w:rPr>
                    <w:t>烟气黑度</w:t>
                  </w:r>
                </w:p>
              </w:tc>
              <w:tc>
                <w:tcPr>
                  <w:tcW w:w="6000" w:type="dxa"/>
                  <w:gridSpan w:val="8"/>
                  <w:vAlign w:val="center"/>
                </w:tcPr>
                <w:p w14:paraId="4E38CA2B">
                  <w:pPr>
                    <w:widowControl/>
                    <w:jc w:val="center"/>
                    <w:textAlignment w:val="center"/>
                    <w:rPr>
                      <w:bCs/>
                      <w:szCs w:val="21"/>
                    </w:rPr>
                  </w:pPr>
                  <w:r>
                    <w:rPr>
                      <w:bCs/>
                      <w:szCs w:val="21"/>
                    </w:rPr>
                    <w:t>&lt;1</w:t>
                  </w:r>
                </w:p>
              </w:tc>
              <w:tc>
                <w:tcPr>
                  <w:tcW w:w="824" w:type="dxa"/>
                  <w:vAlign w:val="center"/>
                </w:tcPr>
                <w:p w14:paraId="73B0BC5E">
                  <w:pPr>
                    <w:jc w:val="center"/>
                    <w:rPr>
                      <w:szCs w:val="21"/>
                    </w:rPr>
                  </w:pPr>
                  <w:r>
                    <w:rPr>
                      <w:rFonts w:hint="eastAsia"/>
                      <w:szCs w:val="21"/>
                    </w:rPr>
                    <w:t>级</w:t>
                  </w:r>
                </w:p>
              </w:tc>
            </w:tr>
            <w:tr w14:paraId="070B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3C029C96">
                  <w:pPr>
                    <w:jc w:val="center"/>
                    <w:rPr>
                      <w:rFonts w:hint="eastAsia" w:ascii="宋体" w:hAnsi="宋体" w:cs="宋体"/>
                      <w:szCs w:val="21"/>
                    </w:rPr>
                  </w:pPr>
                </w:p>
              </w:tc>
              <w:tc>
                <w:tcPr>
                  <w:tcW w:w="1200" w:type="dxa"/>
                  <w:vAlign w:val="center"/>
                </w:tcPr>
                <w:p w14:paraId="4B3DE80E">
                  <w:pPr>
                    <w:jc w:val="center"/>
                    <w:rPr>
                      <w:rFonts w:hint="eastAsia" w:ascii="宋体" w:hAnsi="宋体" w:cs="宋体"/>
                      <w:b/>
                      <w:szCs w:val="21"/>
                    </w:rPr>
                  </w:pPr>
                  <w:r>
                    <w:rPr>
                      <w:rFonts w:hint="eastAsia" w:ascii="宋体" w:hAnsi="宋体" w:cs="宋体"/>
                      <w:szCs w:val="21"/>
                    </w:rPr>
                    <w:t>烟气流量</w:t>
                  </w:r>
                </w:p>
              </w:tc>
              <w:tc>
                <w:tcPr>
                  <w:tcW w:w="1499" w:type="dxa"/>
                  <w:gridSpan w:val="2"/>
                  <w:vAlign w:val="center"/>
                </w:tcPr>
                <w:p w14:paraId="20FC3874">
                  <w:pPr>
                    <w:jc w:val="center"/>
                    <w:rPr>
                      <w:szCs w:val="21"/>
                    </w:rPr>
                  </w:pPr>
                  <w:r>
                    <w:rPr>
                      <w:rFonts w:hint="eastAsia"/>
                      <w:szCs w:val="21"/>
                    </w:rPr>
                    <w:t>16184</w:t>
                  </w:r>
                </w:p>
              </w:tc>
              <w:tc>
                <w:tcPr>
                  <w:tcW w:w="1395" w:type="dxa"/>
                  <w:gridSpan w:val="2"/>
                  <w:vAlign w:val="center"/>
                </w:tcPr>
                <w:p w14:paraId="070E8C0B">
                  <w:pPr>
                    <w:jc w:val="center"/>
                    <w:rPr>
                      <w:szCs w:val="21"/>
                    </w:rPr>
                  </w:pPr>
                  <w:r>
                    <w:rPr>
                      <w:rFonts w:hint="eastAsia"/>
                      <w:szCs w:val="21"/>
                    </w:rPr>
                    <w:t>15370</w:t>
                  </w:r>
                </w:p>
              </w:tc>
              <w:tc>
                <w:tcPr>
                  <w:tcW w:w="1604" w:type="dxa"/>
                  <w:gridSpan w:val="2"/>
                  <w:vAlign w:val="center"/>
                </w:tcPr>
                <w:p w14:paraId="541F2390">
                  <w:pPr>
                    <w:jc w:val="center"/>
                    <w:rPr>
                      <w:szCs w:val="21"/>
                    </w:rPr>
                  </w:pPr>
                  <w:r>
                    <w:rPr>
                      <w:rFonts w:hint="eastAsia"/>
                      <w:szCs w:val="21"/>
                    </w:rPr>
                    <w:t>15981</w:t>
                  </w:r>
                </w:p>
              </w:tc>
              <w:tc>
                <w:tcPr>
                  <w:tcW w:w="1502" w:type="dxa"/>
                  <w:gridSpan w:val="2"/>
                  <w:vAlign w:val="center"/>
                </w:tcPr>
                <w:p w14:paraId="49A4338A">
                  <w:pPr>
                    <w:jc w:val="center"/>
                    <w:rPr>
                      <w:szCs w:val="21"/>
                    </w:rPr>
                  </w:pPr>
                  <w:r>
                    <w:rPr>
                      <w:rFonts w:hint="eastAsia"/>
                      <w:szCs w:val="21"/>
                    </w:rPr>
                    <w:t>15845</w:t>
                  </w:r>
                </w:p>
              </w:tc>
              <w:tc>
                <w:tcPr>
                  <w:tcW w:w="824" w:type="dxa"/>
                  <w:vAlign w:val="center"/>
                </w:tcPr>
                <w:p w14:paraId="3B5A0203">
                  <w:pPr>
                    <w:jc w:val="center"/>
                    <w:rPr>
                      <w:szCs w:val="21"/>
                    </w:rPr>
                  </w:pPr>
                  <w:r>
                    <w:rPr>
                      <w:szCs w:val="21"/>
                    </w:rPr>
                    <w:t>m</w:t>
                  </w:r>
                  <w:r>
                    <w:rPr>
                      <w:szCs w:val="21"/>
                      <w:vertAlign w:val="superscript"/>
                    </w:rPr>
                    <w:t>3</w:t>
                  </w:r>
                  <w:r>
                    <w:rPr>
                      <w:szCs w:val="21"/>
                    </w:rPr>
                    <w:t>/h</w:t>
                  </w:r>
                </w:p>
              </w:tc>
            </w:tr>
            <w:tr w14:paraId="6D91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6FC9944A">
                  <w:pPr>
                    <w:jc w:val="center"/>
                    <w:rPr>
                      <w:rFonts w:hint="eastAsia" w:ascii="宋体" w:hAnsi="宋体" w:cs="宋体"/>
                      <w:szCs w:val="21"/>
                    </w:rPr>
                  </w:pPr>
                </w:p>
              </w:tc>
              <w:tc>
                <w:tcPr>
                  <w:tcW w:w="1200" w:type="dxa"/>
                  <w:vAlign w:val="center"/>
                </w:tcPr>
                <w:p w14:paraId="234ADB63">
                  <w:pPr>
                    <w:jc w:val="center"/>
                    <w:rPr>
                      <w:rFonts w:hint="eastAsia" w:ascii="宋体" w:hAnsi="宋体" w:cs="宋体"/>
                      <w:b/>
                      <w:szCs w:val="21"/>
                    </w:rPr>
                  </w:pPr>
                  <w:r>
                    <w:rPr>
                      <w:rFonts w:hint="eastAsia" w:ascii="宋体" w:hAnsi="宋体" w:cs="宋体"/>
                      <w:szCs w:val="21"/>
                    </w:rPr>
                    <w:t>烟气</w:t>
                  </w:r>
                  <w:r>
                    <w:rPr>
                      <w:rFonts w:hint="eastAsia" w:ascii="宋体" w:hAnsi="宋体" w:cs="宋体"/>
                      <w:bCs/>
                      <w:szCs w:val="21"/>
                    </w:rPr>
                    <w:t>含氧量</w:t>
                  </w:r>
                </w:p>
              </w:tc>
              <w:tc>
                <w:tcPr>
                  <w:tcW w:w="1499" w:type="dxa"/>
                  <w:gridSpan w:val="2"/>
                  <w:vAlign w:val="center"/>
                </w:tcPr>
                <w:p w14:paraId="09CF2C3A">
                  <w:pPr>
                    <w:jc w:val="center"/>
                    <w:rPr>
                      <w:szCs w:val="21"/>
                    </w:rPr>
                  </w:pPr>
                  <w:r>
                    <w:rPr>
                      <w:rFonts w:hint="eastAsia"/>
                      <w:szCs w:val="21"/>
                    </w:rPr>
                    <w:t>11.23</w:t>
                  </w:r>
                </w:p>
              </w:tc>
              <w:tc>
                <w:tcPr>
                  <w:tcW w:w="1395" w:type="dxa"/>
                  <w:gridSpan w:val="2"/>
                  <w:vAlign w:val="center"/>
                </w:tcPr>
                <w:p w14:paraId="6BE05694">
                  <w:pPr>
                    <w:jc w:val="center"/>
                    <w:rPr>
                      <w:szCs w:val="21"/>
                    </w:rPr>
                  </w:pPr>
                  <w:r>
                    <w:rPr>
                      <w:rFonts w:hint="eastAsia"/>
                      <w:szCs w:val="21"/>
                    </w:rPr>
                    <w:t>11.30</w:t>
                  </w:r>
                </w:p>
              </w:tc>
              <w:tc>
                <w:tcPr>
                  <w:tcW w:w="1604" w:type="dxa"/>
                  <w:gridSpan w:val="2"/>
                  <w:vAlign w:val="center"/>
                </w:tcPr>
                <w:p w14:paraId="18665DBC">
                  <w:pPr>
                    <w:jc w:val="center"/>
                    <w:rPr>
                      <w:szCs w:val="21"/>
                    </w:rPr>
                  </w:pPr>
                  <w:r>
                    <w:rPr>
                      <w:rFonts w:hint="eastAsia"/>
                      <w:szCs w:val="21"/>
                    </w:rPr>
                    <w:t>11.36</w:t>
                  </w:r>
                </w:p>
              </w:tc>
              <w:tc>
                <w:tcPr>
                  <w:tcW w:w="1502" w:type="dxa"/>
                  <w:gridSpan w:val="2"/>
                  <w:vAlign w:val="center"/>
                </w:tcPr>
                <w:p w14:paraId="2A26B36A">
                  <w:pPr>
                    <w:jc w:val="center"/>
                    <w:rPr>
                      <w:szCs w:val="21"/>
                    </w:rPr>
                  </w:pPr>
                  <w:r>
                    <w:rPr>
                      <w:rFonts w:hint="eastAsia"/>
                      <w:szCs w:val="21"/>
                    </w:rPr>
                    <w:t>11.30</w:t>
                  </w:r>
                </w:p>
              </w:tc>
              <w:tc>
                <w:tcPr>
                  <w:tcW w:w="824" w:type="dxa"/>
                  <w:vAlign w:val="center"/>
                </w:tcPr>
                <w:p w14:paraId="29BDB33D">
                  <w:pPr>
                    <w:jc w:val="center"/>
                    <w:rPr>
                      <w:szCs w:val="21"/>
                    </w:rPr>
                  </w:pPr>
                  <w:r>
                    <w:rPr>
                      <w:szCs w:val="21"/>
                    </w:rPr>
                    <w:t>%</w:t>
                  </w:r>
                </w:p>
              </w:tc>
            </w:tr>
            <w:tr w14:paraId="115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restart"/>
                  <w:vAlign w:val="center"/>
                </w:tcPr>
                <w:p w14:paraId="144FB443">
                  <w:pPr>
                    <w:jc w:val="center"/>
                    <w:rPr>
                      <w:szCs w:val="21"/>
                    </w:rPr>
                  </w:pPr>
                  <w:r>
                    <w:rPr>
                      <w:szCs w:val="21"/>
                    </w:rPr>
                    <w:t>蒸汽发生器燃烧废气</w:t>
                  </w:r>
                </w:p>
                <w:p w14:paraId="50C338E5">
                  <w:pPr>
                    <w:jc w:val="center"/>
                    <w:rPr>
                      <w:rFonts w:hint="eastAsia" w:ascii="宋体" w:hAnsi="宋体" w:cs="宋体"/>
                      <w:szCs w:val="21"/>
                    </w:rPr>
                  </w:pPr>
                  <w:r>
                    <w:rPr>
                      <w:szCs w:val="21"/>
                    </w:rPr>
                    <w:t>（DA001）</w:t>
                  </w:r>
                  <w:r>
                    <w:rPr>
                      <w:rFonts w:hint="eastAsia"/>
                      <w:szCs w:val="21"/>
                    </w:rPr>
                    <w:t>（5月23日）</w:t>
                  </w:r>
                </w:p>
              </w:tc>
              <w:tc>
                <w:tcPr>
                  <w:tcW w:w="1200" w:type="dxa"/>
                  <w:vAlign w:val="center"/>
                </w:tcPr>
                <w:p w14:paraId="6C6A78C3">
                  <w:pPr>
                    <w:jc w:val="center"/>
                    <w:rPr>
                      <w:rFonts w:hint="eastAsia" w:ascii="宋体" w:hAnsi="宋体" w:cs="宋体"/>
                      <w:szCs w:val="21"/>
                    </w:rPr>
                  </w:pPr>
                  <w:r>
                    <w:rPr>
                      <w:rFonts w:hint="eastAsia" w:ascii="宋体" w:hAnsi="宋体" w:cs="宋体"/>
                      <w:bCs/>
                      <w:szCs w:val="21"/>
                    </w:rPr>
                    <w:t>二氧化硫</w:t>
                  </w:r>
                </w:p>
              </w:tc>
              <w:tc>
                <w:tcPr>
                  <w:tcW w:w="696" w:type="dxa"/>
                  <w:vAlign w:val="center"/>
                </w:tcPr>
                <w:p w14:paraId="4BA7CD4C">
                  <w:pPr>
                    <w:jc w:val="center"/>
                    <w:rPr>
                      <w:szCs w:val="21"/>
                    </w:rPr>
                  </w:pPr>
                  <w:r>
                    <w:rPr>
                      <w:rFonts w:hint="eastAsia"/>
                      <w:szCs w:val="21"/>
                    </w:rPr>
                    <w:t>91</w:t>
                  </w:r>
                </w:p>
              </w:tc>
              <w:tc>
                <w:tcPr>
                  <w:tcW w:w="803" w:type="dxa"/>
                  <w:vAlign w:val="center"/>
                </w:tcPr>
                <w:p w14:paraId="7F7BAB35">
                  <w:pPr>
                    <w:jc w:val="center"/>
                    <w:rPr>
                      <w:szCs w:val="21"/>
                    </w:rPr>
                  </w:pPr>
                  <w:r>
                    <w:rPr>
                      <w:rFonts w:hint="eastAsia"/>
                      <w:szCs w:val="21"/>
                    </w:rPr>
                    <w:t>115</w:t>
                  </w:r>
                </w:p>
              </w:tc>
              <w:tc>
                <w:tcPr>
                  <w:tcW w:w="696" w:type="dxa"/>
                  <w:vAlign w:val="center"/>
                </w:tcPr>
                <w:p w14:paraId="4663FED9">
                  <w:pPr>
                    <w:jc w:val="center"/>
                    <w:rPr>
                      <w:szCs w:val="21"/>
                    </w:rPr>
                  </w:pPr>
                  <w:r>
                    <w:rPr>
                      <w:rFonts w:hint="eastAsia"/>
                      <w:szCs w:val="21"/>
                    </w:rPr>
                    <w:t>97</w:t>
                  </w:r>
                </w:p>
              </w:tc>
              <w:tc>
                <w:tcPr>
                  <w:tcW w:w="699" w:type="dxa"/>
                  <w:vAlign w:val="center"/>
                </w:tcPr>
                <w:p w14:paraId="0534A892">
                  <w:pPr>
                    <w:jc w:val="center"/>
                    <w:rPr>
                      <w:szCs w:val="21"/>
                    </w:rPr>
                  </w:pPr>
                  <w:r>
                    <w:rPr>
                      <w:rFonts w:hint="eastAsia"/>
                      <w:szCs w:val="21"/>
                    </w:rPr>
                    <w:t>123</w:t>
                  </w:r>
                </w:p>
              </w:tc>
              <w:tc>
                <w:tcPr>
                  <w:tcW w:w="802" w:type="dxa"/>
                  <w:vAlign w:val="center"/>
                </w:tcPr>
                <w:p w14:paraId="5033A56E">
                  <w:pPr>
                    <w:jc w:val="center"/>
                    <w:rPr>
                      <w:szCs w:val="21"/>
                    </w:rPr>
                  </w:pPr>
                  <w:r>
                    <w:rPr>
                      <w:rFonts w:hint="eastAsia"/>
                      <w:szCs w:val="21"/>
                    </w:rPr>
                    <w:t>97</w:t>
                  </w:r>
                </w:p>
              </w:tc>
              <w:tc>
                <w:tcPr>
                  <w:tcW w:w="802" w:type="dxa"/>
                  <w:vAlign w:val="center"/>
                </w:tcPr>
                <w:p w14:paraId="685E563C">
                  <w:pPr>
                    <w:jc w:val="center"/>
                    <w:rPr>
                      <w:szCs w:val="21"/>
                    </w:rPr>
                  </w:pPr>
                  <w:r>
                    <w:rPr>
                      <w:rFonts w:hint="eastAsia"/>
                      <w:szCs w:val="21"/>
                    </w:rPr>
                    <w:t>123</w:t>
                  </w:r>
                </w:p>
              </w:tc>
              <w:tc>
                <w:tcPr>
                  <w:tcW w:w="697" w:type="dxa"/>
                  <w:vAlign w:val="center"/>
                </w:tcPr>
                <w:p w14:paraId="061F1D82">
                  <w:pPr>
                    <w:jc w:val="center"/>
                    <w:rPr>
                      <w:szCs w:val="21"/>
                    </w:rPr>
                  </w:pPr>
                  <w:r>
                    <w:rPr>
                      <w:rFonts w:hint="eastAsia"/>
                      <w:szCs w:val="21"/>
                    </w:rPr>
                    <w:t>95</w:t>
                  </w:r>
                </w:p>
              </w:tc>
              <w:tc>
                <w:tcPr>
                  <w:tcW w:w="805" w:type="dxa"/>
                  <w:vAlign w:val="center"/>
                </w:tcPr>
                <w:p w14:paraId="72BBB24E">
                  <w:pPr>
                    <w:jc w:val="center"/>
                    <w:rPr>
                      <w:szCs w:val="21"/>
                    </w:rPr>
                  </w:pPr>
                  <w:r>
                    <w:rPr>
                      <w:rFonts w:hint="eastAsia"/>
                      <w:szCs w:val="21"/>
                    </w:rPr>
                    <w:t>120</w:t>
                  </w:r>
                </w:p>
              </w:tc>
              <w:tc>
                <w:tcPr>
                  <w:tcW w:w="824" w:type="dxa"/>
                  <w:vAlign w:val="center"/>
                </w:tcPr>
                <w:p w14:paraId="25B44F60">
                  <w:pPr>
                    <w:jc w:val="center"/>
                    <w:rPr>
                      <w:szCs w:val="21"/>
                    </w:rPr>
                  </w:pPr>
                  <w:r>
                    <w:rPr>
                      <w:rFonts w:hint="eastAsia"/>
                      <w:szCs w:val="21"/>
                    </w:rPr>
                    <w:t>mg/m</w:t>
                  </w:r>
                  <w:r>
                    <w:rPr>
                      <w:rFonts w:hint="eastAsia"/>
                      <w:szCs w:val="21"/>
                      <w:vertAlign w:val="superscript"/>
                    </w:rPr>
                    <w:t>3</w:t>
                  </w:r>
                </w:p>
              </w:tc>
            </w:tr>
            <w:tr w14:paraId="1B61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2747A342">
                  <w:pPr>
                    <w:jc w:val="center"/>
                    <w:rPr>
                      <w:rFonts w:hint="eastAsia" w:ascii="宋体" w:hAnsi="宋体" w:cs="宋体"/>
                      <w:szCs w:val="21"/>
                    </w:rPr>
                  </w:pPr>
                </w:p>
              </w:tc>
              <w:tc>
                <w:tcPr>
                  <w:tcW w:w="1200" w:type="dxa"/>
                  <w:vAlign w:val="center"/>
                </w:tcPr>
                <w:p w14:paraId="024EF5DE">
                  <w:pPr>
                    <w:jc w:val="center"/>
                    <w:rPr>
                      <w:rFonts w:hint="eastAsia" w:ascii="宋体" w:hAnsi="宋体" w:cs="宋体"/>
                      <w:szCs w:val="21"/>
                    </w:rPr>
                  </w:pPr>
                  <w:r>
                    <w:rPr>
                      <w:rFonts w:hint="eastAsia" w:ascii="宋体" w:hAnsi="宋体" w:cs="宋体"/>
                      <w:bCs/>
                      <w:szCs w:val="21"/>
                    </w:rPr>
                    <w:t>氮氧化物</w:t>
                  </w:r>
                </w:p>
              </w:tc>
              <w:tc>
                <w:tcPr>
                  <w:tcW w:w="696" w:type="dxa"/>
                  <w:vAlign w:val="center"/>
                </w:tcPr>
                <w:p w14:paraId="2A3B05CA">
                  <w:pPr>
                    <w:jc w:val="center"/>
                    <w:rPr>
                      <w:szCs w:val="21"/>
                    </w:rPr>
                  </w:pPr>
                  <w:r>
                    <w:rPr>
                      <w:rFonts w:hint="eastAsia"/>
                      <w:szCs w:val="21"/>
                    </w:rPr>
                    <w:t>86</w:t>
                  </w:r>
                </w:p>
              </w:tc>
              <w:tc>
                <w:tcPr>
                  <w:tcW w:w="803" w:type="dxa"/>
                  <w:vAlign w:val="center"/>
                </w:tcPr>
                <w:p w14:paraId="3559DC72">
                  <w:pPr>
                    <w:jc w:val="center"/>
                    <w:rPr>
                      <w:szCs w:val="21"/>
                    </w:rPr>
                  </w:pPr>
                  <w:r>
                    <w:rPr>
                      <w:rFonts w:hint="eastAsia"/>
                      <w:szCs w:val="21"/>
                    </w:rPr>
                    <w:t>108</w:t>
                  </w:r>
                </w:p>
              </w:tc>
              <w:tc>
                <w:tcPr>
                  <w:tcW w:w="696" w:type="dxa"/>
                  <w:vAlign w:val="center"/>
                </w:tcPr>
                <w:p w14:paraId="536AC586">
                  <w:pPr>
                    <w:jc w:val="center"/>
                    <w:rPr>
                      <w:szCs w:val="21"/>
                    </w:rPr>
                  </w:pPr>
                  <w:r>
                    <w:rPr>
                      <w:rFonts w:hint="eastAsia"/>
                      <w:szCs w:val="21"/>
                    </w:rPr>
                    <w:t>90</w:t>
                  </w:r>
                </w:p>
              </w:tc>
              <w:tc>
                <w:tcPr>
                  <w:tcW w:w="699" w:type="dxa"/>
                  <w:vAlign w:val="center"/>
                </w:tcPr>
                <w:p w14:paraId="422883CA">
                  <w:pPr>
                    <w:jc w:val="center"/>
                    <w:rPr>
                      <w:szCs w:val="21"/>
                    </w:rPr>
                  </w:pPr>
                  <w:r>
                    <w:rPr>
                      <w:rFonts w:hint="eastAsia"/>
                      <w:szCs w:val="21"/>
                    </w:rPr>
                    <w:t>114</w:t>
                  </w:r>
                </w:p>
              </w:tc>
              <w:tc>
                <w:tcPr>
                  <w:tcW w:w="802" w:type="dxa"/>
                  <w:vAlign w:val="center"/>
                </w:tcPr>
                <w:p w14:paraId="2754BB9E">
                  <w:pPr>
                    <w:jc w:val="center"/>
                    <w:rPr>
                      <w:szCs w:val="21"/>
                    </w:rPr>
                  </w:pPr>
                  <w:r>
                    <w:rPr>
                      <w:rFonts w:hint="eastAsia"/>
                      <w:szCs w:val="21"/>
                    </w:rPr>
                    <w:t>90</w:t>
                  </w:r>
                </w:p>
              </w:tc>
              <w:tc>
                <w:tcPr>
                  <w:tcW w:w="802" w:type="dxa"/>
                  <w:vAlign w:val="center"/>
                </w:tcPr>
                <w:p w14:paraId="78AE7110">
                  <w:pPr>
                    <w:jc w:val="center"/>
                    <w:rPr>
                      <w:szCs w:val="21"/>
                    </w:rPr>
                  </w:pPr>
                  <w:r>
                    <w:rPr>
                      <w:rFonts w:hint="eastAsia"/>
                      <w:szCs w:val="21"/>
                    </w:rPr>
                    <w:t>115</w:t>
                  </w:r>
                </w:p>
              </w:tc>
              <w:tc>
                <w:tcPr>
                  <w:tcW w:w="697" w:type="dxa"/>
                  <w:vAlign w:val="center"/>
                </w:tcPr>
                <w:p w14:paraId="57347CC1">
                  <w:pPr>
                    <w:jc w:val="center"/>
                    <w:rPr>
                      <w:szCs w:val="21"/>
                    </w:rPr>
                  </w:pPr>
                  <w:r>
                    <w:rPr>
                      <w:rFonts w:hint="eastAsia"/>
                      <w:szCs w:val="21"/>
                    </w:rPr>
                    <w:t>89</w:t>
                  </w:r>
                </w:p>
              </w:tc>
              <w:tc>
                <w:tcPr>
                  <w:tcW w:w="805" w:type="dxa"/>
                  <w:vAlign w:val="center"/>
                </w:tcPr>
                <w:p w14:paraId="13A2E164">
                  <w:pPr>
                    <w:jc w:val="center"/>
                    <w:rPr>
                      <w:szCs w:val="21"/>
                    </w:rPr>
                  </w:pPr>
                  <w:r>
                    <w:rPr>
                      <w:rFonts w:hint="eastAsia"/>
                      <w:szCs w:val="21"/>
                    </w:rPr>
                    <w:t>112</w:t>
                  </w:r>
                </w:p>
              </w:tc>
              <w:tc>
                <w:tcPr>
                  <w:tcW w:w="824" w:type="dxa"/>
                  <w:vAlign w:val="center"/>
                </w:tcPr>
                <w:p w14:paraId="6AAD74AB">
                  <w:pPr>
                    <w:jc w:val="center"/>
                    <w:rPr>
                      <w:szCs w:val="21"/>
                    </w:rPr>
                  </w:pPr>
                  <w:r>
                    <w:rPr>
                      <w:rFonts w:hint="eastAsia"/>
                      <w:szCs w:val="21"/>
                    </w:rPr>
                    <w:t>mg/m</w:t>
                  </w:r>
                  <w:r>
                    <w:rPr>
                      <w:rFonts w:hint="eastAsia"/>
                      <w:szCs w:val="21"/>
                      <w:vertAlign w:val="superscript"/>
                    </w:rPr>
                    <w:t>3</w:t>
                  </w:r>
                </w:p>
              </w:tc>
            </w:tr>
            <w:tr w14:paraId="4029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0FE67F24">
                  <w:pPr>
                    <w:jc w:val="center"/>
                    <w:rPr>
                      <w:rFonts w:hint="eastAsia" w:ascii="宋体" w:hAnsi="宋体" w:cs="宋体"/>
                      <w:szCs w:val="21"/>
                    </w:rPr>
                  </w:pPr>
                </w:p>
              </w:tc>
              <w:tc>
                <w:tcPr>
                  <w:tcW w:w="1200" w:type="dxa"/>
                  <w:vAlign w:val="center"/>
                </w:tcPr>
                <w:p w14:paraId="18A830EB">
                  <w:pPr>
                    <w:jc w:val="center"/>
                    <w:rPr>
                      <w:rFonts w:hint="eastAsia" w:ascii="宋体" w:hAnsi="宋体" w:cs="宋体"/>
                      <w:szCs w:val="21"/>
                    </w:rPr>
                  </w:pPr>
                  <w:r>
                    <w:rPr>
                      <w:rFonts w:hint="eastAsia" w:ascii="宋体" w:hAnsi="宋体" w:cs="宋体"/>
                      <w:szCs w:val="21"/>
                    </w:rPr>
                    <w:t>颗粒物</w:t>
                  </w:r>
                </w:p>
              </w:tc>
              <w:tc>
                <w:tcPr>
                  <w:tcW w:w="696" w:type="dxa"/>
                  <w:vAlign w:val="center"/>
                </w:tcPr>
                <w:p w14:paraId="07695AA0">
                  <w:pPr>
                    <w:jc w:val="center"/>
                    <w:rPr>
                      <w:szCs w:val="21"/>
                    </w:rPr>
                  </w:pPr>
                  <w:r>
                    <w:rPr>
                      <w:rFonts w:hint="eastAsia"/>
                      <w:szCs w:val="21"/>
                    </w:rPr>
                    <w:t>14.6</w:t>
                  </w:r>
                </w:p>
              </w:tc>
              <w:tc>
                <w:tcPr>
                  <w:tcW w:w="803" w:type="dxa"/>
                  <w:vAlign w:val="center"/>
                </w:tcPr>
                <w:p w14:paraId="6FC668E4">
                  <w:pPr>
                    <w:jc w:val="center"/>
                    <w:rPr>
                      <w:szCs w:val="21"/>
                    </w:rPr>
                  </w:pPr>
                  <w:r>
                    <w:rPr>
                      <w:rFonts w:hint="eastAsia"/>
                      <w:szCs w:val="21"/>
                    </w:rPr>
                    <w:t>18.1</w:t>
                  </w:r>
                </w:p>
              </w:tc>
              <w:tc>
                <w:tcPr>
                  <w:tcW w:w="696" w:type="dxa"/>
                  <w:vAlign w:val="center"/>
                </w:tcPr>
                <w:p w14:paraId="29B2D895">
                  <w:pPr>
                    <w:jc w:val="center"/>
                    <w:rPr>
                      <w:szCs w:val="21"/>
                    </w:rPr>
                  </w:pPr>
                  <w:r>
                    <w:rPr>
                      <w:rFonts w:hint="eastAsia"/>
                      <w:szCs w:val="21"/>
                    </w:rPr>
                    <w:t>15.7</w:t>
                  </w:r>
                </w:p>
              </w:tc>
              <w:tc>
                <w:tcPr>
                  <w:tcW w:w="699" w:type="dxa"/>
                  <w:vAlign w:val="center"/>
                </w:tcPr>
                <w:p w14:paraId="4D2B9961">
                  <w:pPr>
                    <w:jc w:val="center"/>
                    <w:rPr>
                      <w:szCs w:val="21"/>
                    </w:rPr>
                  </w:pPr>
                  <w:r>
                    <w:rPr>
                      <w:rFonts w:hint="eastAsia"/>
                      <w:szCs w:val="21"/>
                    </w:rPr>
                    <w:t>19.7</w:t>
                  </w:r>
                </w:p>
              </w:tc>
              <w:tc>
                <w:tcPr>
                  <w:tcW w:w="802" w:type="dxa"/>
                  <w:vAlign w:val="center"/>
                </w:tcPr>
                <w:p w14:paraId="1CA8027F">
                  <w:pPr>
                    <w:jc w:val="center"/>
                    <w:rPr>
                      <w:szCs w:val="21"/>
                    </w:rPr>
                  </w:pPr>
                  <w:r>
                    <w:rPr>
                      <w:rFonts w:hint="eastAsia"/>
                      <w:szCs w:val="21"/>
                    </w:rPr>
                    <w:t>16.4</w:t>
                  </w:r>
                </w:p>
              </w:tc>
              <w:tc>
                <w:tcPr>
                  <w:tcW w:w="802" w:type="dxa"/>
                  <w:vAlign w:val="center"/>
                </w:tcPr>
                <w:p w14:paraId="747476F5">
                  <w:pPr>
                    <w:jc w:val="center"/>
                    <w:rPr>
                      <w:szCs w:val="21"/>
                    </w:rPr>
                  </w:pPr>
                  <w:r>
                    <w:rPr>
                      <w:rFonts w:hint="eastAsia"/>
                      <w:szCs w:val="21"/>
                    </w:rPr>
                    <w:t>20.8</w:t>
                  </w:r>
                </w:p>
              </w:tc>
              <w:tc>
                <w:tcPr>
                  <w:tcW w:w="697" w:type="dxa"/>
                  <w:vAlign w:val="center"/>
                </w:tcPr>
                <w:p w14:paraId="33049761">
                  <w:pPr>
                    <w:jc w:val="center"/>
                    <w:rPr>
                      <w:szCs w:val="21"/>
                    </w:rPr>
                  </w:pPr>
                  <w:r>
                    <w:rPr>
                      <w:rFonts w:hint="eastAsia"/>
                      <w:szCs w:val="21"/>
                    </w:rPr>
                    <w:t>15.6</w:t>
                  </w:r>
                </w:p>
              </w:tc>
              <w:tc>
                <w:tcPr>
                  <w:tcW w:w="805" w:type="dxa"/>
                  <w:vAlign w:val="center"/>
                </w:tcPr>
                <w:p w14:paraId="5230402D">
                  <w:pPr>
                    <w:jc w:val="center"/>
                    <w:rPr>
                      <w:szCs w:val="21"/>
                    </w:rPr>
                  </w:pPr>
                  <w:r>
                    <w:rPr>
                      <w:rFonts w:hint="eastAsia"/>
                      <w:szCs w:val="21"/>
                    </w:rPr>
                    <w:t>19.5</w:t>
                  </w:r>
                </w:p>
              </w:tc>
              <w:tc>
                <w:tcPr>
                  <w:tcW w:w="824" w:type="dxa"/>
                  <w:vAlign w:val="center"/>
                </w:tcPr>
                <w:p w14:paraId="201AD352">
                  <w:pPr>
                    <w:jc w:val="center"/>
                    <w:rPr>
                      <w:szCs w:val="21"/>
                    </w:rPr>
                  </w:pPr>
                  <w:r>
                    <w:rPr>
                      <w:rFonts w:hint="eastAsia"/>
                      <w:szCs w:val="21"/>
                    </w:rPr>
                    <w:t>mg/m</w:t>
                  </w:r>
                  <w:r>
                    <w:rPr>
                      <w:rFonts w:hint="eastAsia"/>
                      <w:szCs w:val="21"/>
                      <w:vertAlign w:val="superscript"/>
                    </w:rPr>
                    <w:t>3</w:t>
                  </w:r>
                </w:p>
              </w:tc>
            </w:tr>
            <w:tr w14:paraId="036A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72B3AF20">
                  <w:pPr>
                    <w:jc w:val="center"/>
                    <w:rPr>
                      <w:rFonts w:hint="eastAsia" w:ascii="宋体" w:hAnsi="宋体" w:cs="宋体"/>
                      <w:szCs w:val="21"/>
                    </w:rPr>
                  </w:pPr>
                </w:p>
              </w:tc>
              <w:tc>
                <w:tcPr>
                  <w:tcW w:w="1200" w:type="dxa"/>
                  <w:vAlign w:val="center"/>
                </w:tcPr>
                <w:p w14:paraId="72524AD2">
                  <w:pPr>
                    <w:jc w:val="center"/>
                    <w:rPr>
                      <w:szCs w:val="21"/>
                    </w:rPr>
                  </w:pPr>
                  <w:r>
                    <w:rPr>
                      <w:bCs/>
                      <w:szCs w:val="21"/>
                    </w:rPr>
                    <w:t>烟气黑度</w:t>
                  </w:r>
                </w:p>
              </w:tc>
              <w:tc>
                <w:tcPr>
                  <w:tcW w:w="6000" w:type="dxa"/>
                  <w:gridSpan w:val="8"/>
                  <w:vAlign w:val="center"/>
                </w:tcPr>
                <w:p w14:paraId="09C33BC3">
                  <w:pPr>
                    <w:jc w:val="center"/>
                    <w:rPr>
                      <w:szCs w:val="21"/>
                    </w:rPr>
                  </w:pPr>
                  <w:r>
                    <w:rPr>
                      <w:bCs/>
                      <w:szCs w:val="21"/>
                    </w:rPr>
                    <w:t>&lt;1</w:t>
                  </w:r>
                </w:p>
              </w:tc>
              <w:tc>
                <w:tcPr>
                  <w:tcW w:w="824" w:type="dxa"/>
                  <w:vAlign w:val="center"/>
                </w:tcPr>
                <w:p w14:paraId="21D85613">
                  <w:pPr>
                    <w:jc w:val="center"/>
                    <w:rPr>
                      <w:szCs w:val="21"/>
                    </w:rPr>
                  </w:pPr>
                  <w:r>
                    <w:rPr>
                      <w:szCs w:val="21"/>
                    </w:rPr>
                    <w:t>级</w:t>
                  </w:r>
                </w:p>
              </w:tc>
            </w:tr>
            <w:tr w14:paraId="4EDA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1872D7AC">
                  <w:pPr>
                    <w:jc w:val="center"/>
                    <w:rPr>
                      <w:rFonts w:hint="eastAsia" w:ascii="宋体" w:hAnsi="宋体" w:cs="宋体"/>
                      <w:szCs w:val="21"/>
                    </w:rPr>
                  </w:pPr>
                </w:p>
              </w:tc>
              <w:tc>
                <w:tcPr>
                  <w:tcW w:w="1200" w:type="dxa"/>
                  <w:vAlign w:val="center"/>
                </w:tcPr>
                <w:p w14:paraId="08C8975D">
                  <w:pPr>
                    <w:jc w:val="center"/>
                    <w:rPr>
                      <w:rFonts w:hint="eastAsia" w:ascii="宋体" w:hAnsi="宋体" w:cs="宋体"/>
                      <w:szCs w:val="21"/>
                    </w:rPr>
                  </w:pPr>
                  <w:r>
                    <w:rPr>
                      <w:rFonts w:hint="eastAsia" w:ascii="宋体" w:hAnsi="宋体" w:cs="宋体"/>
                      <w:szCs w:val="21"/>
                    </w:rPr>
                    <w:t>烟气流量</w:t>
                  </w:r>
                </w:p>
              </w:tc>
              <w:tc>
                <w:tcPr>
                  <w:tcW w:w="1499" w:type="dxa"/>
                  <w:gridSpan w:val="2"/>
                  <w:vAlign w:val="center"/>
                </w:tcPr>
                <w:p w14:paraId="12636EE7">
                  <w:pPr>
                    <w:jc w:val="center"/>
                    <w:rPr>
                      <w:szCs w:val="21"/>
                    </w:rPr>
                  </w:pPr>
                  <w:r>
                    <w:rPr>
                      <w:rFonts w:hint="eastAsia"/>
                      <w:szCs w:val="21"/>
                    </w:rPr>
                    <w:t>16082</w:t>
                  </w:r>
                </w:p>
              </w:tc>
              <w:tc>
                <w:tcPr>
                  <w:tcW w:w="1395" w:type="dxa"/>
                  <w:gridSpan w:val="2"/>
                  <w:vAlign w:val="center"/>
                </w:tcPr>
                <w:p w14:paraId="0BA25C87">
                  <w:pPr>
                    <w:jc w:val="center"/>
                    <w:rPr>
                      <w:szCs w:val="21"/>
                    </w:rPr>
                  </w:pPr>
                  <w:r>
                    <w:rPr>
                      <w:rFonts w:hint="eastAsia"/>
                      <w:szCs w:val="21"/>
                    </w:rPr>
                    <w:t>15268</w:t>
                  </w:r>
                </w:p>
              </w:tc>
              <w:tc>
                <w:tcPr>
                  <w:tcW w:w="1604" w:type="dxa"/>
                  <w:gridSpan w:val="2"/>
                  <w:vAlign w:val="center"/>
                </w:tcPr>
                <w:p w14:paraId="6EC45AE4">
                  <w:pPr>
                    <w:jc w:val="center"/>
                    <w:rPr>
                      <w:szCs w:val="21"/>
                    </w:rPr>
                  </w:pPr>
                  <w:r>
                    <w:rPr>
                      <w:rFonts w:hint="eastAsia"/>
                      <w:szCs w:val="21"/>
                    </w:rPr>
                    <w:t>15472</w:t>
                  </w:r>
                </w:p>
              </w:tc>
              <w:tc>
                <w:tcPr>
                  <w:tcW w:w="1502" w:type="dxa"/>
                  <w:gridSpan w:val="2"/>
                  <w:vAlign w:val="center"/>
                </w:tcPr>
                <w:p w14:paraId="7DDFD157">
                  <w:pPr>
                    <w:jc w:val="center"/>
                    <w:rPr>
                      <w:szCs w:val="21"/>
                    </w:rPr>
                  </w:pPr>
                  <w:r>
                    <w:rPr>
                      <w:rFonts w:hint="eastAsia"/>
                      <w:szCs w:val="21"/>
                    </w:rPr>
                    <w:t>15607</w:t>
                  </w:r>
                </w:p>
              </w:tc>
              <w:tc>
                <w:tcPr>
                  <w:tcW w:w="824" w:type="dxa"/>
                  <w:vAlign w:val="center"/>
                </w:tcPr>
                <w:p w14:paraId="0E6EE1D5">
                  <w:pPr>
                    <w:jc w:val="center"/>
                    <w:rPr>
                      <w:szCs w:val="21"/>
                    </w:rPr>
                  </w:pPr>
                  <w:r>
                    <w:rPr>
                      <w:szCs w:val="21"/>
                    </w:rPr>
                    <w:t>m</w:t>
                  </w:r>
                  <w:r>
                    <w:rPr>
                      <w:szCs w:val="21"/>
                      <w:vertAlign w:val="superscript"/>
                    </w:rPr>
                    <w:t>3</w:t>
                  </w:r>
                  <w:r>
                    <w:rPr>
                      <w:szCs w:val="21"/>
                    </w:rPr>
                    <w:t>/h</w:t>
                  </w:r>
                </w:p>
              </w:tc>
            </w:tr>
            <w:tr w14:paraId="4D3E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6" w:type="dxa"/>
                  <w:vMerge w:val="continue"/>
                  <w:vAlign w:val="center"/>
                </w:tcPr>
                <w:p w14:paraId="299B36E3">
                  <w:pPr>
                    <w:jc w:val="center"/>
                    <w:rPr>
                      <w:rFonts w:hint="eastAsia" w:ascii="宋体" w:hAnsi="宋体" w:cs="宋体"/>
                      <w:szCs w:val="21"/>
                    </w:rPr>
                  </w:pPr>
                </w:p>
              </w:tc>
              <w:tc>
                <w:tcPr>
                  <w:tcW w:w="1200" w:type="dxa"/>
                  <w:vAlign w:val="center"/>
                </w:tcPr>
                <w:p w14:paraId="429576C2">
                  <w:pPr>
                    <w:jc w:val="center"/>
                    <w:rPr>
                      <w:rFonts w:hint="eastAsia" w:ascii="宋体" w:hAnsi="宋体" w:cs="宋体"/>
                      <w:szCs w:val="21"/>
                    </w:rPr>
                  </w:pPr>
                  <w:r>
                    <w:rPr>
                      <w:rFonts w:hint="eastAsia" w:ascii="宋体" w:hAnsi="宋体" w:cs="宋体"/>
                      <w:szCs w:val="21"/>
                    </w:rPr>
                    <w:t>烟气</w:t>
                  </w:r>
                  <w:r>
                    <w:rPr>
                      <w:rFonts w:hint="eastAsia" w:ascii="宋体" w:hAnsi="宋体" w:cs="宋体"/>
                      <w:bCs/>
                      <w:szCs w:val="21"/>
                    </w:rPr>
                    <w:t>含氧量</w:t>
                  </w:r>
                </w:p>
              </w:tc>
              <w:tc>
                <w:tcPr>
                  <w:tcW w:w="1499" w:type="dxa"/>
                  <w:gridSpan w:val="2"/>
                  <w:vAlign w:val="center"/>
                </w:tcPr>
                <w:p w14:paraId="7AF9D793">
                  <w:pPr>
                    <w:jc w:val="center"/>
                    <w:rPr>
                      <w:szCs w:val="21"/>
                    </w:rPr>
                  </w:pPr>
                  <w:r>
                    <w:rPr>
                      <w:rFonts w:hint="eastAsia"/>
                      <w:szCs w:val="21"/>
                    </w:rPr>
                    <w:t>11.45</w:t>
                  </w:r>
                </w:p>
              </w:tc>
              <w:tc>
                <w:tcPr>
                  <w:tcW w:w="1395" w:type="dxa"/>
                  <w:gridSpan w:val="2"/>
                  <w:vAlign w:val="center"/>
                </w:tcPr>
                <w:p w14:paraId="5DD02035">
                  <w:pPr>
                    <w:jc w:val="center"/>
                    <w:rPr>
                      <w:szCs w:val="21"/>
                    </w:rPr>
                  </w:pPr>
                  <w:r>
                    <w:rPr>
                      <w:rFonts w:hint="eastAsia"/>
                      <w:szCs w:val="21"/>
                    </w:rPr>
                    <w:t>11.52</w:t>
                  </w:r>
                </w:p>
              </w:tc>
              <w:tc>
                <w:tcPr>
                  <w:tcW w:w="1604" w:type="dxa"/>
                  <w:gridSpan w:val="2"/>
                  <w:vAlign w:val="center"/>
                </w:tcPr>
                <w:p w14:paraId="14706A32">
                  <w:pPr>
                    <w:jc w:val="center"/>
                    <w:rPr>
                      <w:szCs w:val="21"/>
                    </w:rPr>
                  </w:pPr>
                  <w:r>
                    <w:rPr>
                      <w:rFonts w:hint="eastAsia"/>
                      <w:szCs w:val="21"/>
                    </w:rPr>
                    <w:t>11.56</w:t>
                  </w:r>
                </w:p>
              </w:tc>
              <w:tc>
                <w:tcPr>
                  <w:tcW w:w="1502" w:type="dxa"/>
                  <w:gridSpan w:val="2"/>
                  <w:vAlign w:val="center"/>
                </w:tcPr>
                <w:p w14:paraId="37A6CAF1">
                  <w:pPr>
                    <w:jc w:val="center"/>
                    <w:rPr>
                      <w:szCs w:val="21"/>
                    </w:rPr>
                  </w:pPr>
                  <w:r>
                    <w:rPr>
                      <w:rFonts w:hint="eastAsia"/>
                      <w:szCs w:val="21"/>
                    </w:rPr>
                    <w:t>11.51</w:t>
                  </w:r>
                </w:p>
              </w:tc>
              <w:tc>
                <w:tcPr>
                  <w:tcW w:w="824" w:type="dxa"/>
                  <w:vAlign w:val="center"/>
                </w:tcPr>
                <w:p w14:paraId="14C46408">
                  <w:pPr>
                    <w:jc w:val="center"/>
                    <w:rPr>
                      <w:szCs w:val="21"/>
                    </w:rPr>
                  </w:pPr>
                  <w:r>
                    <w:rPr>
                      <w:szCs w:val="21"/>
                    </w:rPr>
                    <w:t>%</w:t>
                  </w:r>
                </w:p>
              </w:tc>
            </w:tr>
          </w:tbl>
          <w:p w14:paraId="31871DE9">
            <w:pPr>
              <w:spacing w:line="480" w:lineRule="exact"/>
              <w:ind w:firstLine="480" w:firstLineChars="200"/>
              <w:jc w:val="left"/>
              <w:rPr>
                <w:color w:val="000000" w:themeColor="text1"/>
                <w:sz w:val="24"/>
                <w14:textFill>
                  <w14:solidFill>
                    <w14:schemeClr w14:val="tx1"/>
                  </w14:solidFill>
                </w14:textFill>
              </w:rPr>
            </w:pPr>
          </w:p>
          <w:p w14:paraId="58449EF3">
            <w:pPr>
              <w:tabs>
                <w:tab w:val="left" w:pos="2535"/>
                <w:tab w:val="center" w:pos="4394"/>
              </w:tabs>
              <w:spacing w:line="500" w:lineRule="exact"/>
              <w:jc w:val="center"/>
              <w:rPr>
                <w:rFonts w:ascii="宋体" w:cs="宋体"/>
                <w:b/>
                <w:bCs/>
                <w:szCs w:val="21"/>
              </w:rPr>
            </w:pPr>
            <w:r>
              <w:rPr>
                <w:rFonts w:hint="eastAsia" w:ascii="宋体" w:cs="宋体"/>
                <w:b/>
                <w:bCs/>
                <w:szCs w:val="21"/>
              </w:rPr>
              <w:t>表</w:t>
            </w:r>
            <w:r>
              <w:rPr>
                <w:rFonts w:hint="eastAsia"/>
                <w:b/>
                <w:bCs/>
                <w:szCs w:val="21"/>
              </w:rPr>
              <w:t>2-9</w:t>
            </w:r>
            <w:r>
              <w:rPr>
                <w:rFonts w:hint="eastAsia" w:ascii="宋体" w:cs="宋体"/>
                <w:b/>
                <w:bCs/>
                <w:szCs w:val="21"/>
              </w:rPr>
              <w:t>无组织废气检测结果</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64"/>
              <w:gridCol w:w="1725"/>
              <w:gridCol w:w="1590"/>
              <w:gridCol w:w="1185"/>
              <w:gridCol w:w="1185"/>
              <w:gridCol w:w="1185"/>
              <w:gridCol w:w="1137"/>
            </w:tblGrid>
            <w:tr w14:paraId="7D4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restart"/>
                  <w:vAlign w:val="center"/>
                </w:tcPr>
                <w:p w14:paraId="5B92AA6A">
                  <w:pPr>
                    <w:jc w:val="center"/>
                    <w:rPr>
                      <w:b/>
                      <w:spacing w:val="-10"/>
                      <w:szCs w:val="21"/>
                    </w:rPr>
                  </w:pPr>
                  <w:r>
                    <w:rPr>
                      <w:b/>
                      <w:spacing w:val="-10"/>
                      <w:szCs w:val="21"/>
                    </w:rPr>
                    <w:t>监测</w:t>
                  </w:r>
                </w:p>
                <w:p w14:paraId="24A0920E">
                  <w:pPr>
                    <w:jc w:val="center"/>
                    <w:rPr>
                      <w:b/>
                      <w:spacing w:val="-10"/>
                      <w:szCs w:val="21"/>
                    </w:rPr>
                  </w:pPr>
                  <w:r>
                    <w:rPr>
                      <w:b/>
                      <w:spacing w:val="-10"/>
                      <w:szCs w:val="21"/>
                    </w:rPr>
                    <w:t>日期</w:t>
                  </w:r>
                </w:p>
              </w:tc>
              <w:tc>
                <w:tcPr>
                  <w:tcW w:w="1725" w:type="dxa"/>
                  <w:vMerge w:val="restart"/>
                  <w:vAlign w:val="center"/>
                </w:tcPr>
                <w:p w14:paraId="3F0FEBFE">
                  <w:pPr>
                    <w:jc w:val="center"/>
                    <w:rPr>
                      <w:b/>
                      <w:spacing w:val="-10"/>
                      <w:szCs w:val="21"/>
                    </w:rPr>
                  </w:pPr>
                  <w:r>
                    <w:rPr>
                      <w:b/>
                      <w:szCs w:val="21"/>
                    </w:rPr>
                    <w:t>监测地点</w:t>
                  </w:r>
                </w:p>
              </w:tc>
              <w:tc>
                <w:tcPr>
                  <w:tcW w:w="1590" w:type="dxa"/>
                  <w:vMerge w:val="restart"/>
                  <w:vAlign w:val="center"/>
                </w:tcPr>
                <w:p w14:paraId="60DD3EFF">
                  <w:pPr>
                    <w:jc w:val="center"/>
                    <w:rPr>
                      <w:b/>
                      <w:szCs w:val="21"/>
                    </w:rPr>
                  </w:pPr>
                  <w:r>
                    <w:rPr>
                      <w:b/>
                      <w:spacing w:val="-10"/>
                      <w:szCs w:val="21"/>
                    </w:rPr>
                    <w:t>监测项目</w:t>
                  </w:r>
                </w:p>
              </w:tc>
              <w:tc>
                <w:tcPr>
                  <w:tcW w:w="3555" w:type="dxa"/>
                  <w:gridSpan w:val="3"/>
                  <w:vAlign w:val="center"/>
                </w:tcPr>
                <w:p w14:paraId="22C6A0AB">
                  <w:pPr>
                    <w:jc w:val="center"/>
                    <w:rPr>
                      <w:b/>
                      <w:spacing w:val="-10"/>
                      <w:szCs w:val="21"/>
                    </w:rPr>
                  </w:pPr>
                  <w:r>
                    <w:rPr>
                      <w:b/>
                      <w:spacing w:val="-10"/>
                      <w:szCs w:val="21"/>
                    </w:rPr>
                    <w:t>检测频次及结果</w:t>
                  </w:r>
                </w:p>
              </w:tc>
              <w:tc>
                <w:tcPr>
                  <w:tcW w:w="1137" w:type="dxa"/>
                  <w:vMerge w:val="restart"/>
                  <w:vAlign w:val="center"/>
                </w:tcPr>
                <w:p w14:paraId="390E8668">
                  <w:pPr>
                    <w:jc w:val="center"/>
                    <w:rPr>
                      <w:b/>
                      <w:szCs w:val="21"/>
                    </w:rPr>
                  </w:pPr>
                  <w:r>
                    <w:rPr>
                      <w:b/>
                      <w:szCs w:val="21"/>
                    </w:rPr>
                    <w:t>单位</w:t>
                  </w:r>
                </w:p>
              </w:tc>
            </w:tr>
            <w:tr w14:paraId="0FE5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28B61790">
                  <w:pPr>
                    <w:jc w:val="center"/>
                    <w:rPr>
                      <w:b/>
                      <w:spacing w:val="-10"/>
                      <w:szCs w:val="21"/>
                    </w:rPr>
                  </w:pPr>
                </w:p>
              </w:tc>
              <w:tc>
                <w:tcPr>
                  <w:tcW w:w="1725" w:type="dxa"/>
                  <w:vMerge w:val="continue"/>
                  <w:vAlign w:val="center"/>
                </w:tcPr>
                <w:p w14:paraId="6CB2A87B">
                  <w:pPr>
                    <w:jc w:val="center"/>
                    <w:rPr>
                      <w:b/>
                      <w:szCs w:val="21"/>
                    </w:rPr>
                  </w:pPr>
                </w:p>
              </w:tc>
              <w:tc>
                <w:tcPr>
                  <w:tcW w:w="1590" w:type="dxa"/>
                  <w:vMerge w:val="continue"/>
                  <w:vAlign w:val="center"/>
                </w:tcPr>
                <w:p w14:paraId="1CF6673A">
                  <w:pPr>
                    <w:jc w:val="center"/>
                    <w:rPr>
                      <w:b/>
                      <w:szCs w:val="21"/>
                    </w:rPr>
                  </w:pPr>
                </w:p>
              </w:tc>
              <w:tc>
                <w:tcPr>
                  <w:tcW w:w="1185" w:type="dxa"/>
                  <w:vAlign w:val="center"/>
                </w:tcPr>
                <w:p w14:paraId="33E2EF51">
                  <w:pPr>
                    <w:jc w:val="center"/>
                    <w:rPr>
                      <w:b/>
                      <w:szCs w:val="21"/>
                    </w:rPr>
                  </w:pPr>
                  <w:r>
                    <w:rPr>
                      <w:b/>
                      <w:szCs w:val="21"/>
                    </w:rPr>
                    <w:t>一次</w:t>
                  </w:r>
                </w:p>
              </w:tc>
              <w:tc>
                <w:tcPr>
                  <w:tcW w:w="1185" w:type="dxa"/>
                  <w:vAlign w:val="center"/>
                </w:tcPr>
                <w:p w14:paraId="2403C8B3">
                  <w:pPr>
                    <w:jc w:val="center"/>
                    <w:rPr>
                      <w:b/>
                      <w:szCs w:val="21"/>
                    </w:rPr>
                  </w:pPr>
                  <w:r>
                    <w:rPr>
                      <w:b/>
                      <w:szCs w:val="21"/>
                    </w:rPr>
                    <w:t>二次</w:t>
                  </w:r>
                </w:p>
              </w:tc>
              <w:tc>
                <w:tcPr>
                  <w:tcW w:w="1185" w:type="dxa"/>
                  <w:vAlign w:val="center"/>
                </w:tcPr>
                <w:p w14:paraId="40373F70">
                  <w:pPr>
                    <w:jc w:val="center"/>
                    <w:rPr>
                      <w:b/>
                      <w:szCs w:val="21"/>
                    </w:rPr>
                  </w:pPr>
                  <w:r>
                    <w:rPr>
                      <w:b/>
                      <w:szCs w:val="21"/>
                    </w:rPr>
                    <w:t>三次</w:t>
                  </w:r>
                </w:p>
              </w:tc>
              <w:tc>
                <w:tcPr>
                  <w:tcW w:w="1137" w:type="dxa"/>
                  <w:vMerge w:val="continue"/>
                  <w:vAlign w:val="center"/>
                </w:tcPr>
                <w:p w14:paraId="22897F4F">
                  <w:pPr>
                    <w:jc w:val="center"/>
                    <w:rPr>
                      <w:bCs/>
                      <w:szCs w:val="21"/>
                    </w:rPr>
                  </w:pPr>
                </w:p>
              </w:tc>
            </w:tr>
            <w:tr w14:paraId="6B03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restart"/>
                  <w:vAlign w:val="center"/>
                </w:tcPr>
                <w:p w14:paraId="7D47B9F1">
                  <w:pPr>
                    <w:jc w:val="center"/>
                    <w:rPr>
                      <w:bCs/>
                      <w:szCs w:val="21"/>
                    </w:rPr>
                  </w:pPr>
                  <w:r>
                    <w:rPr>
                      <w:bCs/>
                      <w:szCs w:val="21"/>
                    </w:rPr>
                    <w:t>05月</w:t>
                  </w:r>
                </w:p>
                <w:p w14:paraId="43B54E68">
                  <w:pPr>
                    <w:jc w:val="center"/>
                    <w:rPr>
                      <w:bCs/>
                      <w:spacing w:val="-10"/>
                      <w:szCs w:val="21"/>
                    </w:rPr>
                  </w:pPr>
                  <w:r>
                    <w:rPr>
                      <w:bCs/>
                      <w:szCs w:val="21"/>
                    </w:rPr>
                    <w:t>22日</w:t>
                  </w:r>
                </w:p>
              </w:tc>
              <w:tc>
                <w:tcPr>
                  <w:tcW w:w="1725" w:type="dxa"/>
                  <w:vMerge w:val="restart"/>
                  <w:vAlign w:val="center"/>
                </w:tcPr>
                <w:p w14:paraId="1D8DCF5D">
                  <w:pPr>
                    <w:jc w:val="center"/>
                    <w:rPr>
                      <w:bCs/>
                      <w:szCs w:val="21"/>
                    </w:rPr>
                  </w:pPr>
                  <w:r>
                    <w:rPr>
                      <w:bCs/>
                      <w:szCs w:val="21"/>
                    </w:rPr>
                    <w:t>厂界上风向</w:t>
                  </w:r>
                </w:p>
                <w:p w14:paraId="6458E59F">
                  <w:pPr>
                    <w:jc w:val="center"/>
                    <w:rPr>
                      <w:bCs/>
                      <w:szCs w:val="21"/>
                    </w:rPr>
                  </w:pPr>
                  <w:r>
                    <w:rPr>
                      <w:bCs/>
                      <w:szCs w:val="21"/>
                    </w:rPr>
                    <w:t>1号点</w:t>
                  </w:r>
                </w:p>
              </w:tc>
              <w:tc>
                <w:tcPr>
                  <w:tcW w:w="1590" w:type="dxa"/>
                  <w:vAlign w:val="center"/>
                </w:tcPr>
                <w:p w14:paraId="416DDF80">
                  <w:pPr>
                    <w:spacing w:line="360" w:lineRule="exact"/>
                    <w:jc w:val="center"/>
                    <w:rPr>
                      <w:color w:val="000000"/>
                      <w:spacing w:val="-12"/>
                      <w:szCs w:val="21"/>
                    </w:rPr>
                  </w:pPr>
                  <w:r>
                    <w:rPr>
                      <w:color w:val="000000"/>
                      <w:spacing w:val="-12"/>
                      <w:szCs w:val="21"/>
                    </w:rPr>
                    <w:t>颗粒物</w:t>
                  </w:r>
                </w:p>
              </w:tc>
              <w:tc>
                <w:tcPr>
                  <w:tcW w:w="1185" w:type="dxa"/>
                  <w:vAlign w:val="center"/>
                </w:tcPr>
                <w:p w14:paraId="2F240A11">
                  <w:pPr>
                    <w:jc w:val="center"/>
                    <w:rPr>
                      <w:szCs w:val="21"/>
                    </w:rPr>
                  </w:pPr>
                  <w:r>
                    <w:rPr>
                      <w:szCs w:val="21"/>
                    </w:rPr>
                    <w:t>0.148</w:t>
                  </w:r>
                </w:p>
              </w:tc>
              <w:tc>
                <w:tcPr>
                  <w:tcW w:w="1185" w:type="dxa"/>
                  <w:vAlign w:val="center"/>
                </w:tcPr>
                <w:p w14:paraId="14A2FC7B">
                  <w:pPr>
                    <w:jc w:val="center"/>
                    <w:rPr>
                      <w:szCs w:val="21"/>
                    </w:rPr>
                  </w:pPr>
                  <w:r>
                    <w:rPr>
                      <w:szCs w:val="21"/>
                    </w:rPr>
                    <w:t>0.110</w:t>
                  </w:r>
                </w:p>
              </w:tc>
              <w:tc>
                <w:tcPr>
                  <w:tcW w:w="1185" w:type="dxa"/>
                  <w:vAlign w:val="center"/>
                </w:tcPr>
                <w:p w14:paraId="4BBCA70A">
                  <w:pPr>
                    <w:jc w:val="center"/>
                    <w:rPr>
                      <w:szCs w:val="21"/>
                    </w:rPr>
                  </w:pPr>
                  <w:r>
                    <w:rPr>
                      <w:szCs w:val="21"/>
                    </w:rPr>
                    <w:t>0.129</w:t>
                  </w:r>
                </w:p>
              </w:tc>
              <w:tc>
                <w:tcPr>
                  <w:tcW w:w="1137" w:type="dxa"/>
                  <w:vAlign w:val="center"/>
                </w:tcPr>
                <w:p w14:paraId="1F6118DB">
                  <w:pPr>
                    <w:jc w:val="center"/>
                    <w:rPr>
                      <w:b/>
                      <w:bCs/>
                      <w:szCs w:val="21"/>
                    </w:rPr>
                  </w:pPr>
                  <w:r>
                    <w:rPr>
                      <w:bCs/>
                      <w:szCs w:val="21"/>
                    </w:rPr>
                    <w:t>mg/m</w:t>
                  </w:r>
                  <w:r>
                    <w:rPr>
                      <w:bCs/>
                      <w:szCs w:val="21"/>
                      <w:vertAlign w:val="superscript"/>
                    </w:rPr>
                    <w:t>3</w:t>
                  </w:r>
                </w:p>
              </w:tc>
            </w:tr>
            <w:tr w14:paraId="751C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7765E723">
                  <w:pPr>
                    <w:jc w:val="center"/>
                    <w:rPr>
                      <w:bCs/>
                      <w:spacing w:val="-10"/>
                      <w:szCs w:val="21"/>
                    </w:rPr>
                  </w:pPr>
                </w:p>
              </w:tc>
              <w:tc>
                <w:tcPr>
                  <w:tcW w:w="1725" w:type="dxa"/>
                  <w:vMerge w:val="continue"/>
                  <w:vAlign w:val="center"/>
                </w:tcPr>
                <w:p w14:paraId="1B611132">
                  <w:pPr>
                    <w:jc w:val="center"/>
                    <w:rPr>
                      <w:bCs/>
                      <w:szCs w:val="21"/>
                    </w:rPr>
                  </w:pPr>
                </w:p>
              </w:tc>
              <w:tc>
                <w:tcPr>
                  <w:tcW w:w="1590" w:type="dxa"/>
                  <w:vAlign w:val="center"/>
                </w:tcPr>
                <w:p w14:paraId="75DD58CB">
                  <w:pPr>
                    <w:spacing w:line="360" w:lineRule="exact"/>
                    <w:jc w:val="center"/>
                    <w:rPr>
                      <w:color w:val="000000"/>
                      <w:spacing w:val="-12"/>
                      <w:szCs w:val="21"/>
                    </w:rPr>
                  </w:pPr>
                  <w:r>
                    <w:rPr>
                      <w:color w:val="000000"/>
                      <w:spacing w:val="-12"/>
                      <w:szCs w:val="21"/>
                    </w:rPr>
                    <w:t>二氧化硫</w:t>
                  </w:r>
                </w:p>
              </w:tc>
              <w:tc>
                <w:tcPr>
                  <w:tcW w:w="1185" w:type="dxa"/>
                  <w:vAlign w:val="center"/>
                </w:tcPr>
                <w:p w14:paraId="47A45556">
                  <w:pPr>
                    <w:jc w:val="center"/>
                    <w:rPr>
                      <w:szCs w:val="21"/>
                    </w:rPr>
                  </w:pPr>
                  <w:r>
                    <w:rPr>
                      <w:szCs w:val="21"/>
                    </w:rPr>
                    <w:t>0.018</w:t>
                  </w:r>
                </w:p>
              </w:tc>
              <w:tc>
                <w:tcPr>
                  <w:tcW w:w="1185" w:type="dxa"/>
                  <w:vAlign w:val="center"/>
                </w:tcPr>
                <w:p w14:paraId="066AAC2C">
                  <w:pPr>
                    <w:jc w:val="center"/>
                    <w:rPr>
                      <w:szCs w:val="21"/>
                    </w:rPr>
                  </w:pPr>
                  <w:r>
                    <w:rPr>
                      <w:szCs w:val="21"/>
                    </w:rPr>
                    <w:t>0.016</w:t>
                  </w:r>
                </w:p>
              </w:tc>
              <w:tc>
                <w:tcPr>
                  <w:tcW w:w="1185" w:type="dxa"/>
                  <w:vAlign w:val="center"/>
                </w:tcPr>
                <w:p w14:paraId="455BC4FD">
                  <w:pPr>
                    <w:jc w:val="center"/>
                    <w:rPr>
                      <w:szCs w:val="21"/>
                    </w:rPr>
                  </w:pPr>
                  <w:r>
                    <w:rPr>
                      <w:szCs w:val="21"/>
                    </w:rPr>
                    <w:t>0.024</w:t>
                  </w:r>
                </w:p>
              </w:tc>
              <w:tc>
                <w:tcPr>
                  <w:tcW w:w="1137" w:type="dxa"/>
                  <w:vAlign w:val="center"/>
                </w:tcPr>
                <w:p w14:paraId="6CA0EFCE">
                  <w:pPr>
                    <w:jc w:val="center"/>
                    <w:rPr>
                      <w:b/>
                      <w:bCs/>
                      <w:szCs w:val="21"/>
                    </w:rPr>
                  </w:pPr>
                  <w:r>
                    <w:rPr>
                      <w:bCs/>
                      <w:szCs w:val="21"/>
                    </w:rPr>
                    <w:t>mg/m</w:t>
                  </w:r>
                  <w:r>
                    <w:rPr>
                      <w:bCs/>
                      <w:szCs w:val="21"/>
                      <w:vertAlign w:val="superscript"/>
                    </w:rPr>
                    <w:t>3</w:t>
                  </w:r>
                </w:p>
              </w:tc>
            </w:tr>
            <w:tr w14:paraId="2323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6637FA36">
                  <w:pPr>
                    <w:jc w:val="center"/>
                    <w:rPr>
                      <w:bCs/>
                      <w:spacing w:val="-10"/>
                      <w:szCs w:val="21"/>
                    </w:rPr>
                  </w:pPr>
                </w:p>
              </w:tc>
              <w:tc>
                <w:tcPr>
                  <w:tcW w:w="1725" w:type="dxa"/>
                  <w:vMerge w:val="continue"/>
                  <w:vAlign w:val="center"/>
                </w:tcPr>
                <w:p w14:paraId="0C86DCEF">
                  <w:pPr>
                    <w:jc w:val="center"/>
                    <w:rPr>
                      <w:bCs/>
                      <w:szCs w:val="21"/>
                    </w:rPr>
                  </w:pPr>
                </w:p>
              </w:tc>
              <w:tc>
                <w:tcPr>
                  <w:tcW w:w="1590" w:type="dxa"/>
                  <w:vAlign w:val="center"/>
                </w:tcPr>
                <w:p w14:paraId="2CD68535">
                  <w:pPr>
                    <w:spacing w:line="360" w:lineRule="exact"/>
                    <w:jc w:val="center"/>
                    <w:rPr>
                      <w:color w:val="000000"/>
                      <w:spacing w:val="-12"/>
                      <w:szCs w:val="21"/>
                    </w:rPr>
                  </w:pPr>
                  <w:r>
                    <w:rPr>
                      <w:color w:val="000000"/>
                      <w:spacing w:val="-12"/>
                      <w:szCs w:val="21"/>
                    </w:rPr>
                    <w:t>二氧化氮</w:t>
                  </w:r>
                </w:p>
              </w:tc>
              <w:tc>
                <w:tcPr>
                  <w:tcW w:w="1185" w:type="dxa"/>
                  <w:vAlign w:val="center"/>
                </w:tcPr>
                <w:p w14:paraId="3CC10790">
                  <w:pPr>
                    <w:jc w:val="center"/>
                    <w:rPr>
                      <w:bCs/>
                      <w:szCs w:val="21"/>
                    </w:rPr>
                  </w:pPr>
                  <w:r>
                    <w:rPr>
                      <w:bCs/>
                      <w:szCs w:val="21"/>
                    </w:rPr>
                    <w:t>0.017</w:t>
                  </w:r>
                </w:p>
              </w:tc>
              <w:tc>
                <w:tcPr>
                  <w:tcW w:w="1185" w:type="dxa"/>
                  <w:vAlign w:val="center"/>
                </w:tcPr>
                <w:p w14:paraId="544BF9D3">
                  <w:pPr>
                    <w:jc w:val="center"/>
                    <w:rPr>
                      <w:bCs/>
                      <w:szCs w:val="21"/>
                    </w:rPr>
                  </w:pPr>
                  <w:r>
                    <w:rPr>
                      <w:bCs/>
                      <w:szCs w:val="21"/>
                    </w:rPr>
                    <w:t>0.018</w:t>
                  </w:r>
                </w:p>
              </w:tc>
              <w:tc>
                <w:tcPr>
                  <w:tcW w:w="1185" w:type="dxa"/>
                  <w:vAlign w:val="center"/>
                </w:tcPr>
                <w:p w14:paraId="01BBFDAE">
                  <w:pPr>
                    <w:jc w:val="center"/>
                    <w:rPr>
                      <w:bCs/>
                      <w:szCs w:val="21"/>
                    </w:rPr>
                  </w:pPr>
                  <w:r>
                    <w:rPr>
                      <w:bCs/>
                      <w:szCs w:val="21"/>
                    </w:rPr>
                    <w:t>0.016</w:t>
                  </w:r>
                </w:p>
              </w:tc>
              <w:tc>
                <w:tcPr>
                  <w:tcW w:w="1137" w:type="dxa"/>
                  <w:vAlign w:val="center"/>
                </w:tcPr>
                <w:p w14:paraId="23FFB083">
                  <w:pPr>
                    <w:jc w:val="center"/>
                    <w:rPr>
                      <w:bCs/>
                      <w:szCs w:val="21"/>
                    </w:rPr>
                  </w:pPr>
                  <w:r>
                    <w:rPr>
                      <w:bCs/>
                      <w:szCs w:val="21"/>
                    </w:rPr>
                    <w:t>mg/m</w:t>
                  </w:r>
                  <w:r>
                    <w:rPr>
                      <w:bCs/>
                      <w:szCs w:val="21"/>
                      <w:vertAlign w:val="superscript"/>
                    </w:rPr>
                    <w:t>3</w:t>
                  </w:r>
                </w:p>
              </w:tc>
            </w:tr>
            <w:tr w14:paraId="5183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1FA111DD">
                  <w:pPr>
                    <w:jc w:val="center"/>
                    <w:rPr>
                      <w:bCs/>
                      <w:spacing w:val="-10"/>
                      <w:szCs w:val="21"/>
                    </w:rPr>
                  </w:pPr>
                </w:p>
              </w:tc>
              <w:tc>
                <w:tcPr>
                  <w:tcW w:w="1725" w:type="dxa"/>
                  <w:vMerge w:val="restart"/>
                  <w:vAlign w:val="center"/>
                </w:tcPr>
                <w:p w14:paraId="01371492">
                  <w:pPr>
                    <w:jc w:val="center"/>
                    <w:rPr>
                      <w:bCs/>
                      <w:szCs w:val="21"/>
                    </w:rPr>
                  </w:pPr>
                  <w:r>
                    <w:rPr>
                      <w:bCs/>
                      <w:szCs w:val="21"/>
                    </w:rPr>
                    <w:t>厂界下风向</w:t>
                  </w:r>
                </w:p>
                <w:p w14:paraId="391CCAE1">
                  <w:pPr>
                    <w:jc w:val="center"/>
                    <w:rPr>
                      <w:bCs/>
                      <w:szCs w:val="21"/>
                    </w:rPr>
                  </w:pPr>
                  <w:r>
                    <w:rPr>
                      <w:bCs/>
                      <w:szCs w:val="21"/>
                    </w:rPr>
                    <w:t>2号点</w:t>
                  </w:r>
                </w:p>
              </w:tc>
              <w:tc>
                <w:tcPr>
                  <w:tcW w:w="1590" w:type="dxa"/>
                  <w:vAlign w:val="center"/>
                </w:tcPr>
                <w:p w14:paraId="209FE92A">
                  <w:pPr>
                    <w:spacing w:line="360" w:lineRule="exact"/>
                    <w:jc w:val="center"/>
                    <w:rPr>
                      <w:color w:val="000000"/>
                      <w:spacing w:val="-12"/>
                      <w:szCs w:val="21"/>
                    </w:rPr>
                  </w:pPr>
                  <w:r>
                    <w:rPr>
                      <w:color w:val="000000"/>
                      <w:spacing w:val="-12"/>
                      <w:szCs w:val="21"/>
                    </w:rPr>
                    <w:t>颗粒物</w:t>
                  </w:r>
                </w:p>
              </w:tc>
              <w:tc>
                <w:tcPr>
                  <w:tcW w:w="1185" w:type="dxa"/>
                  <w:vAlign w:val="center"/>
                </w:tcPr>
                <w:p w14:paraId="31C0C3E1">
                  <w:pPr>
                    <w:jc w:val="center"/>
                    <w:rPr>
                      <w:szCs w:val="21"/>
                    </w:rPr>
                  </w:pPr>
                  <w:r>
                    <w:rPr>
                      <w:szCs w:val="21"/>
                    </w:rPr>
                    <w:t>0.297</w:t>
                  </w:r>
                </w:p>
              </w:tc>
              <w:tc>
                <w:tcPr>
                  <w:tcW w:w="1185" w:type="dxa"/>
                  <w:vAlign w:val="center"/>
                </w:tcPr>
                <w:p w14:paraId="4B275D7D">
                  <w:pPr>
                    <w:jc w:val="center"/>
                    <w:rPr>
                      <w:szCs w:val="21"/>
                    </w:rPr>
                  </w:pPr>
                  <w:r>
                    <w:rPr>
                      <w:szCs w:val="21"/>
                    </w:rPr>
                    <w:t>0.222</w:t>
                  </w:r>
                </w:p>
              </w:tc>
              <w:tc>
                <w:tcPr>
                  <w:tcW w:w="1185" w:type="dxa"/>
                  <w:vAlign w:val="center"/>
                </w:tcPr>
                <w:p w14:paraId="403A5A94">
                  <w:pPr>
                    <w:jc w:val="center"/>
                    <w:rPr>
                      <w:szCs w:val="21"/>
                    </w:rPr>
                  </w:pPr>
                  <w:r>
                    <w:rPr>
                      <w:szCs w:val="21"/>
                    </w:rPr>
                    <w:t>0.277</w:t>
                  </w:r>
                </w:p>
              </w:tc>
              <w:tc>
                <w:tcPr>
                  <w:tcW w:w="1137" w:type="dxa"/>
                  <w:vAlign w:val="center"/>
                </w:tcPr>
                <w:p w14:paraId="19B1B543">
                  <w:pPr>
                    <w:jc w:val="center"/>
                    <w:rPr>
                      <w:b/>
                      <w:bCs/>
                      <w:szCs w:val="21"/>
                    </w:rPr>
                  </w:pPr>
                  <w:r>
                    <w:rPr>
                      <w:bCs/>
                      <w:szCs w:val="21"/>
                    </w:rPr>
                    <w:t>mg/m</w:t>
                  </w:r>
                  <w:r>
                    <w:rPr>
                      <w:bCs/>
                      <w:szCs w:val="21"/>
                      <w:vertAlign w:val="superscript"/>
                    </w:rPr>
                    <w:t>3</w:t>
                  </w:r>
                </w:p>
              </w:tc>
            </w:tr>
            <w:tr w14:paraId="5136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3E17B8EA">
                  <w:pPr>
                    <w:jc w:val="center"/>
                    <w:rPr>
                      <w:bCs/>
                      <w:spacing w:val="-10"/>
                      <w:szCs w:val="21"/>
                    </w:rPr>
                  </w:pPr>
                </w:p>
              </w:tc>
              <w:tc>
                <w:tcPr>
                  <w:tcW w:w="1725" w:type="dxa"/>
                  <w:vMerge w:val="continue"/>
                  <w:vAlign w:val="center"/>
                </w:tcPr>
                <w:p w14:paraId="2F1DC7DE">
                  <w:pPr>
                    <w:jc w:val="center"/>
                    <w:rPr>
                      <w:bCs/>
                      <w:szCs w:val="21"/>
                    </w:rPr>
                  </w:pPr>
                </w:p>
              </w:tc>
              <w:tc>
                <w:tcPr>
                  <w:tcW w:w="1590" w:type="dxa"/>
                  <w:vAlign w:val="center"/>
                </w:tcPr>
                <w:p w14:paraId="248967D7">
                  <w:pPr>
                    <w:spacing w:line="360" w:lineRule="exact"/>
                    <w:jc w:val="center"/>
                    <w:rPr>
                      <w:color w:val="000000"/>
                      <w:spacing w:val="-12"/>
                      <w:szCs w:val="21"/>
                    </w:rPr>
                  </w:pPr>
                  <w:r>
                    <w:rPr>
                      <w:color w:val="000000"/>
                      <w:spacing w:val="-12"/>
                      <w:szCs w:val="21"/>
                    </w:rPr>
                    <w:t>二氧化硫</w:t>
                  </w:r>
                </w:p>
              </w:tc>
              <w:tc>
                <w:tcPr>
                  <w:tcW w:w="1185" w:type="dxa"/>
                  <w:vAlign w:val="center"/>
                </w:tcPr>
                <w:p w14:paraId="466174ED">
                  <w:pPr>
                    <w:jc w:val="center"/>
                    <w:rPr>
                      <w:szCs w:val="21"/>
                    </w:rPr>
                  </w:pPr>
                  <w:r>
                    <w:rPr>
                      <w:szCs w:val="21"/>
                    </w:rPr>
                    <w:t>0.010</w:t>
                  </w:r>
                </w:p>
              </w:tc>
              <w:tc>
                <w:tcPr>
                  <w:tcW w:w="1185" w:type="dxa"/>
                  <w:vAlign w:val="center"/>
                </w:tcPr>
                <w:p w14:paraId="23CF8F6D">
                  <w:pPr>
                    <w:jc w:val="center"/>
                    <w:rPr>
                      <w:szCs w:val="21"/>
                    </w:rPr>
                  </w:pPr>
                  <w:r>
                    <w:rPr>
                      <w:szCs w:val="21"/>
                    </w:rPr>
                    <w:t>0.018</w:t>
                  </w:r>
                </w:p>
              </w:tc>
              <w:tc>
                <w:tcPr>
                  <w:tcW w:w="1185" w:type="dxa"/>
                  <w:vAlign w:val="center"/>
                </w:tcPr>
                <w:p w14:paraId="6CBE0E94">
                  <w:pPr>
                    <w:jc w:val="center"/>
                    <w:rPr>
                      <w:szCs w:val="21"/>
                    </w:rPr>
                  </w:pPr>
                  <w:r>
                    <w:rPr>
                      <w:szCs w:val="21"/>
                    </w:rPr>
                    <w:t>0.026</w:t>
                  </w:r>
                </w:p>
              </w:tc>
              <w:tc>
                <w:tcPr>
                  <w:tcW w:w="1137" w:type="dxa"/>
                  <w:vAlign w:val="center"/>
                </w:tcPr>
                <w:p w14:paraId="524236A1">
                  <w:pPr>
                    <w:jc w:val="center"/>
                    <w:rPr>
                      <w:b/>
                      <w:bCs/>
                      <w:szCs w:val="21"/>
                    </w:rPr>
                  </w:pPr>
                  <w:r>
                    <w:rPr>
                      <w:bCs/>
                      <w:szCs w:val="21"/>
                    </w:rPr>
                    <w:t>mg/m</w:t>
                  </w:r>
                  <w:r>
                    <w:rPr>
                      <w:bCs/>
                      <w:szCs w:val="21"/>
                      <w:vertAlign w:val="superscript"/>
                    </w:rPr>
                    <w:t>3</w:t>
                  </w:r>
                </w:p>
              </w:tc>
            </w:tr>
            <w:tr w14:paraId="0547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391F41ED">
                  <w:pPr>
                    <w:jc w:val="center"/>
                    <w:rPr>
                      <w:bCs/>
                      <w:spacing w:val="-10"/>
                      <w:szCs w:val="21"/>
                    </w:rPr>
                  </w:pPr>
                </w:p>
              </w:tc>
              <w:tc>
                <w:tcPr>
                  <w:tcW w:w="1725" w:type="dxa"/>
                  <w:vMerge w:val="continue"/>
                  <w:vAlign w:val="center"/>
                </w:tcPr>
                <w:p w14:paraId="7F30F53D">
                  <w:pPr>
                    <w:jc w:val="center"/>
                    <w:rPr>
                      <w:bCs/>
                      <w:szCs w:val="21"/>
                    </w:rPr>
                  </w:pPr>
                </w:p>
              </w:tc>
              <w:tc>
                <w:tcPr>
                  <w:tcW w:w="1590" w:type="dxa"/>
                  <w:vAlign w:val="center"/>
                </w:tcPr>
                <w:p w14:paraId="143D24B1">
                  <w:pPr>
                    <w:spacing w:line="360" w:lineRule="exact"/>
                    <w:jc w:val="center"/>
                    <w:rPr>
                      <w:color w:val="000000"/>
                      <w:spacing w:val="-12"/>
                      <w:szCs w:val="21"/>
                    </w:rPr>
                  </w:pPr>
                  <w:r>
                    <w:rPr>
                      <w:color w:val="000000"/>
                      <w:spacing w:val="-12"/>
                      <w:szCs w:val="21"/>
                    </w:rPr>
                    <w:t>二氧化氮</w:t>
                  </w:r>
                </w:p>
              </w:tc>
              <w:tc>
                <w:tcPr>
                  <w:tcW w:w="1185" w:type="dxa"/>
                  <w:vAlign w:val="center"/>
                </w:tcPr>
                <w:p w14:paraId="08B553C6">
                  <w:pPr>
                    <w:jc w:val="center"/>
                    <w:rPr>
                      <w:bCs/>
                      <w:szCs w:val="21"/>
                    </w:rPr>
                  </w:pPr>
                  <w:r>
                    <w:rPr>
                      <w:bCs/>
                      <w:szCs w:val="21"/>
                    </w:rPr>
                    <w:t>0.020</w:t>
                  </w:r>
                </w:p>
              </w:tc>
              <w:tc>
                <w:tcPr>
                  <w:tcW w:w="1185" w:type="dxa"/>
                  <w:vAlign w:val="center"/>
                </w:tcPr>
                <w:p w14:paraId="2F5B929F">
                  <w:pPr>
                    <w:jc w:val="center"/>
                    <w:rPr>
                      <w:bCs/>
                      <w:szCs w:val="21"/>
                    </w:rPr>
                  </w:pPr>
                  <w:r>
                    <w:rPr>
                      <w:bCs/>
                      <w:szCs w:val="21"/>
                    </w:rPr>
                    <w:t>0.022</w:t>
                  </w:r>
                </w:p>
              </w:tc>
              <w:tc>
                <w:tcPr>
                  <w:tcW w:w="1185" w:type="dxa"/>
                  <w:vAlign w:val="center"/>
                </w:tcPr>
                <w:p w14:paraId="6714A05F">
                  <w:pPr>
                    <w:jc w:val="center"/>
                    <w:rPr>
                      <w:bCs/>
                      <w:szCs w:val="21"/>
                    </w:rPr>
                  </w:pPr>
                  <w:r>
                    <w:rPr>
                      <w:bCs/>
                      <w:szCs w:val="21"/>
                    </w:rPr>
                    <w:t>0.018</w:t>
                  </w:r>
                </w:p>
              </w:tc>
              <w:tc>
                <w:tcPr>
                  <w:tcW w:w="1137" w:type="dxa"/>
                  <w:vAlign w:val="center"/>
                </w:tcPr>
                <w:p w14:paraId="1D5948B6">
                  <w:pPr>
                    <w:jc w:val="center"/>
                    <w:rPr>
                      <w:bCs/>
                      <w:szCs w:val="21"/>
                    </w:rPr>
                  </w:pPr>
                  <w:r>
                    <w:rPr>
                      <w:bCs/>
                      <w:szCs w:val="21"/>
                    </w:rPr>
                    <w:t>mg/m</w:t>
                  </w:r>
                  <w:r>
                    <w:rPr>
                      <w:bCs/>
                      <w:szCs w:val="21"/>
                      <w:vertAlign w:val="superscript"/>
                    </w:rPr>
                    <w:t>3</w:t>
                  </w:r>
                </w:p>
              </w:tc>
            </w:tr>
            <w:tr w14:paraId="3466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168A02C1">
                  <w:pPr>
                    <w:jc w:val="center"/>
                    <w:rPr>
                      <w:bCs/>
                      <w:spacing w:val="-10"/>
                      <w:szCs w:val="21"/>
                    </w:rPr>
                  </w:pPr>
                </w:p>
              </w:tc>
              <w:tc>
                <w:tcPr>
                  <w:tcW w:w="1725" w:type="dxa"/>
                  <w:vMerge w:val="restart"/>
                  <w:vAlign w:val="center"/>
                </w:tcPr>
                <w:p w14:paraId="47985D09">
                  <w:pPr>
                    <w:jc w:val="center"/>
                    <w:rPr>
                      <w:bCs/>
                      <w:szCs w:val="21"/>
                    </w:rPr>
                  </w:pPr>
                  <w:r>
                    <w:rPr>
                      <w:bCs/>
                      <w:szCs w:val="21"/>
                    </w:rPr>
                    <w:t>厂界下风向</w:t>
                  </w:r>
                </w:p>
                <w:p w14:paraId="3B360194">
                  <w:pPr>
                    <w:jc w:val="center"/>
                    <w:rPr>
                      <w:bCs/>
                      <w:szCs w:val="21"/>
                    </w:rPr>
                  </w:pPr>
                  <w:r>
                    <w:rPr>
                      <w:bCs/>
                      <w:szCs w:val="21"/>
                    </w:rPr>
                    <w:t>3号点</w:t>
                  </w:r>
                </w:p>
              </w:tc>
              <w:tc>
                <w:tcPr>
                  <w:tcW w:w="1590" w:type="dxa"/>
                  <w:vAlign w:val="center"/>
                </w:tcPr>
                <w:p w14:paraId="21E76668">
                  <w:pPr>
                    <w:spacing w:line="360" w:lineRule="exact"/>
                    <w:jc w:val="center"/>
                    <w:rPr>
                      <w:color w:val="000000"/>
                      <w:spacing w:val="-12"/>
                      <w:szCs w:val="21"/>
                    </w:rPr>
                  </w:pPr>
                  <w:r>
                    <w:rPr>
                      <w:color w:val="000000"/>
                      <w:spacing w:val="-12"/>
                      <w:szCs w:val="21"/>
                    </w:rPr>
                    <w:t>颗粒物</w:t>
                  </w:r>
                </w:p>
              </w:tc>
              <w:tc>
                <w:tcPr>
                  <w:tcW w:w="1185" w:type="dxa"/>
                  <w:vAlign w:val="center"/>
                </w:tcPr>
                <w:p w14:paraId="45505CE0">
                  <w:pPr>
                    <w:jc w:val="center"/>
                    <w:rPr>
                      <w:szCs w:val="21"/>
                    </w:rPr>
                  </w:pPr>
                  <w:r>
                    <w:rPr>
                      <w:szCs w:val="21"/>
                    </w:rPr>
                    <w:t>0.314</w:t>
                  </w:r>
                </w:p>
              </w:tc>
              <w:tc>
                <w:tcPr>
                  <w:tcW w:w="1185" w:type="dxa"/>
                  <w:vAlign w:val="center"/>
                </w:tcPr>
                <w:p w14:paraId="3707E6F3">
                  <w:pPr>
                    <w:jc w:val="center"/>
                    <w:rPr>
                      <w:szCs w:val="21"/>
                    </w:rPr>
                  </w:pPr>
                  <w:r>
                    <w:rPr>
                      <w:szCs w:val="21"/>
                    </w:rPr>
                    <w:t>0.260</w:t>
                  </w:r>
                </w:p>
              </w:tc>
              <w:tc>
                <w:tcPr>
                  <w:tcW w:w="1185" w:type="dxa"/>
                  <w:vAlign w:val="center"/>
                </w:tcPr>
                <w:p w14:paraId="4533CF7E">
                  <w:pPr>
                    <w:jc w:val="center"/>
                    <w:rPr>
                      <w:szCs w:val="21"/>
                    </w:rPr>
                  </w:pPr>
                  <w:r>
                    <w:rPr>
                      <w:szCs w:val="21"/>
                    </w:rPr>
                    <w:t>0.240</w:t>
                  </w:r>
                </w:p>
              </w:tc>
              <w:tc>
                <w:tcPr>
                  <w:tcW w:w="1137" w:type="dxa"/>
                  <w:vAlign w:val="center"/>
                </w:tcPr>
                <w:p w14:paraId="6FABFF18">
                  <w:pPr>
                    <w:jc w:val="center"/>
                    <w:rPr>
                      <w:b/>
                      <w:bCs/>
                      <w:szCs w:val="21"/>
                    </w:rPr>
                  </w:pPr>
                  <w:r>
                    <w:rPr>
                      <w:bCs/>
                      <w:szCs w:val="21"/>
                    </w:rPr>
                    <w:t>mg/m</w:t>
                  </w:r>
                  <w:r>
                    <w:rPr>
                      <w:bCs/>
                      <w:szCs w:val="21"/>
                      <w:vertAlign w:val="superscript"/>
                    </w:rPr>
                    <w:t>3</w:t>
                  </w:r>
                </w:p>
              </w:tc>
            </w:tr>
            <w:tr w14:paraId="5D41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4FA2CF3D">
                  <w:pPr>
                    <w:jc w:val="center"/>
                    <w:rPr>
                      <w:bCs/>
                      <w:spacing w:val="-10"/>
                      <w:szCs w:val="21"/>
                    </w:rPr>
                  </w:pPr>
                </w:p>
              </w:tc>
              <w:tc>
                <w:tcPr>
                  <w:tcW w:w="1725" w:type="dxa"/>
                  <w:vMerge w:val="continue"/>
                  <w:vAlign w:val="center"/>
                </w:tcPr>
                <w:p w14:paraId="33F53904">
                  <w:pPr>
                    <w:jc w:val="center"/>
                    <w:rPr>
                      <w:bCs/>
                      <w:szCs w:val="21"/>
                    </w:rPr>
                  </w:pPr>
                </w:p>
              </w:tc>
              <w:tc>
                <w:tcPr>
                  <w:tcW w:w="1590" w:type="dxa"/>
                  <w:vAlign w:val="center"/>
                </w:tcPr>
                <w:p w14:paraId="619930D5">
                  <w:pPr>
                    <w:spacing w:line="360" w:lineRule="exact"/>
                    <w:jc w:val="center"/>
                    <w:rPr>
                      <w:color w:val="000000"/>
                      <w:spacing w:val="-12"/>
                      <w:szCs w:val="21"/>
                    </w:rPr>
                  </w:pPr>
                  <w:r>
                    <w:rPr>
                      <w:color w:val="000000"/>
                      <w:spacing w:val="-12"/>
                      <w:szCs w:val="21"/>
                    </w:rPr>
                    <w:t>二氧化硫</w:t>
                  </w:r>
                </w:p>
              </w:tc>
              <w:tc>
                <w:tcPr>
                  <w:tcW w:w="1185" w:type="dxa"/>
                  <w:vAlign w:val="center"/>
                </w:tcPr>
                <w:p w14:paraId="4CF3482D">
                  <w:pPr>
                    <w:jc w:val="center"/>
                    <w:rPr>
                      <w:szCs w:val="21"/>
                    </w:rPr>
                  </w:pPr>
                  <w:r>
                    <w:rPr>
                      <w:szCs w:val="21"/>
                    </w:rPr>
                    <w:t>0.010</w:t>
                  </w:r>
                </w:p>
              </w:tc>
              <w:tc>
                <w:tcPr>
                  <w:tcW w:w="1185" w:type="dxa"/>
                  <w:vAlign w:val="center"/>
                </w:tcPr>
                <w:p w14:paraId="2C24B64C">
                  <w:pPr>
                    <w:jc w:val="center"/>
                    <w:rPr>
                      <w:szCs w:val="21"/>
                    </w:rPr>
                  </w:pPr>
                  <w:r>
                    <w:rPr>
                      <w:szCs w:val="21"/>
                    </w:rPr>
                    <w:t>0.015</w:t>
                  </w:r>
                </w:p>
              </w:tc>
              <w:tc>
                <w:tcPr>
                  <w:tcW w:w="1185" w:type="dxa"/>
                  <w:vAlign w:val="center"/>
                </w:tcPr>
                <w:p w14:paraId="1772542F">
                  <w:pPr>
                    <w:jc w:val="center"/>
                    <w:rPr>
                      <w:szCs w:val="21"/>
                    </w:rPr>
                  </w:pPr>
                  <w:r>
                    <w:rPr>
                      <w:szCs w:val="21"/>
                    </w:rPr>
                    <w:t>0.028</w:t>
                  </w:r>
                </w:p>
              </w:tc>
              <w:tc>
                <w:tcPr>
                  <w:tcW w:w="1137" w:type="dxa"/>
                  <w:vAlign w:val="center"/>
                </w:tcPr>
                <w:p w14:paraId="181448FF">
                  <w:pPr>
                    <w:jc w:val="center"/>
                    <w:rPr>
                      <w:b/>
                      <w:bCs/>
                      <w:szCs w:val="21"/>
                    </w:rPr>
                  </w:pPr>
                  <w:r>
                    <w:rPr>
                      <w:bCs/>
                      <w:szCs w:val="21"/>
                    </w:rPr>
                    <w:t>mg/m</w:t>
                  </w:r>
                  <w:r>
                    <w:rPr>
                      <w:bCs/>
                      <w:szCs w:val="21"/>
                      <w:vertAlign w:val="superscript"/>
                    </w:rPr>
                    <w:t>3</w:t>
                  </w:r>
                </w:p>
              </w:tc>
            </w:tr>
            <w:tr w14:paraId="2E2C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26B9792E">
                  <w:pPr>
                    <w:jc w:val="center"/>
                    <w:rPr>
                      <w:bCs/>
                      <w:spacing w:val="-10"/>
                      <w:szCs w:val="21"/>
                    </w:rPr>
                  </w:pPr>
                </w:p>
              </w:tc>
              <w:tc>
                <w:tcPr>
                  <w:tcW w:w="1725" w:type="dxa"/>
                  <w:vMerge w:val="continue"/>
                  <w:vAlign w:val="center"/>
                </w:tcPr>
                <w:p w14:paraId="346AA1CB">
                  <w:pPr>
                    <w:jc w:val="center"/>
                    <w:rPr>
                      <w:bCs/>
                      <w:szCs w:val="21"/>
                    </w:rPr>
                  </w:pPr>
                </w:p>
              </w:tc>
              <w:tc>
                <w:tcPr>
                  <w:tcW w:w="1590" w:type="dxa"/>
                  <w:vAlign w:val="center"/>
                </w:tcPr>
                <w:p w14:paraId="79CDB88B">
                  <w:pPr>
                    <w:spacing w:line="360" w:lineRule="exact"/>
                    <w:jc w:val="center"/>
                    <w:rPr>
                      <w:color w:val="000000"/>
                      <w:spacing w:val="-12"/>
                      <w:szCs w:val="21"/>
                    </w:rPr>
                  </w:pPr>
                  <w:r>
                    <w:rPr>
                      <w:color w:val="000000"/>
                      <w:spacing w:val="-12"/>
                      <w:szCs w:val="21"/>
                    </w:rPr>
                    <w:t>二氧化氮</w:t>
                  </w:r>
                </w:p>
              </w:tc>
              <w:tc>
                <w:tcPr>
                  <w:tcW w:w="1185" w:type="dxa"/>
                  <w:vAlign w:val="center"/>
                </w:tcPr>
                <w:p w14:paraId="642D977E">
                  <w:pPr>
                    <w:jc w:val="center"/>
                    <w:rPr>
                      <w:bCs/>
                      <w:szCs w:val="21"/>
                    </w:rPr>
                  </w:pPr>
                  <w:r>
                    <w:rPr>
                      <w:bCs/>
                      <w:szCs w:val="21"/>
                    </w:rPr>
                    <w:t>0.022</w:t>
                  </w:r>
                </w:p>
              </w:tc>
              <w:tc>
                <w:tcPr>
                  <w:tcW w:w="1185" w:type="dxa"/>
                  <w:vAlign w:val="center"/>
                </w:tcPr>
                <w:p w14:paraId="4419A54C">
                  <w:pPr>
                    <w:jc w:val="center"/>
                    <w:rPr>
                      <w:bCs/>
                      <w:szCs w:val="21"/>
                    </w:rPr>
                  </w:pPr>
                  <w:r>
                    <w:rPr>
                      <w:bCs/>
                      <w:szCs w:val="21"/>
                    </w:rPr>
                    <w:t>0.024</w:t>
                  </w:r>
                </w:p>
              </w:tc>
              <w:tc>
                <w:tcPr>
                  <w:tcW w:w="1185" w:type="dxa"/>
                  <w:vAlign w:val="center"/>
                </w:tcPr>
                <w:p w14:paraId="26E73D5C">
                  <w:pPr>
                    <w:jc w:val="center"/>
                    <w:rPr>
                      <w:bCs/>
                      <w:szCs w:val="21"/>
                    </w:rPr>
                  </w:pPr>
                  <w:r>
                    <w:rPr>
                      <w:bCs/>
                      <w:szCs w:val="21"/>
                    </w:rPr>
                    <w:t>0.021</w:t>
                  </w:r>
                </w:p>
              </w:tc>
              <w:tc>
                <w:tcPr>
                  <w:tcW w:w="1137" w:type="dxa"/>
                  <w:vAlign w:val="center"/>
                </w:tcPr>
                <w:p w14:paraId="1029C9B7">
                  <w:pPr>
                    <w:jc w:val="center"/>
                    <w:rPr>
                      <w:bCs/>
                      <w:szCs w:val="21"/>
                    </w:rPr>
                  </w:pPr>
                  <w:r>
                    <w:rPr>
                      <w:bCs/>
                      <w:szCs w:val="21"/>
                    </w:rPr>
                    <w:t>mg/m</w:t>
                  </w:r>
                  <w:r>
                    <w:rPr>
                      <w:bCs/>
                      <w:szCs w:val="21"/>
                      <w:vertAlign w:val="superscript"/>
                    </w:rPr>
                    <w:t>3</w:t>
                  </w:r>
                </w:p>
              </w:tc>
            </w:tr>
            <w:tr w14:paraId="18CE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72165432">
                  <w:pPr>
                    <w:jc w:val="center"/>
                    <w:rPr>
                      <w:bCs/>
                      <w:spacing w:val="-10"/>
                      <w:szCs w:val="21"/>
                    </w:rPr>
                  </w:pPr>
                </w:p>
              </w:tc>
              <w:tc>
                <w:tcPr>
                  <w:tcW w:w="1725" w:type="dxa"/>
                  <w:vMerge w:val="restart"/>
                  <w:vAlign w:val="center"/>
                </w:tcPr>
                <w:p w14:paraId="5DA8EA03">
                  <w:pPr>
                    <w:jc w:val="center"/>
                    <w:rPr>
                      <w:bCs/>
                      <w:szCs w:val="21"/>
                    </w:rPr>
                  </w:pPr>
                  <w:r>
                    <w:rPr>
                      <w:bCs/>
                      <w:szCs w:val="21"/>
                    </w:rPr>
                    <w:t>厂界下风向</w:t>
                  </w:r>
                </w:p>
                <w:p w14:paraId="34266C01">
                  <w:pPr>
                    <w:jc w:val="center"/>
                    <w:rPr>
                      <w:bCs/>
                      <w:szCs w:val="21"/>
                    </w:rPr>
                  </w:pPr>
                  <w:r>
                    <w:rPr>
                      <w:bCs/>
                      <w:szCs w:val="21"/>
                    </w:rPr>
                    <w:t>4号点</w:t>
                  </w:r>
                </w:p>
              </w:tc>
              <w:tc>
                <w:tcPr>
                  <w:tcW w:w="1590" w:type="dxa"/>
                  <w:vAlign w:val="center"/>
                </w:tcPr>
                <w:p w14:paraId="410A1FF4">
                  <w:pPr>
                    <w:spacing w:line="360" w:lineRule="exact"/>
                    <w:jc w:val="center"/>
                    <w:rPr>
                      <w:color w:val="000000"/>
                      <w:spacing w:val="-12"/>
                      <w:szCs w:val="21"/>
                    </w:rPr>
                  </w:pPr>
                  <w:r>
                    <w:rPr>
                      <w:color w:val="000000"/>
                      <w:spacing w:val="-12"/>
                      <w:szCs w:val="21"/>
                    </w:rPr>
                    <w:t>颗粒物</w:t>
                  </w:r>
                </w:p>
              </w:tc>
              <w:tc>
                <w:tcPr>
                  <w:tcW w:w="1185" w:type="dxa"/>
                  <w:vAlign w:val="center"/>
                </w:tcPr>
                <w:p w14:paraId="3C78B952">
                  <w:pPr>
                    <w:jc w:val="center"/>
                    <w:rPr>
                      <w:bCs/>
                      <w:szCs w:val="21"/>
                    </w:rPr>
                  </w:pPr>
                  <w:r>
                    <w:rPr>
                      <w:bCs/>
                      <w:szCs w:val="21"/>
                    </w:rPr>
                    <w:t>0.333</w:t>
                  </w:r>
                </w:p>
              </w:tc>
              <w:tc>
                <w:tcPr>
                  <w:tcW w:w="1185" w:type="dxa"/>
                  <w:vAlign w:val="center"/>
                </w:tcPr>
                <w:p w14:paraId="7E6A44EB">
                  <w:pPr>
                    <w:jc w:val="center"/>
                    <w:rPr>
                      <w:bCs/>
                      <w:szCs w:val="21"/>
                    </w:rPr>
                  </w:pPr>
                  <w:r>
                    <w:rPr>
                      <w:bCs/>
                      <w:szCs w:val="21"/>
                    </w:rPr>
                    <w:t>0.297</w:t>
                  </w:r>
                </w:p>
              </w:tc>
              <w:tc>
                <w:tcPr>
                  <w:tcW w:w="1185" w:type="dxa"/>
                  <w:vAlign w:val="center"/>
                </w:tcPr>
                <w:p w14:paraId="4DE2EC2C">
                  <w:pPr>
                    <w:jc w:val="center"/>
                    <w:rPr>
                      <w:bCs/>
                      <w:szCs w:val="21"/>
                    </w:rPr>
                  </w:pPr>
                  <w:r>
                    <w:rPr>
                      <w:bCs/>
                      <w:szCs w:val="21"/>
                    </w:rPr>
                    <w:t>0.314</w:t>
                  </w:r>
                </w:p>
              </w:tc>
              <w:tc>
                <w:tcPr>
                  <w:tcW w:w="1137" w:type="dxa"/>
                  <w:vAlign w:val="center"/>
                </w:tcPr>
                <w:p w14:paraId="158B371E">
                  <w:pPr>
                    <w:jc w:val="center"/>
                    <w:rPr>
                      <w:b/>
                      <w:bCs/>
                      <w:szCs w:val="21"/>
                    </w:rPr>
                  </w:pPr>
                  <w:r>
                    <w:rPr>
                      <w:bCs/>
                      <w:szCs w:val="21"/>
                    </w:rPr>
                    <w:t>mg/m</w:t>
                  </w:r>
                  <w:r>
                    <w:rPr>
                      <w:bCs/>
                      <w:szCs w:val="21"/>
                      <w:vertAlign w:val="superscript"/>
                    </w:rPr>
                    <w:t>3</w:t>
                  </w:r>
                </w:p>
              </w:tc>
            </w:tr>
            <w:tr w14:paraId="0611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3A7898FC">
                  <w:pPr>
                    <w:jc w:val="center"/>
                    <w:rPr>
                      <w:bCs/>
                      <w:spacing w:val="-10"/>
                      <w:szCs w:val="21"/>
                    </w:rPr>
                  </w:pPr>
                </w:p>
              </w:tc>
              <w:tc>
                <w:tcPr>
                  <w:tcW w:w="1725" w:type="dxa"/>
                  <w:vMerge w:val="continue"/>
                  <w:vAlign w:val="center"/>
                </w:tcPr>
                <w:p w14:paraId="3F91D1DD">
                  <w:pPr>
                    <w:jc w:val="center"/>
                    <w:rPr>
                      <w:bCs/>
                      <w:szCs w:val="21"/>
                    </w:rPr>
                  </w:pPr>
                </w:p>
              </w:tc>
              <w:tc>
                <w:tcPr>
                  <w:tcW w:w="1590" w:type="dxa"/>
                  <w:vAlign w:val="center"/>
                </w:tcPr>
                <w:p w14:paraId="582CEEB7">
                  <w:pPr>
                    <w:spacing w:line="360" w:lineRule="exact"/>
                    <w:jc w:val="center"/>
                    <w:rPr>
                      <w:color w:val="000000"/>
                      <w:spacing w:val="-12"/>
                      <w:szCs w:val="21"/>
                    </w:rPr>
                  </w:pPr>
                  <w:r>
                    <w:rPr>
                      <w:color w:val="000000"/>
                      <w:spacing w:val="-12"/>
                      <w:szCs w:val="21"/>
                    </w:rPr>
                    <w:t>二氧化硫</w:t>
                  </w:r>
                </w:p>
              </w:tc>
              <w:tc>
                <w:tcPr>
                  <w:tcW w:w="1185" w:type="dxa"/>
                  <w:vAlign w:val="center"/>
                </w:tcPr>
                <w:p w14:paraId="4ECEBDBE">
                  <w:pPr>
                    <w:jc w:val="center"/>
                    <w:rPr>
                      <w:bCs/>
                      <w:szCs w:val="21"/>
                    </w:rPr>
                  </w:pPr>
                  <w:r>
                    <w:rPr>
                      <w:bCs/>
                      <w:szCs w:val="21"/>
                    </w:rPr>
                    <w:t>0.013</w:t>
                  </w:r>
                </w:p>
              </w:tc>
              <w:tc>
                <w:tcPr>
                  <w:tcW w:w="1185" w:type="dxa"/>
                  <w:vAlign w:val="center"/>
                </w:tcPr>
                <w:p w14:paraId="6C520500">
                  <w:pPr>
                    <w:jc w:val="center"/>
                    <w:rPr>
                      <w:bCs/>
                      <w:szCs w:val="21"/>
                    </w:rPr>
                  </w:pPr>
                  <w:r>
                    <w:rPr>
                      <w:bCs/>
                      <w:szCs w:val="21"/>
                    </w:rPr>
                    <w:t>0.019</w:t>
                  </w:r>
                </w:p>
              </w:tc>
              <w:tc>
                <w:tcPr>
                  <w:tcW w:w="1185" w:type="dxa"/>
                  <w:vAlign w:val="center"/>
                </w:tcPr>
                <w:p w14:paraId="2196CF2E">
                  <w:pPr>
                    <w:jc w:val="center"/>
                    <w:rPr>
                      <w:bCs/>
                      <w:szCs w:val="21"/>
                    </w:rPr>
                  </w:pPr>
                  <w:r>
                    <w:rPr>
                      <w:bCs/>
                      <w:szCs w:val="21"/>
                    </w:rPr>
                    <w:t>0.030</w:t>
                  </w:r>
                </w:p>
              </w:tc>
              <w:tc>
                <w:tcPr>
                  <w:tcW w:w="1137" w:type="dxa"/>
                  <w:vAlign w:val="center"/>
                </w:tcPr>
                <w:p w14:paraId="3196ED0E">
                  <w:pPr>
                    <w:jc w:val="center"/>
                    <w:rPr>
                      <w:b/>
                      <w:bCs/>
                      <w:szCs w:val="21"/>
                    </w:rPr>
                  </w:pPr>
                  <w:r>
                    <w:rPr>
                      <w:bCs/>
                      <w:szCs w:val="21"/>
                    </w:rPr>
                    <w:t>mg/m</w:t>
                  </w:r>
                  <w:r>
                    <w:rPr>
                      <w:bCs/>
                      <w:szCs w:val="21"/>
                      <w:vertAlign w:val="superscript"/>
                    </w:rPr>
                    <w:t>3</w:t>
                  </w:r>
                </w:p>
              </w:tc>
            </w:tr>
            <w:tr w14:paraId="1321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565F7C24">
                  <w:pPr>
                    <w:jc w:val="center"/>
                    <w:rPr>
                      <w:bCs/>
                      <w:spacing w:val="-10"/>
                      <w:szCs w:val="21"/>
                    </w:rPr>
                  </w:pPr>
                </w:p>
              </w:tc>
              <w:tc>
                <w:tcPr>
                  <w:tcW w:w="1725" w:type="dxa"/>
                  <w:vMerge w:val="continue"/>
                  <w:vAlign w:val="center"/>
                </w:tcPr>
                <w:p w14:paraId="282A4F31">
                  <w:pPr>
                    <w:jc w:val="center"/>
                    <w:rPr>
                      <w:bCs/>
                      <w:szCs w:val="21"/>
                    </w:rPr>
                  </w:pPr>
                </w:p>
              </w:tc>
              <w:tc>
                <w:tcPr>
                  <w:tcW w:w="1590" w:type="dxa"/>
                  <w:vAlign w:val="center"/>
                </w:tcPr>
                <w:p w14:paraId="7A2CC3AB">
                  <w:pPr>
                    <w:spacing w:line="360" w:lineRule="exact"/>
                    <w:jc w:val="center"/>
                    <w:rPr>
                      <w:color w:val="000000"/>
                      <w:spacing w:val="-12"/>
                      <w:szCs w:val="21"/>
                    </w:rPr>
                  </w:pPr>
                  <w:r>
                    <w:rPr>
                      <w:color w:val="000000"/>
                      <w:spacing w:val="-12"/>
                      <w:szCs w:val="21"/>
                    </w:rPr>
                    <w:t>二氧化氮</w:t>
                  </w:r>
                </w:p>
              </w:tc>
              <w:tc>
                <w:tcPr>
                  <w:tcW w:w="1185" w:type="dxa"/>
                  <w:vAlign w:val="center"/>
                </w:tcPr>
                <w:p w14:paraId="225B7228">
                  <w:pPr>
                    <w:jc w:val="center"/>
                    <w:rPr>
                      <w:bCs/>
                      <w:szCs w:val="21"/>
                    </w:rPr>
                  </w:pPr>
                  <w:r>
                    <w:rPr>
                      <w:bCs/>
                      <w:szCs w:val="21"/>
                    </w:rPr>
                    <w:t>0.022</w:t>
                  </w:r>
                </w:p>
              </w:tc>
              <w:tc>
                <w:tcPr>
                  <w:tcW w:w="1185" w:type="dxa"/>
                  <w:vAlign w:val="center"/>
                </w:tcPr>
                <w:p w14:paraId="293725E6">
                  <w:pPr>
                    <w:jc w:val="center"/>
                    <w:rPr>
                      <w:bCs/>
                      <w:szCs w:val="21"/>
                    </w:rPr>
                  </w:pPr>
                  <w:r>
                    <w:rPr>
                      <w:bCs/>
                      <w:szCs w:val="21"/>
                    </w:rPr>
                    <w:t>0.025</w:t>
                  </w:r>
                </w:p>
              </w:tc>
              <w:tc>
                <w:tcPr>
                  <w:tcW w:w="1185" w:type="dxa"/>
                  <w:vAlign w:val="center"/>
                </w:tcPr>
                <w:p w14:paraId="43B5B954">
                  <w:pPr>
                    <w:jc w:val="center"/>
                    <w:rPr>
                      <w:bCs/>
                      <w:szCs w:val="21"/>
                    </w:rPr>
                  </w:pPr>
                  <w:r>
                    <w:rPr>
                      <w:bCs/>
                      <w:szCs w:val="21"/>
                    </w:rPr>
                    <w:t>0.020</w:t>
                  </w:r>
                </w:p>
              </w:tc>
              <w:tc>
                <w:tcPr>
                  <w:tcW w:w="1137" w:type="dxa"/>
                  <w:vAlign w:val="center"/>
                </w:tcPr>
                <w:p w14:paraId="2D939E03">
                  <w:pPr>
                    <w:jc w:val="center"/>
                    <w:rPr>
                      <w:bCs/>
                      <w:szCs w:val="21"/>
                    </w:rPr>
                  </w:pPr>
                  <w:r>
                    <w:rPr>
                      <w:bCs/>
                      <w:szCs w:val="21"/>
                    </w:rPr>
                    <w:t>mg/m</w:t>
                  </w:r>
                  <w:r>
                    <w:rPr>
                      <w:bCs/>
                      <w:szCs w:val="21"/>
                      <w:vertAlign w:val="superscript"/>
                    </w:rPr>
                    <w:t>3</w:t>
                  </w:r>
                </w:p>
              </w:tc>
            </w:tr>
            <w:tr w14:paraId="7F36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restart"/>
                  <w:vAlign w:val="center"/>
                </w:tcPr>
                <w:p w14:paraId="0EC6070B">
                  <w:pPr>
                    <w:jc w:val="center"/>
                    <w:rPr>
                      <w:bCs/>
                      <w:szCs w:val="21"/>
                    </w:rPr>
                  </w:pPr>
                  <w:r>
                    <w:rPr>
                      <w:bCs/>
                      <w:szCs w:val="21"/>
                    </w:rPr>
                    <w:t>05月</w:t>
                  </w:r>
                </w:p>
                <w:p w14:paraId="5E08DA81">
                  <w:pPr>
                    <w:jc w:val="center"/>
                    <w:rPr>
                      <w:bCs/>
                      <w:spacing w:val="-10"/>
                      <w:szCs w:val="21"/>
                    </w:rPr>
                  </w:pPr>
                  <w:r>
                    <w:rPr>
                      <w:bCs/>
                      <w:szCs w:val="21"/>
                    </w:rPr>
                    <w:t>23日</w:t>
                  </w:r>
                </w:p>
              </w:tc>
              <w:tc>
                <w:tcPr>
                  <w:tcW w:w="1725" w:type="dxa"/>
                  <w:vMerge w:val="restart"/>
                  <w:vAlign w:val="center"/>
                </w:tcPr>
                <w:p w14:paraId="14B378D5">
                  <w:pPr>
                    <w:jc w:val="center"/>
                    <w:rPr>
                      <w:bCs/>
                      <w:szCs w:val="21"/>
                    </w:rPr>
                  </w:pPr>
                  <w:r>
                    <w:rPr>
                      <w:bCs/>
                      <w:szCs w:val="21"/>
                    </w:rPr>
                    <w:t>厂界上风向</w:t>
                  </w:r>
                </w:p>
                <w:p w14:paraId="442F416B">
                  <w:pPr>
                    <w:jc w:val="center"/>
                    <w:rPr>
                      <w:bCs/>
                      <w:szCs w:val="21"/>
                    </w:rPr>
                  </w:pPr>
                  <w:r>
                    <w:rPr>
                      <w:bCs/>
                      <w:szCs w:val="21"/>
                    </w:rPr>
                    <w:t>1号点</w:t>
                  </w:r>
                </w:p>
              </w:tc>
              <w:tc>
                <w:tcPr>
                  <w:tcW w:w="1590" w:type="dxa"/>
                  <w:vAlign w:val="center"/>
                </w:tcPr>
                <w:p w14:paraId="63ED8EFE">
                  <w:pPr>
                    <w:spacing w:line="360" w:lineRule="exact"/>
                    <w:jc w:val="center"/>
                    <w:rPr>
                      <w:color w:val="000000"/>
                      <w:spacing w:val="-12"/>
                      <w:szCs w:val="21"/>
                    </w:rPr>
                  </w:pPr>
                  <w:r>
                    <w:rPr>
                      <w:color w:val="000000"/>
                      <w:spacing w:val="-12"/>
                      <w:szCs w:val="21"/>
                    </w:rPr>
                    <w:t>颗粒物</w:t>
                  </w:r>
                </w:p>
              </w:tc>
              <w:tc>
                <w:tcPr>
                  <w:tcW w:w="1185" w:type="dxa"/>
                  <w:vAlign w:val="center"/>
                </w:tcPr>
                <w:p w14:paraId="2B93A068">
                  <w:pPr>
                    <w:jc w:val="center"/>
                    <w:rPr>
                      <w:szCs w:val="21"/>
                    </w:rPr>
                  </w:pPr>
                  <w:r>
                    <w:rPr>
                      <w:szCs w:val="21"/>
                    </w:rPr>
                    <w:t>0.128</w:t>
                  </w:r>
                </w:p>
              </w:tc>
              <w:tc>
                <w:tcPr>
                  <w:tcW w:w="1185" w:type="dxa"/>
                  <w:vAlign w:val="center"/>
                </w:tcPr>
                <w:p w14:paraId="597D9277">
                  <w:pPr>
                    <w:jc w:val="center"/>
                    <w:rPr>
                      <w:szCs w:val="21"/>
                    </w:rPr>
                  </w:pPr>
                  <w:r>
                    <w:rPr>
                      <w:szCs w:val="21"/>
                    </w:rPr>
                    <w:t>0.111</w:t>
                  </w:r>
                </w:p>
              </w:tc>
              <w:tc>
                <w:tcPr>
                  <w:tcW w:w="1185" w:type="dxa"/>
                  <w:vAlign w:val="center"/>
                </w:tcPr>
                <w:p w14:paraId="4168D385">
                  <w:pPr>
                    <w:jc w:val="center"/>
                    <w:rPr>
                      <w:szCs w:val="21"/>
                    </w:rPr>
                  </w:pPr>
                  <w:r>
                    <w:rPr>
                      <w:szCs w:val="21"/>
                    </w:rPr>
                    <w:t>0.092</w:t>
                  </w:r>
                </w:p>
              </w:tc>
              <w:tc>
                <w:tcPr>
                  <w:tcW w:w="1137" w:type="dxa"/>
                  <w:vAlign w:val="center"/>
                </w:tcPr>
                <w:p w14:paraId="6D876B8E">
                  <w:pPr>
                    <w:jc w:val="center"/>
                    <w:rPr>
                      <w:b/>
                      <w:bCs/>
                      <w:szCs w:val="21"/>
                    </w:rPr>
                  </w:pPr>
                  <w:r>
                    <w:rPr>
                      <w:bCs/>
                      <w:szCs w:val="21"/>
                    </w:rPr>
                    <w:t>mg/m</w:t>
                  </w:r>
                  <w:r>
                    <w:rPr>
                      <w:bCs/>
                      <w:szCs w:val="21"/>
                      <w:vertAlign w:val="superscript"/>
                    </w:rPr>
                    <w:t>3</w:t>
                  </w:r>
                </w:p>
              </w:tc>
            </w:tr>
            <w:tr w14:paraId="77F5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5BDF80AD">
                  <w:pPr>
                    <w:jc w:val="center"/>
                    <w:rPr>
                      <w:bCs/>
                      <w:spacing w:val="-10"/>
                      <w:szCs w:val="21"/>
                    </w:rPr>
                  </w:pPr>
                </w:p>
              </w:tc>
              <w:tc>
                <w:tcPr>
                  <w:tcW w:w="1725" w:type="dxa"/>
                  <w:vMerge w:val="continue"/>
                  <w:vAlign w:val="center"/>
                </w:tcPr>
                <w:p w14:paraId="28585D77">
                  <w:pPr>
                    <w:jc w:val="center"/>
                    <w:rPr>
                      <w:bCs/>
                      <w:szCs w:val="21"/>
                    </w:rPr>
                  </w:pPr>
                </w:p>
              </w:tc>
              <w:tc>
                <w:tcPr>
                  <w:tcW w:w="1590" w:type="dxa"/>
                  <w:vAlign w:val="center"/>
                </w:tcPr>
                <w:p w14:paraId="6106784B">
                  <w:pPr>
                    <w:spacing w:line="360" w:lineRule="exact"/>
                    <w:jc w:val="center"/>
                    <w:rPr>
                      <w:color w:val="000000"/>
                      <w:spacing w:val="-12"/>
                      <w:szCs w:val="21"/>
                    </w:rPr>
                  </w:pPr>
                  <w:r>
                    <w:rPr>
                      <w:color w:val="000000"/>
                      <w:spacing w:val="-12"/>
                      <w:szCs w:val="21"/>
                    </w:rPr>
                    <w:t>二氧化硫</w:t>
                  </w:r>
                </w:p>
              </w:tc>
              <w:tc>
                <w:tcPr>
                  <w:tcW w:w="1185" w:type="dxa"/>
                  <w:vAlign w:val="center"/>
                </w:tcPr>
                <w:p w14:paraId="5041BBD2">
                  <w:pPr>
                    <w:jc w:val="center"/>
                    <w:rPr>
                      <w:szCs w:val="21"/>
                    </w:rPr>
                  </w:pPr>
                  <w:r>
                    <w:rPr>
                      <w:szCs w:val="21"/>
                    </w:rPr>
                    <w:t>0.021</w:t>
                  </w:r>
                </w:p>
              </w:tc>
              <w:tc>
                <w:tcPr>
                  <w:tcW w:w="1185" w:type="dxa"/>
                  <w:vAlign w:val="center"/>
                </w:tcPr>
                <w:p w14:paraId="04CF5AAF">
                  <w:pPr>
                    <w:jc w:val="center"/>
                    <w:rPr>
                      <w:szCs w:val="21"/>
                    </w:rPr>
                  </w:pPr>
                  <w:r>
                    <w:rPr>
                      <w:szCs w:val="21"/>
                    </w:rPr>
                    <w:t>0.030</w:t>
                  </w:r>
                </w:p>
              </w:tc>
              <w:tc>
                <w:tcPr>
                  <w:tcW w:w="1185" w:type="dxa"/>
                  <w:vAlign w:val="center"/>
                </w:tcPr>
                <w:p w14:paraId="21D69490">
                  <w:pPr>
                    <w:jc w:val="center"/>
                    <w:rPr>
                      <w:szCs w:val="21"/>
                    </w:rPr>
                  </w:pPr>
                  <w:r>
                    <w:rPr>
                      <w:szCs w:val="21"/>
                    </w:rPr>
                    <w:t>0.032</w:t>
                  </w:r>
                </w:p>
              </w:tc>
              <w:tc>
                <w:tcPr>
                  <w:tcW w:w="1137" w:type="dxa"/>
                  <w:vAlign w:val="center"/>
                </w:tcPr>
                <w:p w14:paraId="400E1980">
                  <w:pPr>
                    <w:jc w:val="center"/>
                    <w:rPr>
                      <w:b/>
                      <w:bCs/>
                      <w:szCs w:val="21"/>
                    </w:rPr>
                  </w:pPr>
                  <w:r>
                    <w:rPr>
                      <w:bCs/>
                      <w:szCs w:val="21"/>
                    </w:rPr>
                    <w:t>mg/m</w:t>
                  </w:r>
                  <w:r>
                    <w:rPr>
                      <w:bCs/>
                      <w:szCs w:val="21"/>
                      <w:vertAlign w:val="superscript"/>
                    </w:rPr>
                    <w:t>3</w:t>
                  </w:r>
                </w:p>
              </w:tc>
            </w:tr>
            <w:tr w14:paraId="4147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119BA278">
                  <w:pPr>
                    <w:jc w:val="center"/>
                    <w:rPr>
                      <w:bCs/>
                      <w:spacing w:val="-10"/>
                      <w:szCs w:val="21"/>
                    </w:rPr>
                  </w:pPr>
                </w:p>
              </w:tc>
              <w:tc>
                <w:tcPr>
                  <w:tcW w:w="1725" w:type="dxa"/>
                  <w:vMerge w:val="continue"/>
                  <w:vAlign w:val="center"/>
                </w:tcPr>
                <w:p w14:paraId="1AB49BA8">
                  <w:pPr>
                    <w:jc w:val="center"/>
                    <w:rPr>
                      <w:bCs/>
                      <w:szCs w:val="21"/>
                    </w:rPr>
                  </w:pPr>
                </w:p>
              </w:tc>
              <w:tc>
                <w:tcPr>
                  <w:tcW w:w="1590" w:type="dxa"/>
                  <w:vAlign w:val="center"/>
                </w:tcPr>
                <w:p w14:paraId="1DC42924">
                  <w:pPr>
                    <w:spacing w:line="360" w:lineRule="exact"/>
                    <w:jc w:val="center"/>
                    <w:rPr>
                      <w:color w:val="000000"/>
                      <w:spacing w:val="-12"/>
                      <w:szCs w:val="21"/>
                    </w:rPr>
                  </w:pPr>
                  <w:r>
                    <w:rPr>
                      <w:color w:val="000000"/>
                      <w:spacing w:val="-12"/>
                      <w:szCs w:val="21"/>
                    </w:rPr>
                    <w:t>二氧化氮</w:t>
                  </w:r>
                </w:p>
              </w:tc>
              <w:tc>
                <w:tcPr>
                  <w:tcW w:w="1185" w:type="dxa"/>
                  <w:vAlign w:val="center"/>
                </w:tcPr>
                <w:p w14:paraId="096B0AE5">
                  <w:pPr>
                    <w:jc w:val="center"/>
                    <w:rPr>
                      <w:bCs/>
                      <w:szCs w:val="21"/>
                    </w:rPr>
                  </w:pPr>
                  <w:r>
                    <w:rPr>
                      <w:bCs/>
                      <w:szCs w:val="21"/>
                    </w:rPr>
                    <w:t>0.018</w:t>
                  </w:r>
                </w:p>
              </w:tc>
              <w:tc>
                <w:tcPr>
                  <w:tcW w:w="1185" w:type="dxa"/>
                  <w:vAlign w:val="center"/>
                </w:tcPr>
                <w:p w14:paraId="6A8DAB3C">
                  <w:pPr>
                    <w:jc w:val="center"/>
                    <w:rPr>
                      <w:bCs/>
                      <w:szCs w:val="21"/>
                    </w:rPr>
                  </w:pPr>
                  <w:r>
                    <w:rPr>
                      <w:bCs/>
                      <w:szCs w:val="21"/>
                    </w:rPr>
                    <w:t>0.019</w:t>
                  </w:r>
                </w:p>
              </w:tc>
              <w:tc>
                <w:tcPr>
                  <w:tcW w:w="1185" w:type="dxa"/>
                  <w:vAlign w:val="center"/>
                </w:tcPr>
                <w:p w14:paraId="57EF17E7">
                  <w:pPr>
                    <w:jc w:val="center"/>
                    <w:rPr>
                      <w:bCs/>
                      <w:szCs w:val="21"/>
                    </w:rPr>
                  </w:pPr>
                  <w:r>
                    <w:rPr>
                      <w:bCs/>
                      <w:szCs w:val="21"/>
                    </w:rPr>
                    <w:t>0.018</w:t>
                  </w:r>
                </w:p>
              </w:tc>
              <w:tc>
                <w:tcPr>
                  <w:tcW w:w="1137" w:type="dxa"/>
                  <w:vAlign w:val="center"/>
                </w:tcPr>
                <w:p w14:paraId="0A74E378">
                  <w:pPr>
                    <w:jc w:val="center"/>
                    <w:rPr>
                      <w:bCs/>
                      <w:szCs w:val="21"/>
                    </w:rPr>
                  </w:pPr>
                  <w:r>
                    <w:rPr>
                      <w:bCs/>
                      <w:szCs w:val="21"/>
                    </w:rPr>
                    <w:t>mg/m</w:t>
                  </w:r>
                  <w:r>
                    <w:rPr>
                      <w:bCs/>
                      <w:szCs w:val="21"/>
                      <w:vertAlign w:val="superscript"/>
                    </w:rPr>
                    <w:t>3</w:t>
                  </w:r>
                </w:p>
              </w:tc>
            </w:tr>
            <w:tr w14:paraId="1252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633B7ECF">
                  <w:pPr>
                    <w:jc w:val="center"/>
                    <w:rPr>
                      <w:bCs/>
                      <w:spacing w:val="-10"/>
                      <w:szCs w:val="21"/>
                    </w:rPr>
                  </w:pPr>
                </w:p>
              </w:tc>
              <w:tc>
                <w:tcPr>
                  <w:tcW w:w="1725" w:type="dxa"/>
                  <w:vMerge w:val="restart"/>
                  <w:vAlign w:val="center"/>
                </w:tcPr>
                <w:p w14:paraId="7C7CC69A">
                  <w:pPr>
                    <w:jc w:val="center"/>
                    <w:rPr>
                      <w:bCs/>
                      <w:szCs w:val="21"/>
                    </w:rPr>
                  </w:pPr>
                  <w:r>
                    <w:rPr>
                      <w:bCs/>
                      <w:szCs w:val="21"/>
                    </w:rPr>
                    <w:t>厂界下风向</w:t>
                  </w:r>
                </w:p>
                <w:p w14:paraId="59DC085E">
                  <w:pPr>
                    <w:jc w:val="center"/>
                    <w:rPr>
                      <w:bCs/>
                      <w:szCs w:val="21"/>
                    </w:rPr>
                  </w:pPr>
                  <w:r>
                    <w:rPr>
                      <w:bCs/>
                      <w:szCs w:val="21"/>
                    </w:rPr>
                    <w:t>2号点</w:t>
                  </w:r>
                </w:p>
              </w:tc>
              <w:tc>
                <w:tcPr>
                  <w:tcW w:w="1590" w:type="dxa"/>
                  <w:vAlign w:val="center"/>
                </w:tcPr>
                <w:p w14:paraId="6939D2E4">
                  <w:pPr>
                    <w:spacing w:line="360" w:lineRule="exact"/>
                    <w:jc w:val="center"/>
                    <w:rPr>
                      <w:color w:val="000000"/>
                      <w:spacing w:val="-12"/>
                      <w:szCs w:val="21"/>
                    </w:rPr>
                  </w:pPr>
                  <w:r>
                    <w:rPr>
                      <w:color w:val="000000"/>
                      <w:spacing w:val="-12"/>
                      <w:szCs w:val="21"/>
                    </w:rPr>
                    <w:t>颗粒物</w:t>
                  </w:r>
                </w:p>
              </w:tc>
              <w:tc>
                <w:tcPr>
                  <w:tcW w:w="1185" w:type="dxa"/>
                  <w:vAlign w:val="center"/>
                </w:tcPr>
                <w:p w14:paraId="6A5C5F60">
                  <w:pPr>
                    <w:jc w:val="center"/>
                    <w:rPr>
                      <w:szCs w:val="21"/>
                    </w:rPr>
                  </w:pPr>
                  <w:r>
                    <w:rPr>
                      <w:szCs w:val="21"/>
                    </w:rPr>
                    <w:t>0.220</w:t>
                  </w:r>
                </w:p>
              </w:tc>
              <w:tc>
                <w:tcPr>
                  <w:tcW w:w="1185" w:type="dxa"/>
                  <w:vAlign w:val="center"/>
                </w:tcPr>
                <w:p w14:paraId="74C3CAF3">
                  <w:pPr>
                    <w:jc w:val="center"/>
                    <w:rPr>
                      <w:szCs w:val="21"/>
                    </w:rPr>
                  </w:pPr>
                  <w:r>
                    <w:rPr>
                      <w:szCs w:val="21"/>
                    </w:rPr>
                    <w:t>0.203</w:t>
                  </w:r>
                </w:p>
              </w:tc>
              <w:tc>
                <w:tcPr>
                  <w:tcW w:w="1185" w:type="dxa"/>
                  <w:vAlign w:val="center"/>
                </w:tcPr>
                <w:p w14:paraId="164DCDC2">
                  <w:pPr>
                    <w:jc w:val="center"/>
                    <w:rPr>
                      <w:szCs w:val="21"/>
                    </w:rPr>
                  </w:pPr>
                  <w:r>
                    <w:rPr>
                      <w:szCs w:val="21"/>
                    </w:rPr>
                    <w:t>0.184</w:t>
                  </w:r>
                </w:p>
              </w:tc>
              <w:tc>
                <w:tcPr>
                  <w:tcW w:w="1137" w:type="dxa"/>
                  <w:vAlign w:val="center"/>
                </w:tcPr>
                <w:p w14:paraId="41DB3A28">
                  <w:pPr>
                    <w:jc w:val="center"/>
                    <w:rPr>
                      <w:b/>
                      <w:bCs/>
                      <w:szCs w:val="21"/>
                    </w:rPr>
                  </w:pPr>
                  <w:r>
                    <w:rPr>
                      <w:bCs/>
                      <w:szCs w:val="21"/>
                    </w:rPr>
                    <w:t>mg/m</w:t>
                  </w:r>
                  <w:r>
                    <w:rPr>
                      <w:bCs/>
                      <w:szCs w:val="21"/>
                      <w:vertAlign w:val="superscript"/>
                    </w:rPr>
                    <w:t>3</w:t>
                  </w:r>
                </w:p>
              </w:tc>
            </w:tr>
            <w:tr w14:paraId="3A5C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12E4A574">
                  <w:pPr>
                    <w:jc w:val="center"/>
                    <w:rPr>
                      <w:bCs/>
                      <w:spacing w:val="-10"/>
                      <w:szCs w:val="21"/>
                    </w:rPr>
                  </w:pPr>
                </w:p>
              </w:tc>
              <w:tc>
                <w:tcPr>
                  <w:tcW w:w="1725" w:type="dxa"/>
                  <w:vMerge w:val="continue"/>
                  <w:vAlign w:val="center"/>
                </w:tcPr>
                <w:p w14:paraId="68AC0963">
                  <w:pPr>
                    <w:jc w:val="center"/>
                    <w:rPr>
                      <w:bCs/>
                      <w:szCs w:val="21"/>
                    </w:rPr>
                  </w:pPr>
                </w:p>
              </w:tc>
              <w:tc>
                <w:tcPr>
                  <w:tcW w:w="1590" w:type="dxa"/>
                  <w:vAlign w:val="center"/>
                </w:tcPr>
                <w:p w14:paraId="2AF10849">
                  <w:pPr>
                    <w:spacing w:line="360" w:lineRule="exact"/>
                    <w:jc w:val="center"/>
                    <w:rPr>
                      <w:color w:val="000000"/>
                      <w:spacing w:val="-12"/>
                      <w:szCs w:val="21"/>
                    </w:rPr>
                  </w:pPr>
                  <w:r>
                    <w:rPr>
                      <w:color w:val="000000"/>
                      <w:spacing w:val="-12"/>
                      <w:szCs w:val="21"/>
                    </w:rPr>
                    <w:t>二氧化硫</w:t>
                  </w:r>
                </w:p>
              </w:tc>
              <w:tc>
                <w:tcPr>
                  <w:tcW w:w="1185" w:type="dxa"/>
                  <w:vAlign w:val="center"/>
                </w:tcPr>
                <w:p w14:paraId="7BD7B2E1">
                  <w:pPr>
                    <w:jc w:val="center"/>
                    <w:rPr>
                      <w:szCs w:val="21"/>
                    </w:rPr>
                  </w:pPr>
                  <w:r>
                    <w:rPr>
                      <w:szCs w:val="21"/>
                    </w:rPr>
                    <w:t>0.024</w:t>
                  </w:r>
                </w:p>
              </w:tc>
              <w:tc>
                <w:tcPr>
                  <w:tcW w:w="1185" w:type="dxa"/>
                  <w:vAlign w:val="center"/>
                </w:tcPr>
                <w:p w14:paraId="1CF66431">
                  <w:pPr>
                    <w:jc w:val="center"/>
                    <w:rPr>
                      <w:szCs w:val="21"/>
                    </w:rPr>
                  </w:pPr>
                  <w:r>
                    <w:rPr>
                      <w:szCs w:val="21"/>
                    </w:rPr>
                    <w:t>0.034</w:t>
                  </w:r>
                </w:p>
              </w:tc>
              <w:tc>
                <w:tcPr>
                  <w:tcW w:w="1185" w:type="dxa"/>
                  <w:vAlign w:val="center"/>
                </w:tcPr>
                <w:p w14:paraId="336E686B">
                  <w:pPr>
                    <w:jc w:val="center"/>
                    <w:rPr>
                      <w:szCs w:val="21"/>
                    </w:rPr>
                  </w:pPr>
                  <w:r>
                    <w:rPr>
                      <w:szCs w:val="21"/>
                    </w:rPr>
                    <w:t>0.029</w:t>
                  </w:r>
                </w:p>
              </w:tc>
              <w:tc>
                <w:tcPr>
                  <w:tcW w:w="1137" w:type="dxa"/>
                  <w:vAlign w:val="center"/>
                </w:tcPr>
                <w:p w14:paraId="2DA8A8B0">
                  <w:pPr>
                    <w:jc w:val="center"/>
                    <w:rPr>
                      <w:b/>
                      <w:bCs/>
                      <w:szCs w:val="21"/>
                    </w:rPr>
                  </w:pPr>
                  <w:r>
                    <w:rPr>
                      <w:bCs/>
                      <w:szCs w:val="21"/>
                    </w:rPr>
                    <w:t>mg/m</w:t>
                  </w:r>
                  <w:r>
                    <w:rPr>
                      <w:bCs/>
                      <w:szCs w:val="21"/>
                      <w:vertAlign w:val="superscript"/>
                    </w:rPr>
                    <w:t>3</w:t>
                  </w:r>
                </w:p>
              </w:tc>
            </w:tr>
            <w:tr w14:paraId="035F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7FA7C8B9">
                  <w:pPr>
                    <w:jc w:val="center"/>
                    <w:rPr>
                      <w:bCs/>
                      <w:spacing w:val="-10"/>
                      <w:szCs w:val="21"/>
                    </w:rPr>
                  </w:pPr>
                </w:p>
              </w:tc>
              <w:tc>
                <w:tcPr>
                  <w:tcW w:w="1725" w:type="dxa"/>
                  <w:vMerge w:val="continue"/>
                  <w:vAlign w:val="center"/>
                </w:tcPr>
                <w:p w14:paraId="62CC4BAE">
                  <w:pPr>
                    <w:jc w:val="center"/>
                    <w:rPr>
                      <w:bCs/>
                      <w:szCs w:val="21"/>
                    </w:rPr>
                  </w:pPr>
                </w:p>
              </w:tc>
              <w:tc>
                <w:tcPr>
                  <w:tcW w:w="1590" w:type="dxa"/>
                  <w:vAlign w:val="center"/>
                </w:tcPr>
                <w:p w14:paraId="52803065">
                  <w:pPr>
                    <w:spacing w:line="360" w:lineRule="exact"/>
                    <w:jc w:val="center"/>
                    <w:rPr>
                      <w:color w:val="000000"/>
                      <w:spacing w:val="-12"/>
                      <w:szCs w:val="21"/>
                    </w:rPr>
                  </w:pPr>
                  <w:r>
                    <w:rPr>
                      <w:color w:val="000000"/>
                      <w:spacing w:val="-12"/>
                      <w:szCs w:val="21"/>
                    </w:rPr>
                    <w:t>二氧化氮</w:t>
                  </w:r>
                </w:p>
              </w:tc>
              <w:tc>
                <w:tcPr>
                  <w:tcW w:w="1185" w:type="dxa"/>
                  <w:vAlign w:val="center"/>
                </w:tcPr>
                <w:p w14:paraId="1ACD78E5">
                  <w:pPr>
                    <w:jc w:val="center"/>
                    <w:rPr>
                      <w:bCs/>
                      <w:szCs w:val="21"/>
                    </w:rPr>
                  </w:pPr>
                  <w:r>
                    <w:rPr>
                      <w:bCs/>
                      <w:szCs w:val="21"/>
                    </w:rPr>
                    <w:t>0.021</w:t>
                  </w:r>
                </w:p>
              </w:tc>
              <w:tc>
                <w:tcPr>
                  <w:tcW w:w="1185" w:type="dxa"/>
                  <w:vAlign w:val="center"/>
                </w:tcPr>
                <w:p w14:paraId="57A3B9BD">
                  <w:pPr>
                    <w:jc w:val="center"/>
                    <w:rPr>
                      <w:bCs/>
                      <w:szCs w:val="21"/>
                    </w:rPr>
                  </w:pPr>
                  <w:r>
                    <w:rPr>
                      <w:bCs/>
                      <w:szCs w:val="21"/>
                    </w:rPr>
                    <w:t>0.021</w:t>
                  </w:r>
                </w:p>
              </w:tc>
              <w:tc>
                <w:tcPr>
                  <w:tcW w:w="1185" w:type="dxa"/>
                  <w:vAlign w:val="center"/>
                </w:tcPr>
                <w:p w14:paraId="3F196B9D">
                  <w:pPr>
                    <w:jc w:val="center"/>
                    <w:rPr>
                      <w:bCs/>
                      <w:szCs w:val="21"/>
                    </w:rPr>
                  </w:pPr>
                  <w:r>
                    <w:rPr>
                      <w:bCs/>
                      <w:szCs w:val="21"/>
                    </w:rPr>
                    <w:t>0.022</w:t>
                  </w:r>
                </w:p>
              </w:tc>
              <w:tc>
                <w:tcPr>
                  <w:tcW w:w="1137" w:type="dxa"/>
                  <w:vAlign w:val="center"/>
                </w:tcPr>
                <w:p w14:paraId="4D424BB6">
                  <w:pPr>
                    <w:jc w:val="center"/>
                    <w:rPr>
                      <w:bCs/>
                      <w:szCs w:val="21"/>
                    </w:rPr>
                  </w:pPr>
                  <w:r>
                    <w:rPr>
                      <w:bCs/>
                      <w:szCs w:val="21"/>
                    </w:rPr>
                    <w:t>mg/m</w:t>
                  </w:r>
                  <w:r>
                    <w:rPr>
                      <w:bCs/>
                      <w:szCs w:val="21"/>
                      <w:vertAlign w:val="superscript"/>
                    </w:rPr>
                    <w:t>3</w:t>
                  </w:r>
                </w:p>
              </w:tc>
            </w:tr>
            <w:tr w14:paraId="244B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7F966E78">
                  <w:pPr>
                    <w:jc w:val="center"/>
                    <w:rPr>
                      <w:bCs/>
                      <w:spacing w:val="-10"/>
                      <w:szCs w:val="21"/>
                    </w:rPr>
                  </w:pPr>
                </w:p>
              </w:tc>
              <w:tc>
                <w:tcPr>
                  <w:tcW w:w="1725" w:type="dxa"/>
                  <w:vMerge w:val="restart"/>
                  <w:vAlign w:val="center"/>
                </w:tcPr>
                <w:p w14:paraId="4918FB03">
                  <w:pPr>
                    <w:jc w:val="center"/>
                    <w:rPr>
                      <w:bCs/>
                      <w:szCs w:val="21"/>
                    </w:rPr>
                  </w:pPr>
                  <w:r>
                    <w:rPr>
                      <w:bCs/>
                      <w:szCs w:val="21"/>
                    </w:rPr>
                    <w:t>厂界下风向</w:t>
                  </w:r>
                </w:p>
                <w:p w14:paraId="5E628106">
                  <w:pPr>
                    <w:jc w:val="center"/>
                    <w:rPr>
                      <w:bCs/>
                      <w:szCs w:val="21"/>
                    </w:rPr>
                  </w:pPr>
                  <w:r>
                    <w:rPr>
                      <w:bCs/>
                      <w:szCs w:val="21"/>
                    </w:rPr>
                    <w:t>3号点</w:t>
                  </w:r>
                </w:p>
              </w:tc>
              <w:tc>
                <w:tcPr>
                  <w:tcW w:w="1590" w:type="dxa"/>
                  <w:vAlign w:val="center"/>
                </w:tcPr>
                <w:p w14:paraId="03FCA258">
                  <w:pPr>
                    <w:spacing w:line="360" w:lineRule="exact"/>
                    <w:jc w:val="center"/>
                    <w:rPr>
                      <w:color w:val="000000"/>
                      <w:spacing w:val="-12"/>
                      <w:szCs w:val="21"/>
                    </w:rPr>
                  </w:pPr>
                  <w:r>
                    <w:rPr>
                      <w:color w:val="000000"/>
                      <w:spacing w:val="-12"/>
                      <w:szCs w:val="21"/>
                    </w:rPr>
                    <w:t>颗粒物</w:t>
                  </w:r>
                </w:p>
              </w:tc>
              <w:tc>
                <w:tcPr>
                  <w:tcW w:w="1185" w:type="dxa"/>
                  <w:vAlign w:val="center"/>
                </w:tcPr>
                <w:p w14:paraId="0DECB14F">
                  <w:pPr>
                    <w:jc w:val="center"/>
                    <w:rPr>
                      <w:szCs w:val="21"/>
                    </w:rPr>
                  </w:pPr>
                  <w:r>
                    <w:rPr>
                      <w:szCs w:val="21"/>
                    </w:rPr>
                    <w:t>0.238</w:t>
                  </w:r>
                </w:p>
              </w:tc>
              <w:tc>
                <w:tcPr>
                  <w:tcW w:w="1185" w:type="dxa"/>
                  <w:vAlign w:val="center"/>
                </w:tcPr>
                <w:p w14:paraId="4C5AE509">
                  <w:pPr>
                    <w:jc w:val="center"/>
                    <w:rPr>
                      <w:szCs w:val="21"/>
                    </w:rPr>
                  </w:pPr>
                  <w:r>
                    <w:rPr>
                      <w:szCs w:val="21"/>
                    </w:rPr>
                    <w:t>0.257</w:t>
                  </w:r>
                </w:p>
              </w:tc>
              <w:tc>
                <w:tcPr>
                  <w:tcW w:w="1185" w:type="dxa"/>
                  <w:vAlign w:val="center"/>
                </w:tcPr>
                <w:p w14:paraId="56117318">
                  <w:pPr>
                    <w:jc w:val="center"/>
                    <w:rPr>
                      <w:szCs w:val="21"/>
                    </w:rPr>
                  </w:pPr>
                  <w:r>
                    <w:rPr>
                      <w:szCs w:val="21"/>
                    </w:rPr>
                    <w:t>0.276</w:t>
                  </w:r>
                </w:p>
              </w:tc>
              <w:tc>
                <w:tcPr>
                  <w:tcW w:w="1137" w:type="dxa"/>
                  <w:vAlign w:val="center"/>
                </w:tcPr>
                <w:p w14:paraId="76793DFA">
                  <w:pPr>
                    <w:jc w:val="center"/>
                    <w:rPr>
                      <w:b/>
                      <w:bCs/>
                      <w:szCs w:val="21"/>
                    </w:rPr>
                  </w:pPr>
                  <w:r>
                    <w:rPr>
                      <w:bCs/>
                      <w:szCs w:val="21"/>
                    </w:rPr>
                    <w:t>mg/m</w:t>
                  </w:r>
                  <w:r>
                    <w:rPr>
                      <w:bCs/>
                      <w:szCs w:val="21"/>
                      <w:vertAlign w:val="superscript"/>
                    </w:rPr>
                    <w:t>3</w:t>
                  </w:r>
                </w:p>
              </w:tc>
            </w:tr>
            <w:tr w14:paraId="050B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016CB8C8">
                  <w:pPr>
                    <w:jc w:val="center"/>
                    <w:rPr>
                      <w:bCs/>
                      <w:spacing w:val="-10"/>
                      <w:szCs w:val="21"/>
                    </w:rPr>
                  </w:pPr>
                </w:p>
              </w:tc>
              <w:tc>
                <w:tcPr>
                  <w:tcW w:w="1725" w:type="dxa"/>
                  <w:vMerge w:val="continue"/>
                  <w:vAlign w:val="center"/>
                </w:tcPr>
                <w:p w14:paraId="42F96F3A">
                  <w:pPr>
                    <w:jc w:val="center"/>
                    <w:rPr>
                      <w:bCs/>
                      <w:szCs w:val="21"/>
                    </w:rPr>
                  </w:pPr>
                </w:p>
              </w:tc>
              <w:tc>
                <w:tcPr>
                  <w:tcW w:w="1590" w:type="dxa"/>
                  <w:vAlign w:val="center"/>
                </w:tcPr>
                <w:p w14:paraId="762CE21A">
                  <w:pPr>
                    <w:spacing w:line="360" w:lineRule="exact"/>
                    <w:jc w:val="center"/>
                    <w:rPr>
                      <w:color w:val="000000"/>
                      <w:spacing w:val="-12"/>
                      <w:szCs w:val="21"/>
                    </w:rPr>
                  </w:pPr>
                  <w:r>
                    <w:rPr>
                      <w:color w:val="000000"/>
                      <w:spacing w:val="-12"/>
                      <w:szCs w:val="21"/>
                    </w:rPr>
                    <w:t>二氧化硫</w:t>
                  </w:r>
                </w:p>
              </w:tc>
              <w:tc>
                <w:tcPr>
                  <w:tcW w:w="1185" w:type="dxa"/>
                  <w:vAlign w:val="center"/>
                </w:tcPr>
                <w:p w14:paraId="32EB098A">
                  <w:pPr>
                    <w:jc w:val="center"/>
                    <w:rPr>
                      <w:szCs w:val="21"/>
                    </w:rPr>
                  </w:pPr>
                  <w:r>
                    <w:rPr>
                      <w:szCs w:val="21"/>
                    </w:rPr>
                    <w:t>0.025</w:t>
                  </w:r>
                </w:p>
              </w:tc>
              <w:tc>
                <w:tcPr>
                  <w:tcW w:w="1185" w:type="dxa"/>
                  <w:vAlign w:val="center"/>
                </w:tcPr>
                <w:p w14:paraId="7DD9C3FA">
                  <w:pPr>
                    <w:jc w:val="center"/>
                    <w:rPr>
                      <w:szCs w:val="21"/>
                    </w:rPr>
                  </w:pPr>
                  <w:r>
                    <w:rPr>
                      <w:szCs w:val="21"/>
                    </w:rPr>
                    <w:t>0.031</w:t>
                  </w:r>
                </w:p>
              </w:tc>
              <w:tc>
                <w:tcPr>
                  <w:tcW w:w="1185" w:type="dxa"/>
                  <w:vAlign w:val="center"/>
                </w:tcPr>
                <w:p w14:paraId="26404DA6">
                  <w:pPr>
                    <w:jc w:val="center"/>
                    <w:rPr>
                      <w:szCs w:val="21"/>
                    </w:rPr>
                  </w:pPr>
                  <w:r>
                    <w:rPr>
                      <w:szCs w:val="21"/>
                    </w:rPr>
                    <w:t>0.026</w:t>
                  </w:r>
                </w:p>
              </w:tc>
              <w:tc>
                <w:tcPr>
                  <w:tcW w:w="1137" w:type="dxa"/>
                  <w:vAlign w:val="center"/>
                </w:tcPr>
                <w:p w14:paraId="0BEFAEA7">
                  <w:pPr>
                    <w:jc w:val="center"/>
                    <w:rPr>
                      <w:b/>
                      <w:bCs/>
                      <w:szCs w:val="21"/>
                    </w:rPr>
                  </w:pPr>
                  <w:r>
                    <w:rPr>
                      <w:bCs/>
                      <w:szCs w:val="21"/>
                    </w:rPr>
                    <w:t>mg/m</w:t>
                  </w:r>
                  <w:r>
                    <w:rPr>
                      <w:bCs/>
                      <w:szCs w:val="21"/>
                      <w:vertAlign w:val="superscript"/>
                    </w:rPr>
                    <w:t>3</w:t>
                  </w:r>
                </w:p>
              </w:tc>
            </w:tr>
            <w:tr w14:paraId="3EFA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3564B47C">
                  <w:pPr>
                    <w:jc w:val="center"/>
                    <w:rPr>
                      <w:bCs/>
                      <w:spacing w:val="-10"/>
                      <w:szCs w:val="21"/>
                    </w:rPr>
                  </w:pPr>
                </w:p>
              </w:tc>
              <w:tc>
                <w:tcPr>
                  <w:tcW w:w="1725" w:type="dxa"/>
                  <w:vMerge w:val="continue"/>
                  <w:vAlign w:val="center"/>
                </w:tcPr>
                <w:p w14:paraId="736CD727">
                  <w:pPr>
                    <w:jc w:val="center"/>
                    <w:rPr>
                      <w:bCs/>
                      <w:szCs w:val="21"/>
                    </w:rPr>
                  </w:pPr>
                </w:p>
              </w:tc>
              <w:tc>
                <w:tcPr>
                  <w:tcW w:w="1590" w:type="dxa"/>
                  <w:vAlign w:val="center"/>
                </w:tcPr>
                <w:p w14:paraId="3186F8C4">
                  <w:pPr>
                    <w:spacing w:line="360" w:lineRule="exact"/>
                    <w:jc w:val="center"/>
                    <w:rPr>
                      <w:color w:val="000000"/>
                      <w:spacing w:val="-12"/>
                      <w:szCs w:val="21"/>
                    </w:rPr>
                  </w:pPr>
                  <w:r>
                    <w:rPr>
                      <w:color w:val="000000"/>
                      <w:spacing w:val="-12"/>
                      <w:szCs w:val="21"/>
                    </w:rPr>
                    <w:t>二氧化氮</w:t>
                  </w:r>
                </w:p>
              </w:tc>
              <w:tc>
                <w:tcPr>
                  <w:tcW w:w="1185" w:type="dxa"/>
                  <w:vAlign w:val="center"/>
                </w:tcPr>
                <w:p w14:paraId="22024BF3">
                  <w:pPr>
                    <w:jc w:val="center"/>
                    <w:rPr>
                      <w:bCs/>
                      <w:szCs w:val="21"/>
                    </w:rPr>
                  </w:pPr>
                  <w:r>
                    <w:rPr>
                      <w:bCs/>
                      <w:szCs w:val="21"/>
                    </w:rPr>
                    <w:t>0.023</w:t>
                  </w:r>
                </w:p>
              </w:tc>
              <w:tc>
                <w:tcPr>
                  <w:tcW w:w="1185" w:type="dxa"/>
                  <w:vAlign w:val="center"/>
                </w:tcPr>
                <w:p w14:paraId="4D286D76">
                  <w:pPr>
                    <w:jc w:val="center"/>
                    <w:rPr>
                      <w:bCs/>
                      <w:szCs w:val="21"/>
                    </w:rPr>
                  </w:pPr>
                  <w:r>
                    <w:rPr>
                      <w:bCs/>
                      <w:szCs w:val="21"/>
                    </w:rPr>
                    <w:t>0.023</w:t>
                  </w:r>
                </w:p>
              </w:tc>
              <w:tc>
                <w:tcPr>
                  <w:tcW w:w="1185" w:type="dxa"/>
                  <w:vAlign w:val="center"/>
                </w:tcPr>
                <w:p w14:paraId="22FC2CF3">
                  <w:pPr>
                    <w:jc w:val="center"/>
                    <w:rPr>
                      <w:bCs/>
                      <w:szCs w:val="21"/>
                    </w:rPr>
                  </w:pPr>
                  <w:r>
                    <w:rPr>
                      <w:bCs/>
                      <w:szCs w:val="21"/>
                    </w:rPr>
                    <w:t>0.021</w:t>
                  </w:r>
                </w:p>
              </w:tc>
              <w:tc>
                <w:tcPr>
                  <w:tcW w:w="1137" w:type="dxa"/>
                  <w:vAlign w:val="center"/>
                </w:tcPr>
                <w:p w14:paraId="3F551B07">
                  <w:pPr>
                    <w:jc w:val="center"/>
                    <w:rPr>
                      <w:bCs/>
                      <w:szCs w:val="21"/>
                    </w:rPr>
                  </w:pPr>
                  <w:r>
                    <w:rPr>
                      <w:bCs/>
                      <w:szCs w:val="21"/>
                    </w:rPr>
                    <w:t>mg/m</w:t>
                  </w:r>
                  <w:r>
                    <w:rPr>
                      <w:bCs/>
                      <w:szCs w:val="21"/>
                      <w:vertAlign w:val="superscript"/>
                    </w:rPr>
                    <w:t>3</w:t>
                  </w:r>
                </w:p>
              </w:tc>
            </w:tr>
            <w:tr w14:paraId="79FD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32554A8D">
                  <w:pPr>
                    <w:jc w:val="center"/>
                    <w:rPr>
                      <w:bCs/>
                      <w:spacing w:val="-10"/>
                      <w:szCs w:val="21"/>
                    </w:rPr>
                  </w:pPr>
                </w:p>
              </w:tc>
              <w:tc>
                <w:tcPr>
                  <w:tcW w:w="1725" w:type="dxa"/>
                  <w:vMerge w:val="restart"/>
                  <w:vAlign w:val="center"/>
                </w:tcPr>
                <w:p w14:paraId="0D19D7D2">
                  <w:pPr>
                    <w:jc w:val="center"/>
                    <w:rPr>
                      <w:bCs/>
                      <w:szCs w:val="21"/>
                    </w:rPr>
                  </w:pPr>
                  <w:r>
                    <w:rPr>
                      <w:bCs/>
                      <w:szCs w:val="21"/>
                    </w:rPr>
                    <w:t>厂界下风向</w:t>
                  </w:r>
                </w:p>
                <w:p w14:paraId="3379498A">
                  <w:pPr>
                    <w:jc w:val="center"/>
                    <w:rPr>
                      <w:bCs/>
                      <w:szCs w:val="21"/>
                    </w:rPr>
                  </w:pPr>
                  <w:r>
                    <w:rPr>
                      <w:bCs/>
                      <w:szCs w:val="21"/>
                    </w:rPr>
                    <w:t>4号点</w:t>
                  </w:r>
                </w:p>
              </w:tc>
              <w:tc>
                <w:tcPr>
                  <w:tcW w:w="1590" w:type="dxa"/>
                  <w:vAlign w:val="center"/>
                </w:tcPr>
                <w:p w14:paraId="4F06FA17">
                  <w:pPr>
                    <w:spacing w:line="360" w:lineRule="exact"/>
                    <w:jc w:val="center"/>
                    <w:rPr>
                      <w:color w:val="000000"/>
                      <w:spacing w:val="-12"/>
                      <w:szCs w:val="21"/>
                    </w:rPr>
                  </w:pPr>
                  <w:r>
                    <w:rPr>
                      <w:color w:val="000000"/>
                      <w:spacing w:val="-12"/>
                      <w:szCs w:val="21"/>
                    </w:rPr>
                    <w:t>颗粒物</w:t>
                  </w:r>
                </w:p>
              </w:tc>
              <w:tc>
                <w:tcPr>
                  <w:tcW w:w="1185" w:type="dxa"/>
                  <w:vAlign w:val="center"/>
                </w:tcPr>
                <w:p w14:paraId="59B51EB8">
                  <w:pPr>
                    <w:jc w:val="center"/>
                    <w:rPr>
                      <w:bCs/>
                      <w:szCs w:val="21"/>
                    </w:rPr>
                  </w:pPr>
                  <w:r>
                    <w:rPr>
                      <w:bCs/>
                      <w:szCs w:val="21"/>
                    </w:rPr>
                    <w:t>0.276</w:t>
                  </w:r>
                </w:p>
              </w:tc>
              <w:tc>
                <w:tcPr>
                  <w:tcW w:w="1185" w:type="dxa"/>
                  <w:vAlign w:val="center"/>
                </w:tcPr>
                <w:p w14:paraId="146854EF">
                  <w:pPr>
                    <w:jc w:val="center"/>
                    <w:rPr>
                      <w:bCs/>
                      <w:szCs w:val="21"/>
                    </w:rPr>
                  </w:pPr>
                  <w:r>
                    <w:rPr>
                      <w:bCs/>
                      <w:szCs w:val="21"/>
                    </w:rPr>
                    <w:t>0.313</w:t>
                  </w:r>
                </w:p>
              </w:tc>
              <w:tc>
                <w:tcPr>
                  <w:tcW w:w="1185" w:type="dxa"/>
                  <w:vAlign w:val="center"/>
                </w:tcPr>
                <w:p w14:paraId="018F115F">
                  <w:pPr>
                    <w:jc w:val="center"/>
                    <w:rPr>
                      <w:bCs/>
                      <w:szCs w:val="21"/>
                    </w:rPr>
                  </w:pPr>
                  <w:r>
                    <w:rPr>
                      <w:bCs/>
                      <w:szCs w:val="21"/>
                    </w:rPr>
                    <w:t>0.295</w:t>
                  </w:r>
                </w:p>
              </w:tc>
              <w:tc>
                <w:tcPr>
                  <w:tcW w:w="1137" w:type="dxa"/>
                  <w:vAlign w:val="center"/>
                </w:tcPr>
                <w:p w14:paraId="689A13FE">
                  <w:pPr>
                    <w:jc w:val="center"/>
                    <w:rPr>
                      <w:b/>
                      <w:bCs/>
                      <w:szCs w:val="21"/>
                    </w:rPr>
                  </w:pPr>
                  <w:r>
                    <w:rPr>
                      <w:bCs/>
                      <w:szCs w:val="21"/>
                    </w:rPr>
                    <w:t>mg/m</w:t>
                  </w:r>
                  <w:r>
                    <w:rPr>
                      <w:bCs/>
                      <w:szCs w:val="21"/>
                      <w:vertAlign w:val="superscript"/>
                    </w:rPr>
                    <w:t>3</w:t>
                  </w:r>
                </w:p>
              </w:tc>
            </w:tr>
            <w:tr w14:paraId="24F5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1EFD811B">
                  <w:pPr>
                    <w:jc w:val="center"/>
                    <w:rPr>
                      <w:bCs/>
                      <w:spacing w:val="-10"/>
                      <w:szCs w:val="21"/>
                    </w:rPr>
                  </w:pPr>
                </w:p>
              </w:tc>
              <w:tc>
                <w:tcPr>
                  <w:tcW w:w="1725" w:type="dxa"/>
                  <w:vMerge w:val="continue"/>
                  <w:vAlign w:val="center"/>
                </w:tcPr>
                <w:p w14:paraId="7E4EA892">
                  <w:pPr>
                    <w:jc w:val="center"/>
                    <w:rPr>
                      <w:bCs/>
                      <w:szCs w:val="21"/>
                    </w:rPr>
                  </w:pPr>
                </w:p>
              </w:tc>
              <w:tc>
                <w:tcPr>
                  <w:tcW w:w="1590" w:type="dxa"/>
                  <w:vAlign w:val="center"/>
                </w:tcPr>
                <w:p w14:paraId="2AA5D8FC">
                  <w:pPr>
                    <w:spacing w:line="360" w:lineRule="exact"/>
                    <w:jc w:val="center"/>
                    <w:rPr>
                      <w:color w:val="000000"/>
                      <w:spacing w:val="-12"/>
                      <w:szCs w:val="21"/>
                    </w:rPr>
                  </w:pPr>
                  <w:r>
                    <w:rPr>
                      <w:color w:val="000000"/>
                      <w:spacing w:val="-12"/>
                      <w:szCs w:val="21"/>
                    </w:rPr>
                    <w:t>二氧化硫</w:t>
                  </w:r>
                </w:p>
              </w:tc>
              <w:tc>
                <w:tcPr>
                  <w:tcW w:w="1185" w:type="dxa"/>
                  <w:vAlign w:val="center"/>
                </w:tcPr>
                <w:p w14:paraId="3781FD69">
                  <w:pPr>
                    <w:jc w:val="center"/>
                    <w:rPr>
                      <w:bCs/>
                      <w:szCs w:val="21"/>
                    </w:rPr>
                  </w:pPr>
                  <w:r>
                    <w:rPr>
                      <w:bCs/>
                      <w:szCs w:val="21"/>
                    </w:rPr>
                    <w:t>0.028</w:t>
                  </w:r>
                </w:p>
              </w:tc>
              <w:tc>
                <w:tcPr>
                  <w:tcW w:w="1185" w:type="dxa"/>
                  <w:vAlign w:val="center"/>
                </w:tcPr>
                <w:p w14:paraId="10E37206">
                  <w:pPr>
                    <w:jc w:val="center"/>
                    <w:rPr>
                      <w:bCs/>
                      <w:szCs w:val="21"/>
                    </w:rPr>
                  </w:pPr>
                  <w:r>
                    <w:rPr>
                      <w:bCs/>
                      <w:szCs w:val="21"/>
                    </w:rPr>
                    <w:t>0.037</w:t>
                  </w:r>
                </w:p>
              </w:tc>
              <w:tc>
                <w:tcPr>
                  <w:tcW w:w="1185" w:type="dxa"/>
                  <w:vAlign w:val="center"/>
                </w:tcPr>
                <w:p w14:paraId="009A1199">
                  <w:pPr>
                    <w:jc w:val="center"/>
                    <w:rPr>
                      <w:bCs/>
                      <w:szCs w:val="21"/>
                    </w:rPr>
                  </w:pPr>
                  <w:r>
                    <w:rPr>
                      <w:bCs/>
                      <w:szCs w:val="21"/>
                    </w:rPr>
                    <w:t>0.030</w:t>
                  </w:r>
                </w:p>
              </w:tc>
              <w:tc>
                <w:tcPr>
                  <w:tcW w:w="1137" w:type="dxa"/>
                  <w:vAlign w:val="center"/>
                </w:tcPr>
                <w:p w14:paraId="31A1BDA6">
                  <w:pPr>
                    <w:jc w:val="center"/>
                    <w:rPr>
                      <w:b/>
                      <w:bCs/>
                      <w:szCs w:val="21"/>
                    </w:rPr>
                  </w:pPr>
                  <w:r>
                    <w:rPr>
                      <w:bCs/>
                      <w:szCs w:val="21"/>
                    </w:rPr>
                    <w:t>mg/m</w:t>
                  </w:r>
                  <w:r>
                    <w:rPr>
                      <w:bCs/>
                      <w:szCs w:val="21"/>
                      <w:vertAlign w:val="superscript"/>
                    </w:rPr>
                    <w:t>3</w:t>
                  </w:r>
                </w:p>
              </w:tc>
            </w:tr>
            <w:tr w14:paraId="4176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4" w:type="dxa"/>
                  <w:vMerge w:val="continue"/>
                  <w:vAlign w:val="center"/>
                </w:tcPr>
                <w:p w14:paraId="74F4DF18">
                  <w:pPr>
                    <w:jc w:val="center"/>
                    <w:rPr>
                      <w:bCs/>
                      <w:spacing w:val="-10"/>
                      <w:szCs w:val="21"/>
                    </w:rPr>
                  </w:pPr>
                </w:p>
              </w:tc>
              <w:tc>
                <w:tcPr>
                  <w:tcW w:w="1725" w:type="dxa"/>
                  <w:vMerge w:val="continue"/>
                  <w:vAlign w:val="center"/>
                </w:tcPr>
                <w:p w14:paraId="711F99A2">
                  <w:pPr>
                    <w:jc w:val="center"/>
                    <w:rPr>
                      <w:bCs/>
                      <w:szCs w:val="21"/>
                    </w:rPr>
                  </w:pPr>
                </w:p>
              </w:tc>
              <w:tc>
                <w:tcPr>
                  <w:tcW w:w="1590" w:type="dxa"/>
                  <w:vAlign w:val="center"/>
                </w:tcPr>
                <w:p w14:paraId="6455D276">
                  <w:pPr>
                    <w:spacing w:line="360" w:lineRule="exact"/>
                    <w:jc w:val="center"/>
                    <w:rPr>
                      <w:color w:val="000000"/>
                      <w:spacing w:val="-12"/>
                      <w:szCs w:val="21"/>
                    </w:rPr>
                  </w:pPr>
                  <w:r>
                    <w:rPr>
                      <w:color w:val="000000"/>
                      <w:spacing w:val="-12"/>
                      <w:szCs w:val="21"/>
                    </w:rPr>
                    <w:t>二氧化氮</w:t>
                  </w:r>
                </w:p>
              </w:tc>
              <w:tc>
                <w:tcPr>
                  <w:tcW w:w="1185" w:type="dxa"/>
                  <w:vAlign w:val="center"/>
                </w:tcPr>
                <w:p w14:paraId="4B77E763">
                  <w:pPr>
                    <w:jc w:val="center"/>
                    <w:rPr>
                      <w:bCs/>
                      <w:szCs w:val="21"/>
                    </w:rPr>
                  </w:pPr>
                  <w:r>
                    <w:rPr>
                      <w:bCs/>
                      <w:szCs w:val="21"/>
                    </w:rPr>
                    <w:t>0.021</w:t>
                  </w:r>
                </w:p>
              </w:tc>
              <w:tc>
                <w:tcPr>
                  <w:tcW w:w="1185" w:type="dxa"/>
                  <w:vAlign w:val="center"/>
                </w:tcPr>
                <w:p w14:paraId="51F497BB">
                  <w:pPr>
                    <w:jc w:val="center"/>
                    <w:rPr>
                      <w:bCs/>
                      <w:szCs w:val="21"/>
                    </w:rPr>
                  </w:pPr>
                  <w:r>
                    <w:rPr>
                      <w:bCs/>
                      <w:szCs w:val="21"/>
                    </w:rPr>
                    <w:t>0.024</w:t>
                  </w:r>
                </w:p>
              </w:tc>
              <w:tc>
                <w:tcPr>
                  <w:tcW w:w="1185" w:type="dxa"/>
                  <w:vAlign w:val="center"/>
                </w:tcPr>
                <w:p w14:paraId="2F6DC7D0">
                  <w:pPr>
                    <w:jc w:val="center"/>
                    <w:rPr>
                      <w:bCs/>
                      <w:szCs w:val="21"/>
                    </w:rPr>
                  </w:pPr>
                  <w:r>
                    <w:rPr>
                      <w:bCs/>
                      <w:szCs w:val="21"/>
                    </w:rPr>
                    <w:t>0.022</w:t>
                  </w:r>
                </w:p>
              </w:tc>
              <w:tc>
                <w:tcPr>
                  <w:tcW w:w="1137" w:type="dxa"/>
                  <w:vAlign w:val="center"/>
                </w:tcPr>
                <w:p w14:paraId="2197391A">
                  <w:pPr>
                    <w:jc w:val="center"/>
                    <w:rPr>
                      <w:bCs/>
                      <w:szCs w:val="21"/>
                    </w:rPr>
                  </w:pPr>
                  <w:r>
                    <w:rPr>
                      <w:bCs/>
                      <w:szCs w:val="21"/>
                    </w:rPr>
                    <w:t>mg/m</w:t>
                  </w:r>
                  <w:r>
                    <w:rPr>
                      <w:bCs/>
                      <w:szCs w:val="21"/>
                      <w:vertAlign w:val="superscript"/>
                    </w:rPr>
                    <w:t>3</w:t>
                  </w:r>
                </w:p>
              </w:tc>
            </w:tr>
          </w:tbl>
          <w:p w14:paraId="5627E137">
            <w:pPr>
              <w:spacing w:line="480" w:lineRule="exact"/>
              <w:ind w:firstLine="480" w:firstLineChars="200"/>
              <w:jc w:val="left"/>
              <w:rPr>
                <w:color w:val="000000" w:themeColor="text1"/>
                <w:sz w:val="24"/>
                <w14:textFill>
                  <w14:solidFill>
                    <w14:schemeClr w14:val="tx1"/>
                  </w14:solidFill>
                </w14:textFill>
              </w:rPr>
            </w:pPr>
          </w:p>
          <w:p w14:paraId="24A00EB5">
            <w:pPr>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）废水产生情况及治理措施</w:t>
            </w:r>
          </w:p>
          <w:p w14:paraId="2B6100FC">
            <w:pPr>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生产废水经两级沉淀池预处理后达到《污水综合排放标准》（GB8978-1996）表4三级排放标准后排放至衡山国祯水处理有限公司进一步处理。</w:t>
            </w:r>
          </w:p>
          <w:p w14:paraId="436F851C">
            <w:pPr>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目前项目废水已落实废水治理措施。</w:t>
            </w:r>
            <w:r>
              <w:rPr>
                <w:color w:val="000000" w:themeColor="text1"/>
                <w:sz w:val="24"/>
                <w14:textFill>
                  <w14:solidFill>
                    <w14:schemeClr w14:val="tx1"/>
                  </w14:solidFill>
                </w14:textFill>
              </w:rPr>
              <w:t>湖南紫素环保科技有限公司</w:t>
            </w:r>
            <w:r>
              <w:rPr>
                <w:rFonts w:hint="eastAsia"/>
                <w:color w:val="000000" w:themeColor="text1"/>
                <w:sz w:val="24"/>
                <w14:textFill>
                  <w14:solidFill>
                    <w14:schemeClr w14:val="tx1"/>
                  </w14:solidFill>
                </w14:textFill>
              </w:rPr>
              <w:t>于2025年5月22日-5月23日对项目生产废水进行了监测，据项目污染现状监测结果可知，项目目前运营期间废水各污染物能够达标排放，废水处理后能够满足《污水综合排放标准》（GB8978-1996）表4三级标准要求及</w:t>
            </w:r>
            <w:r>
              <w:rPr>
                <w:color w:val="000000" w:themeColor="text1"/>
                <w:sz w:val="24"/>
                <w14:textFill>
                  <w14:solidFill>
                    <w14:schemeClr w14:val="tx1"/>
                  </w14:solidFill>
                </w14:textFill>
              </w:rPr>
              <w:t>《城镇污水处理厂污染物排放标准》（GB18918-2002）一级</w:t>
            </w:r>
            <w:r>
              <w:rPr>
                <w:rFonts w:hint="eastAsia"/>
                <w:color w:val="000000" w:themeColor="text1"/>
                <w:sz w:val="24"/>
                <w14:textFill>
                  <w14:solidFill>
                    <w14:schemeClr w14:val="tx1"/>
                  </w14:solidFill>
                </w14:textFill>
              </w:rPr>
              <w:t>B</w:t>
            </w:r>
            <w:r>
              <w:rPr>
                <w:color w:val="000000" w:themeColor="text1"/>
                <w:sz w:val="24"/>
                <w14:textFill>
                  <w14:solidFill>
                    <w14:schemeClr w14:val="tx1"/>
                  </w14:solidFill>
                </w14:textFill>
              </w:rPr>
              <w:t>标准</w:t>
            </w:r>
            <w:r>
              <w:rPr>
                <w:rFonts w:hint="eastAsia"/>
                <w:color w:val="000000" w:themeColor="text1"/>
                <w:sz w:val="24"/>
                <w14:textFill>
                  <w14:solidFill>
                    <w14:schemeClr w14:val="tx1"/>
                  </w14:solidFill>
                </w14:textFill>
              </w:rPr>
              <w:t>要求，排入衡山国祯水处理有限公司进一步处理。监测结果如下表：</w:t>
            </w:r>
          </w:p>
          <w:p w14:paraId="44D3774A">
            <w:pPr>
              <w:pStyle w:val="2"/>
              <w:ind w:firstLine="2741" w:firstLineChars="1300"/>
              <w:rPr>
                <w:b/>
                <w:color w:val="000000" w:themeColor="text1"/>
                <w:kern w:val="2"/>
                <w:sz w:val="21"/>
                <w:szCs w:val="21"/>
                <w14:textFill>
                  <w14:solidFill>
                    <w14:schemeClr w14:val="tx1"/>
                  </w14:solidFill>
                </w14:textFill>
              </w:rPr>
            </w:pPr>
          </w:p>
          <w:p w14:paraId="54C4B7F5">
            <w:pPr>
              <w:pStyle w:val="2"/>
              <w:ind w:firstLine="2741" w:firstLineChars="1300"/>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表2-9 废水污染物监测结果一览表</w:t>
            </w:r>
          </w:p>
          <w:tbl>
            <w:tblPr>
              <w:tblStyle w:val="2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1"/>
              <w:gridCol w:w="1204"/>
              <w:gridCol w:w="1950"/>
              <w:gridCol w:w="881"/>
              <w:gridCol w:w="881"/>
              <w:gridCol w:w="881"/>
              <w:gridCol w:w="882"/>
              <w:gridCol w:w="1092"/>
            </w:tblGrid>
            <w:tr w14:paraId="4302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restart"/>
                  <w:tcMar>
                    <w:top w:w="0" w:type="dxa"/>
                    <w:left w:w="57" w:type="dxa"/>
                    <w:bottom w:w="0" w:type="dxa"/>
                    <w:right w:w="57" w:type="dxa"/>
                  </w:tcMar>
                  <w:vAlign w:val="center"/>
                </w:tcPr>
                <w:p w14:paraId="36981FA5">
                  <w:pPr>
                    <w:adjustRightInd w:val="0"/>
                    <w:snapToGrid w:val="0"/>
                    <w:jc w:val="center"/>
                    <w:rPr>
                      <w:b/>
                      <w:szCs w:val="21"/>
                    </w:rPr>
                  </w:pPr>
                  <w:r>
                    <w:rPr>
                      <w:b/>
                      <w:szCs w:val="21"/>
                    </w:rPr>
                    <w:t>检测</w:t>
                  </w:r>
                </w:p>
                <w:p w14:paraId="0502DCDB">
                  <w:pPr>
                    <w:adjustRightInd w:val="0"/>
                    <w:snapToGrid w:val="0"/>
                    <w:jc w:val="center"/>
                    <w:rPr>
                      <w:b/>
                      <w:szCs w:val="21"/>
                    </w:rPr>
                  </w:pPr>
                  <w:r>
                    <w:rPr>
                      <w:b/>
                      <w:szCs w:val="21"/>
                    </w:rPr>
                    <w:t>日期</w:t>
                  </w:r>
                </w:p>
              </w:tc>
              <w:tc>
                <w:tcPr>
                  <w:tcW w:w="1204" w:type="dxa"/>
                  <w:vMerge w:val="restart"/>
                  <w:tcMar>
                    <w:top w:w="0" w:type="dxa"/>
                    <w:left w:w="57" w:type="dxa"/>
                    <w:bottom w:w="0" w:type="dxa"/>
                    <w:right w:w="57" w:type="dxa"/>
                  </w:tcMar>
                  <w:vAlign w:val="center"/>
                </w:tcPr>
                <w:p w14:paraId="59DF5DDA">
                  <w:pPr>
                    <w:adjustRightInd w:val="0"/>
                    <w:snapToGrid w:val="0"/>
                    <w:jc w:val="center"/>
                    <w:rPr>
                      <w:b/>
                      <w:szCs w:val="21"/>
                    </w:rPr>
                  </w:pPr>
                  <w:r>
                    <w:rPr>
                      <w:b/>
                      <w:szCs w:val="21"/>
                    </w:rPr>
                    <w:t>采样位置</w:t>
                  </w:r>
                </w:p>
              </w:tc>
              <w:tc>
                <w:tcPr>
                  <w:tcW w:w="1950" w:type="dxa"/>
                  <w:vMerge w:val="restart"/>
                  <w:tcMar>
                    <w:top w:w="0" w:type="dxa"/>
                    <w:left w:w="57" w:type="dxa"/>
                    <w:bottom w:w="0" w:type="dxa"/>
                    <w:right w:w="57" w:type="dxa"/>
                  </w:tcMar>
                  <w:vAlign w:val="center"/>
                </w:tcPr>
                <w:p w14:paraId="6920590C">
                  <w:pPr>
                    <w:adjustRightInd w:val="0"/>
                    <w:snapToGrid w:val="0"/>
                    <w:jc w:val="center"/>
                    <w:rPr>
                      <w:b/>
                      <w:szCs w:val="21"/>
                    </w:rPr>
                  </w:pPr>
                  <w:r>
                    <w:rPr>
                      <w:b/>
                      <w:szCs w:val="21"/>
                    </w:rPr>
                    <w:t>检测项目</w:t>
                  </w:r>
                </w:p>
              </w:tc>
              <w:tc>
                <w:tcPr>
                  <w:tcW w:w="3525" w:type="dxa"/>
                  <w:gridSpan w:val="4"/>
                  <w:tcMar>
                    <w:top w:w="0" w:type="dxa"/>
                    <w:left w:w="57" w:type="dxa"/>
                    <w:bottom w:w="0" w:type="dxa"/>
                    <w:right w:w="57" w:type="dxa"/>
                  </w:tcMar>
                  <w:vAlign w:val="center"/>
                </w:tcPr>
                <w:p w14:paraId="19050DEF">
                  <w:pPr>
                    <w:adjustRightInd w:val="0"/>
                    <w:snapToGrid w:val="0"/>
                    <w:jc w:val="center"/>
                    <w:rPr>
                      <w:b/>
                      <w:szCs w:val="21"/>
                    </w:rPr>
                  </w:pPr>
                  <w:r>
                    <w:rPr>
                      <w:b/>
                      <w:szCs w:val="21"/>
                    </w:rPr>
                    <w:t>检测频次及结果</w:t>
                  </w:r>
                </w:p>
              </w:tc>
              <w:tc>
                <w:tcPr>
                  <w:tcW w:w="1092" w:type="dxa"/>
                  <w:vMerge w:val="restart"/>
                  <w:tcMar>
                    <w:top w:w="0" w:type="dxa"/>
                    <w:left w:w="57" w:type="dxa"/>
                    <w:bottom w:w="0" w:type="dxa"/>
                    <w:right w:w="57" w:type="dxa"/>
                  </w:tcMar>
                  <w:vAlign w:val="center"/>
                </w:tcPr>
                <w:p w14:paraId="71F444DD">
                  <w:pPr>
                    <w:adjustRightInd w:val="0"/>
                    <w:snapToGrid w:val="0"/>
                    <w:jc w:val="center"/>
                    <w:rPr>
                      <w:b/>
                      <w:szCs w:val="21"/>
                    </w:rPr>
                  </w:pPr>
                  <w:r>
                    <w:rPr>
                      <w:b/>
                      <w:szCs w:val="21"/>
                    </w:rPr>
                    <w:t>单位</w:t>
                  </w:r>
                </w:p>
              </w:tc>
            </w:tr>
            <w:tr w14:paraId="4949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5F154E5C">
                  <w:pPr>
                    <w:adjustRightInd w:val="0"/>
                    <w:snapToGrid w:val="0"/>
                    <w:jc w:val="center"/>
                    <w:rPr>
                      <w:b/>
                      <w:szCs w:val="21"/>
                    </w:rPr>
                  </w:pPr>
                </w:p>
              </w:tc>
              <w:tc>
                <w:tcPr>
                  <w:tcW w:w="1204" w:type="dxa"/>
                  <w:vMerge w:val="continue"/>
                  <w:tcMar>
                    <w:top w:w="0" w:type="dxa"/>
                    <w:left w:w="57" w:type="dxa"/>
                    <w:bottom w:w="0" w:type="dxa"/>
                    <w:right w:w="57" w:type="dxa"/>
                  </w:tcMar>
                  <w:vAlign w:val="center"/>
                </w:tcPr>
                <w:p w14:paraId="4F6C1A74">
                  <w:pPr>
                    <w:adjustRightInd w:val="0"/>
                    <w:snapToGrid w:val="0"/>
                    <w:jc w:val="center"/>
                    <w:rPr>
                      <w:b/>
                      <w:szCs w:val="21"/>
                    </w:rPr>
                  </w:pPr>
                </w:p>
              </w:tc>
              <w:tc>
                <w:tcPr>
                  <w:tcW w:w="1950" w:type="dxa"/>
                  <w:vMerge w:val="continue"/>
                  <w:tcMar>
                    <w:top w:w="0" w:type="dxa"/>
                    <w:left w:w="57" w:type="dxa"/>
                    <w:bottom w:w="0" w:type="dxa"/>
                    <w:right w:w="57" w:type="dxa"/>
                  </w:tcMar>
                  <w:vAlign w:val="center"/>
                </w:tcPr>
                <w:p w14:paraId="013FB7B9">
                  <w:pPr>
                    <w:adjustRightInd w:val="0"/>
                    <w:snapToGrid w:val="0"/>
                    <w:jc w:val="center"/>
                    <w:rPr>
                      <w:b/>
                      <w:szCs w:val="21"/>
                    </w:rPr>
                  </w:pPr>
                </w:p>
              </w:tc>
              <w:tc>
                <w:tcPr>
                  <w:tcW w:w="881" w:type="dxa"/>
                  <w:tcMar>
                    <w:top w:w="0" w:type="dxa"/>
                    <w:left w:w="57" w:type="dxa"/>
                    <w:bottom w:w="0" w:type="dxa"/>
                    <w:right w:w="57" w:type="dxa"/>
                  </w:tcMar>
                  <w:vAlign w:val="center"/>
                </w:tcPr>
                <w:p w14:paraId="0477F70C">
                  <w:pPr>
                    <w:adjustRightInd w:val="0"/>
                    <w:snapToGrid w:val="0"/>
                    <w:jc w:val="center"/>
                    <w:rPr>
                      <w:b/>
                      <w:szCs w:val="21"/>
                    </w:rPr>
                  </w:pPr>
                  <w:r>
                    <w:rPr>
                      <w:b/>
                      <w:szCs w:val="21"/>
                    </w:rPr>
                    <w:t>一次</w:t>
                  </w:r>
                </w:p>
              </w:tc>
              <w:tc>
                <w:tcPr>
                  <w:tcW w:w="881" w:type="dxa"/>
                  <w:tcMar>
                    <w:top w:w="0" w:type="dxa"/>
                    <w:left w:w="57" w:type="dxa"/>
                    <w:bottom w:w="0" w:type="dxa"/>
                    <w:right w:w="57" w:type="dxa"/>
                  </w:tcMar>
                  <w:vAlign w:val="center"/>
                </w:tcPr>
                <w:p w14:paraId="094D3BBD">
                  <w:pPr>
                    <w:adjustRightInd w:val="0"/>
                    <w:snapToGrid w:val="0"/>
                    <w:jc w:val="center"/>
                    <w:rPr>
                      <w:b/>
                      <w:szCs w:val="21"/>
                    </w:rPr>
                  </w:pPr>
                  <w:r>
                    <w:rPr>
                      <w:b/>
                      <w:szCs w:val="21"/>
                    </w:rPr>
                    <w:t>二次</w:t>
                  </w:r>
                </w:p>
              </w:tc>
              <w:tc>
                <w:tcPr>
                  <w:tcW w:w="881" w:type="dxa"/>
                  <w:tcMar>
                    <w:top w:w="0" w:type="dxa"/>
                    <w:left w:w="57" w:type="dxa"/>
                    <w:bottom w:w="0" w:type="dxa"/>
                    <w:right w:w="57" w:type="dxa"/>
                  </w:tcMar>
                  <w:vAlign w:val="center"/>
                </w:tcPr>
                <w:p w14:paraId="72F97F5B">
                  <w:pPr>
                    <w:adjustRightInd w:val="0"/>
                    <w:snapToGrid w:val="0"/>
                    <w:jc w:val="center"/>
                    <w:rPr>
                      <w:b/>
                      <w:szCs w:val="21"/>
                    </w:rPr>
                  </w:pPr>
                  <w:r>
                    <w:rPr>
                      <w:b/>
                      <w:szCs w:val="21"/>
                    </w:rPr>
                    <w:t>三次</w:t>
                  </w:r>
                </w:p>
              </w:tc>
              <w:tc>
                <w:tcPr>
                  <w:tcW w:w="882" w:type="dxa"/>
                  <w:tcMar>
                    <w:top w:w="0" w:type="dxa"/>
                    <w:left w:w="57" w:type="dxa"/>
                    <w:bottom w:w="0" w:type="dxa"/>
                    <w:right w:w="57" w:type="dxa"/>
                  </w:tcMar>
                  <w:vAlign w:val="center"/>
                </w:tcPr>
                <w:p w14:paraId="6897C1BF">
                  <w:pPr>
                    <w:adjustRightInd w:val="0"/>
                    <w:snapToGrid w:val="0"/>
                    <w:jc w:val="center"/>
                    <w:rPr>
                      <w:b/>
                      <w:szCs w:val="21"/>
                    </w:rPr>
                  </w:pPr>
                  <w:r>
                    <w:rPr>
                      <w:b/>
                      <w:szCs w:val="21"/>
                    </w:rPr>
                    <w:t>四次</w:t>
                  </w:r>
                </w:p>
              </w:tc>
              <w:tc>
                <w:tcPr>
                  <w:tcW w:w="1092" w:type="dxa"/>
                  <w:vMerge w:val="continue"/>
                  <w:tcMar>
                    <w:top w:w="0" w:type="dxa"/>
                    <w:left w:w="57" w:type="dxa"/>
                    <w:bottom w:w="0" w:type="dxa"/>
                    <w:right w:w="57" w:type="dxa"/>
                  </w:tcMar>
                  <w:vAlign w:val="center"/>
                </w:tcPr>
                <w:p w14:paraId="20F099D3">
                  <w:pPr>
                    <w:adjustRightInd w:val="0"/>
                    <w:snapToGrid w:val="0"/>
                    <w:jc w:val="center"/>
                    <w:rPr>
                      <w:b/>
                      <w:szCs w:val="21"/>
                    </w:rPr>
                  </w:pPr>
                </w:p>
              </w:tc>
            </w:tr>
            <w:tr w14:paraId="4346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restart"/>
                  <w:tcMar>
                    <w:top w:w="0" w:type="dxa"/>
                    <w:left w:w="57" w:type="dxa"/>
                    <w:bottom w:w="0" w:type="dxa"/>
                    <w:right w:w="57" w:type="dxa"/>
                  </w:tcMar>
                  <w:vAlign w:val="center"/>
                </w:tcPr>
                <w:p w14:paraId="361D2D2A">
                  <w:pPr>
                    <w:adjustRightInd w:val="0"/>
                    <w:snapToGrid w:val="0"/>
                    <w:jc w:val="center"/>
                    <w:rPr>
                      <w:bCs/>
                      <w:szCs w:val="21"/>
                    </w:rPr>
                  </w:pPr>
                  <w:r>
                    <w:rPr>
                      <w:bCs/>
                      <w:szCs w:val="21"/>
                    </w:rPr>
                    <w:t>05月22日</w:t>
                  </w:r>
                </w:p>
              </w:tc>
              <w:tc>
                <w:tcPr>
                  <w:tcW w:w="1204" w:type="dxa"/>
                  <w:vMerge w:val="restart"/>
                  <w:tcMar>
                    <w:top w:w="0" w:type="dxa"/>
                    <w:left w:w="57" w:type="dxa"/>
                    <w:bottom w:w="0" w:type="dxa"/>
                    <w:right w:w="57" w:type="dxa"/>
                  </w:tcMar>
                  <w:vAlign w:val="center"/>
                </w:tcPr>
                <w:p w14:paraId="185A8478">
                  <w:pPr>
                    <w:adjustRightInd w:val="0"/>
                    <w:snapToGrid w:val="0"/>
                    <w:jc w:val="center"/>
                    <w:rPr>
                      <w:bCs/>
                      <w:szCs w:val="21"/>
                    </w:rPr>
                  </w:pPr>
                  <w:r>
                    <w:rPr>
                      <w:bCs/>
                      <w:szCs w:val="21"/>
                    </w:rPr>
                    <w:t>生产废水处理设施排放口</w:t>
                  </w:r>
                </w:p>
              </w:tc>
              <w:tc>
                <w:tcPr>
                  <w:tcW w:w="1950" w:type="dxa"/>
                  <w:tcMar>
                    <w:top w:w="0" w:type="dxa"/>
                    <w:left w:w="57" w:type="dxa"/>
                    <w:bottom w:w="0" w:type="dxa"/>
                    <w:right w:w="57" w:type="dxa"/>
                  </w:tcMar>
                  <w:vAlign w:val="center"/>
                </w:tcPr>
                <w:p w14:paraId="6398ABC2">
                  <w:pPr>
                    <w:spacing w:line="360" w:lineRule="exact"/>
                    <w:jc w:val="center"/>
                    <w:rPr>
                      <w:color w:val="000000"/>
                      <w:spacing w:val="-12"/>
                      <w:szCs w:val="21"/>
                    </w:rPr>
                  </w:pPr>
                  <w:r>
                    <w:rPr>
                      <w:color w:val="000000"/>
                      <w:szCs w:val="21"/>
                    </w:rPr>
                    <w:t>pH</w:t>
                  </w:r>
                  <w:r>
                    <w:rPr>
                      <w:color w:val="000000"/>
                      <w:spacing w:val="-12"/>
                      <w:szCs w:val="21"/>
                    </w:rPr>
                    <w:t>值</w:t>
                  </w:r>
                </w:p>
              </w:tc>
              <w:tc>
                <w:tcPr>
                  <w:tcW w:w="881" w:type="dxa"/>
                  <w:tcMar>
                    <w:top w:w="0" w:type="dxa"/>
                    <w:left w:w="57" w:type="dxa"/>
                    <w:bottom w:w="0" w:type="dxa"/>
                    <w:right w:w="57" w:type="dxa"/>
                  </w:tcMar>
                  <w:vAlign w:val="center"/>
                </w:tcPr>
                <w:p w14:paraId="73022C35">
                  <w:pPr>
                    <w:adjustRightInd w:val="0"/>
                    <w:snapToGrid w:val="0"/>
                    <w:jc w:val="center"/>
                    <w:rPr>
                      <w:bCs/>
                      <w:color w:val="000000"/>
                      <w:szCs w:val="21"/>
                    </w:rPr>
                  </w:pPr>
                  <w:r>
                    <w:rPr>
                      <w:bCs/>
                      <w:color w:val="000000"/>
                      <w:szCs w:val="21"/>
                    </w:rPr>
                    <w:t>7.2</w:t>
                  </w:r>
                </w:p>
              </w:tc>
              <w:tc>
                <w:tcPr>
                  <w:tcW w:w="881" w:type="dxa"/>
                  <w:tcMar>
                    <w:top w:w="0" w:type="dxa"/>
                    <w:left w:w="57" w:type="dxa"/>
                    <w:bottom w:w="0" w:type="dxa"/>
                    <w:right w:w="57" w:type="dxa"/>
                  </w:tcMar>
                  <w:vAlign w:val="center"/>
                </w:tcPr>
                <w:p w14:paraId="3566DB53">
                  <w:pPr>
                    <w:adjustRightInd w:val="0"/>
                    <w:snapToGrid w:val="0"/>
                    <w:jc w:val="center"/>
                    <w:rPr>
                      <w:bCs/>
                      <w:color w:val="000000"/>
                      <w:szCs w:val="21"/>
                    </w:rPr>
                  </w:pPr>
                  <w:r>
                    <w:rPr>
                      <w:bCs/>
                      <w:color w:val="000000"/>
                      <w:szCs w:val="21"/>
                    </w:rPr>
                    <w:t>7.2</w:t>
                  </w:r>
                </w:p>
              </w:tc>
              <w:tc>
                <w:tcPr>
                  <w:tcW w:w="881" w:type="dxa"/>
                  <w:tcMar>
                    <w:top w:w="0" w:type="dxa"/>
                    <w:left w:w="57" w:type="dxa"/>
                    <w:bottom w:w="0" w:type="dxa"/>
                    <w:right w:w="57" w:type="dxa"/>
                  </w:tcMar>
                  <w:vAlign w:val="center"/>
                </w:tcPr>
                <w:p w14:paraId="45F8D28C">
                  <w:pPr>
                    <w:adjustRightInd w:val="0"/>
                    <w:snapToGrid w:val="0"/>
                    <w:jc w:val="center"/>
                    <w:rPr>
                      <w:bCs/>
                      <w:color w:val="000000"/>
                      <w:szCs w:val="21"/>
                    </w:rPr>
                  </w:pPr>
                  <w:r>
                    <w:rPr>
                      <w:bCs/>
                      <w:color w:val="000000"/>
                      <w:szCs w:val="21"/>
                    </w:rPr>
                    <w:t>7.4</w:t>
                  </w:r>
                </w:p>
              </w:tc>
              <w:tc>
                <w:tcPr>
                  <w:tcW w:w="882" w:type="dxa"/>
                  <w:tcMar>
                    <w:top w:w="0" w:type="dxa"/>
                    <w:left w:w="57" w:type="dxa"/>
                    <w:bottom w:w="0" w:type="dxa"/>
                    <w:right w:w="57" w:type="dxa"/>
                  </w:tcMar>
                  <w:vAlign w:val="center"/>
                </w:tcPr>
                <w:p w14:paraId="75B22510">
                  <w:pPr>
                    <w:adjustRightInd w:val="0"/>
                    <w:snapToGrid w:val="0"/>
                    <w:jc w:val="center"/>
                    <w:rPr>
                      <w:bCs/>
                      <w:color w:val="000000"/>
                      <w:szCs w:val="21"/>
                    </w:rPr>
                  </w:pPr>
                  <w:r>
                    <w:rPr>
                      <w:bCs/>
                      <w:color w:val="000000"/>
                      <w:szCs w:val="21"/>
                    </w:rPr>
                    <w:t>7.3</w:t>
                  </w:r>
                </w:p>
              </w:tc>
              <w:tc>
                <w:tcPr>
                  <w:tcW w:w="1092" w:type="dxa"/>
                  <w:tcMar>
                    <w:top w:w="0" w:type="dxa"/>
                    <w:left w:w="57" w:type="dxa"/>
                    <w:bottom w:w="0" w:type="dxa"/>
                    <w:right w:w="57" w:type="dxa"/>
                  </w:tcMar>
                  <w:vAlign w:val="center"/>
                </w:tcPr>
                <w:p w14:paraId="4E44DFB5">
                  <w:pPr>
                    <w:adjustRightInd w:val="0"/>
                    <w:snapToGrid w:val="0"/>
                    <w:jc w:val="center"/>
                    <w:rPr>
                      <w:bCs/>
                      <w:color w:val="000000"/>
                      <w:szCs w:val="21"/>
                    </w:rPr>
                  </w:pPr>
                  <w:r>
                    <w:rPr>
                      <w:bCs/>
                      <w:color w:val="000000"/>
                      <w:szCs w:val="21"/>
                    </w:rPr>
                    <w:t>无量纲</w:t>
                  </w:r>
                </w:p>
              </w:tc>
            </w:tr>
            <w:tr w14:paraId="4319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14862E34">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7AA75016">
                  <w:pPr>
                    <w:adjustRightInd w:val="0"/>
                    <w:snapToGrid w:val="0"/>
                    <w:jc w:val="center"/>
                    <w:rPr>
                      <w:bCs/>
                      <w:szCs w:val="21"/>
                    </w:rPr>
                  </w:pPr>
                </w:p>
              </w:tc>
              <w:tc>
                <w:tcPr>
                  <w:tcW w:w="1950" w:type="dxa"/>
                  <w:tcMar>
                    <w:top w:w="0" w:type="dxa"/>
                    <w:left w:w="57" w:type="dxa"/>
                    <w:bottom w:w="0" w:type="dxa"/>
                    <w:right w:w="57" w:type="dxa"/>
                  </w:tcMar>
                  <w:vAlign w:val="center"/>
                </w:tcPr>
                <w:p w14:paraId="7FB85BF7">
                  <w:pPr>
                    <w:spacing w:line="360" w:lineRule="exact"/>
                    <w:jc w:val="center"/>
                    <w:rPr>
                      <w:color w:val="000000"/>
                      <w:spacing w:val="-12"/>
                      <w:szCs w:val="21"/>
                    </w:rPr>
                  </w:pPr>
                  <w:r>
                    <w:rPr>
                      <w:color w:val="000000"/>
                      <w:spacing w:val="-12"/>
                      <w:szCs w:val="21"/>
                    </w:rPr>
                    <w:t>悬浮物</w:t>
                  </w:r>
                </w:p>
              </w:tc>
              <w:tc>
                <w:tcPr>
                  <w:tcW w:w="881" w:type="dxa"/>
                  <w:tcMar>
                    <w:top w:w="0" w:type="dxa"/>
                    <w:left w:w="57" w:type="dxa"/>
                    <w:bottom w:w="0" w:type="dxa"/>
                    <w:right w:w="57" w:type="dxa"/>
                  </w:tcMar>
                  <w:vAlign w:val="center"/>
                </w:tcPr>
                <w:p w14:paraId="5EAD1C39">
                  <w:pPr>
                    <w:adjustRightInd w:val="0"/>
                    <w:snapToGrid w:val="0"/>
                    <w:jc w:val="center"/>
                    <w:rPr>
                      <w:bCs/>
                      <w:color w:val="000000"/>
                      <w:szCs w:val="21"/>
                    </w:rPr>
                  </w:pPr>
                  <w:r>
                    <w:rPr>
                      <w:bCs/>
                      <w:color w:val="000000"/>
                      <w:szCs w:val="21"/>
                    </w:rPr>
                    <w:t>15</w:t>
                  </w:r>
                </w:p>
              </w:tc>
              <w:tc>
                <w:tcPr>
                  <w:tcW w:w="881" w:type="dxa"/>
                  <w:tcMar>
                    <w:top w:w="0" w:type="dxa"/>
                    <w:left w:w="57" w:type="dxa"/>
                    <w:bottom w:w="0" w:type="dxa"/>
                    <w:right w:w="57" w:type="dxa"/>
                  </w:tcMar>
                  <w:vAlign w:val="center"/>
                </w:tcPr>
                <w:p w14:paraId="32209C89">
                  <w:pPr>
                    <w:adjustRightInd w:val="0"/>
                    <w:snapToGrid w:val="0"/>
                    <w:jc w:val="center"/>
                    <w:rPr>
                      <w:bCs/>
                      <w:color w:val="000000"/>
                      <w:szCs w:val="21"/>
                    </w:rPr>
                  </w:pPr>
                  <w:r>
                    <w:rPr>
                      <w:bCs/>
                      <w:color w:val="000000"/>
                      <w:szCs w:val="21"/>
                    </w:rPr>
                    <w:t>13</w:t>
                  </w:r>
                </w:p>
              </w:tc>
              <w:tc>
                <w:tcPr>
                  <w:tcW w:w="881" w:type="dxa"/>
                  <w:tcMar>
                    <w:top w:w="0" w:type="dxa"/>
                    <w:left w:w="57" w:type="dxa"/>
                    <w:bottom w:w="0" w:type="dxa"/>
                    <w:right w:w="57" w:type="dxa"/>
                  </w:tcMar>
                  <w:vAlign w:val="center"/>
                </w:tcPr>
                <w:p w14:paraId="282207D7">
                  <w:pPr>
                    <w:adjustRightInd w:val="0"/>
                    <w:snapToGrid w:val="0"/>
                    <w:jc w:val="center"/>
                    <w:rPr>
                      <w:bCs/>
                      <w:color w:val="000000"/>
                      <w:szCs w:val="21"/>
                    </w:rPr>
                  </w:pPr>
                  <w:r>
                    <w:rPr>
                      <w:bCs/>
                      <w:color w:val="000000"/>
                      <w:szCs w:val="21"/>
                    </w:rPr>
                    <w:t>12</w:t>
                  </w:r>
                </w:p>
              </w:tc>
              <w:tc>
                <w:tcPr>
                  <w:tcW w:w="882" w:type="dxa"/>
                  <w:tcMar>
                    <w:top w:w="0" w:type="dxa"/>
                    <w:left w:w="57" w:type="dxa"/>
                    <w:bottom w:w="0" w:type="dxa"/>
                    <w:right w:w="57" w:type="dxa"/>
                  </w:tcMar>
                  <w:vAlign w:val="center"/>
                </w:tcPr>
                <w:p w14:paraId="3C93954D">
                  <w:pPr>
                    <w:adjustRightInd w:val="0"/>
                    <w:snapToGrid w:val="0"/>
                    <w:jc w:val="center"/>
                    <w:rPr>
                      <w:bCs/>
                      <w:color w:val="000000"/>
                      <w:szCs w:val="21"/>
                    </w:rPr>
                  </w:pPr>
                  <w:r>
                    <w:rPr>
                      <w:bCs/>
                      <w:color w:val="000000"/>
                      <w:szCs w:val="21"/>
                    </w:rPr>
                    <w:t>14</w:t>
                  </w:r>
                </w:p>
              </w:tc>
              <w:tc>
                <w:tcPr>
                  <w:tcW w:w="1092" w:type="dxa"/>
                  <w:tcMar>
                    <w:top w:w="0" w:type="dxa"/>
                    <w:left w:w="57" w:type="dxa"/>
                    <w:bottom w:w="0" w:type="dxa"/>
                    <w:right w:w="57" w:type="dxa"/>
                  </w:tcMar>
                  <w:vAlign w:val="center"/>
                </w:tcPr>
                <w:p w14:paraId="04D38EC8">
                  <w:pPr>
                    <w:adjustRightInd w:val="0"/>
                    <w:snapToGrid w:val="0"/>
                    <w:jc w:val="center"/>
                    <w:rPr>
                      <w:bCs/>
                      <w:color w:val="000000"/>
                      <w:szCs w:val="21"/>
                    </w:rPr>
                  </w:pPr>
                  <w:r>
                    <w:rPr>
                      <w:bCs/>
                      <w:color w:val="000000"/>
                      <w:szCs w:val="21"/>
                    </w:rPr>
                    <w:t>mg/L</w:t>
                  </w:r>
                </w:p>
              </w:tc>
            </w:tr>
            <w:tr w14:paraId="07A3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3ABA67A5">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1C26FEA2">
                  <w:pPr>
                    <w:adjustRightInd w:val="0"/>
                    <w:snapToGrid w:val="0"/>
                    <w:jc w:val="center"/>
                    <w:rPr>
                      <w:bCs/>
                      <w:szCs w:val="21"/>
                    </w:rPr>
                  </w:pPr>
                </w:p>
              </w:tc>
              <w:tc>
                <w:tcPr>
                  <w:tcW w:w="1950" w:type="dxa"/>
                  <w:tcMar>
                    <w:top w:w="0" w:type="dxa"/>
                    <w:left w:w="57" w:type="dxa"/>
                    <w:bottom w:w="0" w:type="dxa"/>
                    <w:right w:w="57" w:type="dxa"/>
                  </w:tcMar>
                  <w:vAlign w:val="center"/>
                </w:tcPr>
                <w:p w14:paraId="1F035097">
                  <w:pPr>
                    <w:jc w:val="center"/>
                    <w:rPr>
                      <w:color w:val="000000"/>
                      <w:szCs w:val="21"/>
                    </w:rPr>
                  </w:pPr>
                  <w:r>
                    <w:rPr>
                      <w:color w:val="000000"/>
                      <w:szCs w:val="21"/>
                    </w:rPr>
                    <w:t>五日生化需氧量</w:t>
                  </w:r>
                </w:p>
              </w:tc>
              <w:tc>
                <w:tcPr>
                  <w:tcW w:w="881" w:type="dxa"/>
                  <w:tcMar>
                    <w:top w:w="0" w:type="dxa"/>
                    <w:left w:w="57" w:type="dxa"/>
                    <w:bottom w:w="0" w:type="dxa"/>
                    <w:right w:w="57" w:type="dxa"/>
                  </w:tcMar>
                  <w:vAlign w:val="center"/>
                </w:tcPr>
                <w:p w14:paraId="5D376C1F">
                  <w:pPr>
                    <w:adjustRightInd w:val="0"/>
                    <w:snapToGrid w:val="0"/>
                    <w:jc w:val="center"/>
                    <w:rPr>
                      <w:bCs/>
                      <w:color w:val="000000"/>
                      <w:szCs w:val="21"/>
                    </w:rPr>
                  </w:pPr>
                  <w:r>
                    <w:rPr>
                      <w:bCs/>
                      <w:color w:val="000000"/>
                      <w:szCs w:val="21"/>
                    </w:rPr>
                    <w:t>25.2</w:t>
                  </w:r>
                </w:p>
              </w:tc>
              <w:tc>
                <w:tcPr>
                  <w:tcW w:w="881" w:type="dxa"/>
                  <w:tcMar>
                    <w:top w:w="0" w:type="dxa"/>
                    <w:left w:w="57" w:type="dxa"/>
                    <w:bottom w:w="0" w:type="dxa"/>
                    <w:right w:w="57" w:type="dxa"/>
                  </w:tcMar>
                  <w:vAlign w:val="center"/>
                </w:tcPr>
                <w:p w14:paraId="323BD51A">
                  <w:pPr>
                    <w:adjustRightInd w:val="0"/>
                    <w:snapToGrid w:val="0"/>
                    <w:jc w:val="center"/>
                    <w:rPr>
                      <w:bCs/>
                      <w:color w:val="000000"/>
                      <w:szCs w:val="21"/>
                    </w:rPr>
                  </w:pPr>
                  <w:r>
                    <w:rPr>
                      <w:bCs/>
                      <w:color w:val="000000"/>
                      <w:szCs w:val="21"/>
                    </w:rPr>
                    <w:t>24.0</w:t>
                  </w:r>
                </w:p>
              </w:tc>
              <w:tc>
                <w:tcPr>
                  <w:tcW w:w="881" w:type="dxa"/>
                  <w:tcMar>
                    <w:top w:w="0" w:type="dxa"/>
                    <w:left w:w="57" w:type="dxa"/>
                    <w:bottom w:w="0" w:type="dxa"/>
                    <w:right w:w="57" w:type="dxa"/>
                  </w:tcMar>
                  <w:vAlign w:val="center"/>
                </w:tcPr>
                <w:p w14:paraId="3C6B193E">
                  <w:pPr>
                    <w:adjustRightInd w:val="0"/>
                    <w:snapToGrid w:val="0"/>
                    <w:jc w:val="center"/>
                    <w:rPr>
                      <w:bCs/>
                      <w:color w:val="000000"/>
                      <w:szCs w:val="21"/>
                    </w:rPr>
                  </w:pPr>
                  <w:r>
                    <w:rPr>
                      <w:bCs/>
                      <w:color w:val="000000"/>
                      <w:szCs w:val="21"/>
                    </w:rPr>
                    <w:t>25.8</w:t>
                  </w:r>
                </w:p>
              </w:tc>
              <w:tc>
                <w:tcPr>
                  <w:tcW w:w="882" w:type="dxa"/>
                  <w:tcMar>
                    <w:top w:w="0" w:type="dxa"/>
                    <w:left w:w="57" w:type="dxa"/>
                    <w:bottom w:w="0" w:type="dxa"/>
                    <w:right w:w="57" w:type="dxa"/>
                  </w:tcMar>
                  <w:vAlign w:val="center"/>
                </w:tcPr>
                <w:p w14:paraId="73B42E58">
                  <w:pPr>
                    <w:adjustRightInd w:val="0"/>
                    <w:snapToGrid w:val="0"/>
                    <w:jc w:val="center"/>
                    <w:rPr>
                      <w:bCs/>
                      <w:color w:val="000000"/>
                      <w:szCs w:val="21"/>
                    </w:rPr>
                  </w:pPr>
                  <w:r>
                    <w:rPr>
                      <w:bCs/>
                      <w:color w:val="000000"/>
                      <w:szCs w:val="21"/>
                    </w:rPr>
                    <w:t>26.8</w:t>
                  </w:r>
                </w:p>
              </w:tc>
              <w:tc>
                <w:tcPr>
                  <w:tcW w:w="1092" w:type="dxa"/>
                  <w:tcMar>
                    <w:top w:w="0" w:type="dxa"/>
                    <w:left w:w="57" w:type="dxa"/>
                    <w:bottom w:w="0" w:type="dxa"/>
                    <w:right w:w="57" w:type="dxa"/>
                  </w:tcMar>
                  <w:vAlign w:val="center"/>
                </w:tcPr>
                <w:p w14:paraId="6262E977">
                  <w:pPr>
                    <w:adjustRightInd w:val="0"/>
                    <w:snapToGrid w:val="0"/>
                    <w:jc w:val="center"/>
                    <w:rPr>
                      <w:bCs/>
                      <w:color w:val="000000"/>
                      <w:szCs w:val="21"/>
                    </w:rPr>
                  </w:pPr>
                  <w:r>
                    <w:rPr>
                      <w:bCs/>
                      <w:color w:val="000000"/>
                      <w:szCs w:val="21"/>
                    </w:rPr>
                    <w:t>mg/L</w:t>
                  </w:r>
                </w:p>
              </w:tc>
            </w:tr>
            <w:tr w14:paraId="167E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245AD47C">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4B964D46">
                  <w:pPr>
                    <w:adjustRightInd w:val="0"/>
                    <w:snapToGrid w:val="0"/>
                    <w:jc w:val="center"/>
                    <w:rPr>
                      <w:bCs/>
                      <w:szCs w:val="21"/>
                    </w:rPr>
                  </w:pPr>
                </w:p>
              </w:tc>
              <w:tc>
                <w:tcPr>
                  <w:tcW w:w="1950" w:type="dxa"/>
                  <w:tcMar>
                    <w:top w:w="0" w:type="dxa"/>
                    <w:left w:w="57" w:type="dxa"/>
                    <w:bottom w:w="0" w:type="dxa"/>
                    <w:right w:w="57" w:type="dxa"/>
                  </w:tcMar>
                  <w:vAlign w:val="center"/>
                </w:tcPr>
                <w:p w14:paraId="601F410E">
                  <w:pPr>
                    <w:jc w:val="center"/>
                    <w:rPr>
                      <w:color w:val="000000"/>
                      <w:spacing w:val="-12"/>
                      <w:szCs w:val="21"/>
                    </w:rPr>
                  </w:pPr>
                  <w:r>
                    <w:rPr>
                      <w:color w:val="000000"/>
                      <w:spacing w:val="-12"/>
                      <w:szCs w:val="21"/>
                    </w:rPr>
                    <w:t>氨氮</w:t>
                  </w:r>
                </w:p>
              </w:tc>
              <w:tc>
                <w:tcPr>
                  <w:tcW w:w="881" w:type="dxa"/>
                  <w:tcMar>
                    <w:top w:w="0" w:type="dxa"/>
                    <w:left w:w="57" w:type="dxa"/>
                    <w:bottom w:w="0" w:type="dxa"/>
                    <w:right w:w="57" w:type="dxa"/>
                  </w:tcMar>
                  <w:vAlign w:val="center"/>
                </w:tcPr>
                <w:p w14:paraId="2A0FB2FE">
                  <w:pPr>
                    <w:adjustRightInd w:val="0"/>
                    <w:snapToGrid w:val="0"/>
                    <w:jc w:val="center"/>
                    <w:rPr>
                      <w:bCs/>
                      <w:color w:val="000000"/>
                      <w:szCs w:val="21"/>
                    </w:rPr>
                  </w:pPr>
                  <w:r>
                    <w:rPr>
                      <w:bCs/>
                      <w:color w:val="000000"/>
                      <w:szCs w:val="21"/>
                    </w:rPr>
                    <w:t>1.40</w:t>
                  </w:r>
                </w:p>
              </w:tc>
              <w:tc>
                <w:tcPr>
                  <w:tcW w:w="881" w:type="dxa"/>
                  <w:tcMar>
                    <w:top w:w="0" w:type="dxa"/>
                    <w:left w:w="57" w:type="dxa"/>
                    <w:bottom w:w="0" w:type="dxa"/>
                    <w:right w:w="57" w:type="dxa"/>
                  </w:tcMar>
                  <w:vAlign w:val="center"/>
                </w:tcPr>
                <w:p w14:paraId="37528C3F">
                  <w:pPr>
                    <w:adjustRightInd w:val="0"/>
                    <w:snapToGrid w:val="0"/>
                    <w:jc w:val="center"/>
                    <w:rPr>
                      <w:bCs/>
                      <w:color w:val="000000"/>
                      <w:szCs w:val="21"/>
                    </w:rPr>
                  </w:pPr>
                  <w:r>
                    <w:rPr>
                      <w:bCs/>
                      <w:color w:val="000000"/>
                      <w:szCs w:val="21"/>
                    </w:rPr>
                    <w:t>1.46</w:t>
                  </w:r>
                </w:p>
              </w:tc>
              <w:tc>
                <w:tcPr>
                  <w:tcW w:w="881" w:type="dxa"/>
                  <w:tcMar>
                    <w:top w:w="0" w:type="dxa"/>
                    <w:left w:w="57" w:type="dxa"/>
                    <w:bottom w:w="0" w:type="dxa"/>
                    <w:right w:w="57" w:type="dxa"/>
                  </w:tcMar>
                  <w:vAlign w:val="center"/>
                </w:tcPr>
                <w:p w14:paraId="74DB1BC9">
                  <w:pPr>
                    <w:adjustRightInd w:val="0"/>
                    <w:snapToGrid w:val="0"/>
                    <w:jc w:val="center"/>
                    <w:rPr>
                      <w:bCs/>
                      <w:color w:val="000000"/>
                      <w:szCs w:val="21"/>
                    </w:rPr>
                  </w:pPr>
                  <w:r>
                    <w:rPr>
                      <w:bCs/>
                      <w:color w:val="000000"/>
                      <w:szCs w:val="21"/>
                    </w:rPr>
                    <w:t>1.35</w:t>
                  </w:r>
                </w:p>
              </w:tc>
              <w:tc>
                <w:tcPr>
                  <w:tcW w:w="882" w:type="dxa"/>
                  <w:tcMar>
                    <w:top w:w="0" w:type="dxa"/>
                    <w:left w:w="57" w:type="dxa"/>
                    <w:bottom w:w="0" w:type="dxa"/>
                    <w:right w:w="57" w:type="dxa"/>
                  </w:tcMar>
                  <w:vAlign w:val="center"/>
                </w:tcPr>
                <w:p w14:paraId="14C5D220">
                  <w:pPr>
                    <w:adjustRightInd w:val="0"/>
                    <w:snapToGrid w:val="0"/>
                    <w:jc w:val="center"/>
                    <w:rPr>
                      <w:bCs/>
                      <w:color w:val="000000"/>
                      <w:szCs w:val="21"/>
                    </w:rPr>
                  </w:pPr>
                  <w:r>
                    <w:rPr>
                      <w:bCs/>
                      <w:color w:val="000000"/>
                      <w:szCs w:val="21"/>
                    </w:rPr>
                    <w:t>1.37</w:t>
                  </w:r>
                </w:p>
              </w:tc>
              <w:tc>
                <w:tcPr>
                  <w:tcW w:w="1092" w:type="dxa"/>
                  <w:tcMar>
                    <w:top w:w="0" w:type="dxa"/>
                    <w:left w:w="57" w:type="dxa"/>
                    <w:bottom w:w="0" w:type="dxa"/>
                    <w:right w:w="57" w:type="dxa"/>
                  </w:tcMar>
                  <w:vAlign w:val="center"/>
                </w:tcPr>
                <w:p w14:paraId="041AE2E1">
                  <w:pPr>
                    <w:adjustRightInd w:val="0"/>
                    <w:snapToGrid w:val="0"/>
                    <w:jc w:val="center"/>
                    <w:rPr>
                      <w:bCs/>
                      <w:color w:val="000000"/>
                      <w:szCs w:val="21"/>
                    </w:rPr>
                  </w:pPr>
                  <w:r>
                    <w:rPr>
                      <w:bCs/>
                      <w:color w:val="000000"/>
                      <w:szCs w:val="21"/>
                    </w:rPr>
                    <w:t>mg/L</w:t>
                  </w:r>
                </w:p>
              </w:tc>
            </w:tr>
            <w:tr w14:paraId="22F3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1058EEAE">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3EC93EDC">
                  <w:pPr>
                    <w:adjustRightInd w:val="0"/>
                    <w:snapToGrid w:val="0"/>
                    <w:jc w:val="center"/>
                    <w:rPr>
                      <w:bCs/>
                      <w:szCs w:val="21"/>
                    </w:rPr>
                  </w:pPr>
                </w:p>
              </w:tc>
              <w:tc>
                <w:tcPr>
                  <w:tcW w:w="1950" w:type="dxa"/>
                  <w:tcMar>
                    <w:top w:w="0" w:type="dxa"/>
                    <w:left w:w="57" w:type="dxa"/>
                    <w:bottom w:w="0" w:type="dxa"/>
                    <w:right w:w="57" w:type="dxa"/>
                  </w:tcMar>
                  <w:vAlign w:val="center"/>
                </w:tcPr>
                <w:p w14:paraId="497D59DC">
                  <w:pPr>
                    <w:jc w:val="center"/>
                    <w:rPr>
                      <w:color w:val="000000"/>
                      <w:spacing w:val="-12"/>
                      <w:szCs w:val="21"/>
                    </w:rPr>
                  </w:pPr>
                  <w:r>
                    <w:rPr>
                      <w:color w:val="000000"/>
                      <w:spacing w:val="-12"/>
                      <w:szCs w:val="21"/>
                    </w:rPr>
                    <w:t>阴离子表面活性剂</w:t>
                  </w:r>
                </w:p>
              </w:tc>
              <w:tc>
                <w:tcPr>
                  <w:tcW w:w="881" w:type="dxa"/>
                  <w:tcMar>
                    <w:top w:w="0" w:type="dxa"/>
                    <w:left w:w="57" w:type="dxa"/>
                    <w:bottom w:w="0" w:type="dxa"/>
                    <w:right w:w="57" w:type="dxa"/>
                  </w:tcMar>
                  <w:vAlign w:val="center"/>
                </w:tcPr>
                <w:p w14:paraId="68ED21E3">
                  <w:pPr>
                    <w:adjustRightInd w:val="0"/>
                    <w:snapToGrid w:val="0"/>
                    <w:jc w:val="center"/>
                    <w:rPr>
                      <w:bCs/>
                      <w:color w:val="000000"/>
                      <w:szCs w:val="21"/>
                    </w:rPr>
                  </w:pPr>
                  <w:r>
                    <w:rPr>
                      <w:bCs/>
                      <w:color w:val="000000"/>
                      <w:szCs w:val="21"/>
                    </w:rPr>
                    <w:t>0.10</w:t>
                  </w:r>
                </w:p>
              </w:tc>
              <w:tc>
                <w:tcPr>
                  <w:tcW w:w="881" w:type="dxa"/>
                  <w:tcMar>
                    <w:top w:w="0" w:type="dxa"/>
                    <w:left w:w="57" w:type="dxa"/>
                    <w:bottom w:w="0" w:type="dxa"/>
                    <w:right w:w="57" w:type="dxa"/>
                  </w:tcMar>
                  <w:vAlign w:val="center"/>
                </w:tcPr>
                <w:p w14:paraId="6C3A00EA">
                  <w:pPr>
                    <w:adjustRightInd w:val="0"/>
                    <w:snapToGrid w:val="0"/>
                    <w:jc w:val="center"/>
                    <w:rPr>
                      <w:bCs/>
                      <w:color w:val="000000"/>
                      <w:szCs w:val="21"/>
                    </w:rPr>
                  </w:pPr>
                  <w:r>
                    <w:rPr>
                      <w:bCs/>
                      <w:color w:val="000000"/>
                      <w:szCs w:val="21"/>
                    </w:rPr>
                    <w:t>0.10</w:t>
                  </w:r>
                </w:p>
              </w:tc>
              <w:tc>
                <w:tcPr>
                  <w:tcW w:w="881" w:type="dxa"/>
                  <w:tcMar>
                    <w:top w:w="0" w:type="dxa"/>
                    <w:left w:w="57" w:type="dxa"/>
                    <w:bottom w:w="0" w:type="dxa"/>
                    <w:right w:w="57" w:type="dxa"/>
                  </w:tcMar>
                  <w:vAlign w:val="center"/>
                </w:tcPr>
                <w:p w14:paraId="08421017">
                  <w:pPr>
                    <w:adjustRightInd w:val="0"/>
                    <w:snapToGrid w:val="0"/>
                    <w:jc w:val="center"/>
                    <w:rPr>
                      <w:bCs/>
                      <w:color w:val="000000"/>
                      <w:szCs w:val="21"/>
                    </w:rPr>
                  </w:pPr>
                  <w:r>
                    <w:rPr>
                      <w:bCs/>
                      <w:color w:val="000000"/>
                      <w:szCs w:val="21"/>
                    </w:rPr>
                    <w:t>0.12</w:t>
                  </w:r>
                </w:p>
              </w:tc>
              <w:tc>
                <w:tcPr>
                  <w:tcW w:w="882" w:type="dxa"/>
                  <w:tcMar>
                    <w:top w:w="0" w:type="dxa"/>
                    <w:left w:w="57" w:type="dxa"/>
                    <w:bottom w:w="0" w:type="dxa"/>
                    <w:right w:w="57" w:type="dxa"/>
                  </w:tcMar>
                  <w:vAlign w:val="center"/>
                </w:tcPr>
                <w:p w14:paraId="696FF83A">
                  <w:pPr>
                    <w:adjustRightInd w:val="0"/>
                    <w:snapToGrid w:val="0"/>
                    <w:jc w:val="center"/>
                    <w:rPr>
                      <w:bCs/>
                      <w:color w:val="000000"/>
                      <w:szCs w:val="21"/>
                    </w:rPr>
                  </w:pPr>
                  <w:r>
                    <w:rPr>
                      <w:bCs/>
                      <w:color w:val="000000"/>
                      <w:szCs w:val="21"/>
                    </w:rPr>
                    <w:t>0.13</w:t>
                  </w:r>
                </w:p>
              </w:tc>
              <w:tc>
                <w:tcPr>
                  <w:tcW w:w="1092" w:type="dxa"/>
                  <w:tcMar>
                    <w:top w:w="0" w:type="dxa"/>
                    <w:left w:w="57" w:type="dxa"/>
                    <w:bottom w:w="0" w:type="dxa"/>
                    <w:right w:w="57" w:type="dxa"/>
                  </w:tcMar>
                  <w:vAlign w:val="center"/>
                </w:tcPr>
                <w:p w14:paraId="0792B9EB">
                  <w:pPr>
                    <w:adjustRightInd w:val="0"/>
                    <w:snapToGrid w:val="0"/>
                    <w:jc w:val="center"/>
                    <w:rPr>
                      <w:bCs/>
                      <w:color w:val="000000"/>
                      <w:szCs w:val="21"/>
                    </w:rPr>
                  </w:pPr>
                  <w:r>
                    <w:rPr>
                      <w:bCs/>
                      <w:color w:val="000000"/>
                      <w:szCs w:val="21"/>
                    </w:rPr>
                    <w:t>mg/L</w:t>
                  </w:r>
                </w:p>
              </w:tc>
            </w:tr>
            <w:tr w14:paraId="7AF7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6184773F">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31DFA067">
                  <w:pPr>
                    <w:adjustRightInd w:val="0"/>
                    <w:snapToGrid w:val="0"/>
                    <w:jc w:val="center"/>
                    <w:rPr>
                      <w:bCs/>
                      <w:szCs w:val="21"/>
                    </w:rPr>
                  </w:pPr>
                </w:p>
              </w:tc>
              <w:tc>
                <w:tcPr>
                  <w:tcW w:w="1950" w:type="dxa"/>
                  <w:tcMar>
                    <w:top w:w="0" w:type="dxa"/>
                    <w:left w:w="57" w:type="dxa"/>
                    <w:bottom w:w="0" w:type="dxa"/>
                    <w:right w:w="57" w:type="dxa"/>
                  </w:tcMar>
                  <w:vAlign w:val="center"/>
                </w:tcPr>
                <w:p w14:paraId="6B195433">
                  <w:pPr>
                    <w:jc w:val="center"/>
                    <w:rPr>
                      <w:color w:val="000000"/>
                      <w:szCs w:val="21"/>
                    </w:rPr>
                  </w:pPr>
                  <w:r>
                    <w:rPr>
                      <w:color w:val="000000"/>
                      <w:szCs w:val="21"/>
                    </w:rPr>
                    <w:t>总磷</w:t>
                  </w:r>
                </w:p>
              </w:tc>
              <w:tc>
                <w:tcPr>
                  <w:tcW w:w="881" w:type="dxa"/>
                  <w:tcMar>
                    <w:top w:w="0" w:type="dxa"/>
                    <w:left w:w="57" w:type="dxa"/>
                    <w:bottom w:w="0" w:type="dxa"/>
                    <w:right w:w="57" w:type="dxa"/>
                  </w:tcMar>
                  <w:vAlign w:val="center"/>
                </w:tcPr>
                <w:p w14:paraId="45C01EFD">
                  <w:pPr>
                    <w:adjustRightInd w:val="0"/>
                    <w:snapToGrid w:val="0"/>
                    <w:jc w:val="center"/>
                    <w:rPr>
                      <w:bCs/>
                      <w:color w:val="000000"/>
                      <w:szCs w:val="21"/>
                    </w:rPr>
                  </w:pPr>
                  <w:r>
                    <w:rPr>
                      <w:bCs/>
                      <w:color w:val="000000"/>
                      <w:szCs w:val="21"/>
                    </w:rPr>
                    <w:t>0.57</w:t>
                  </w:r>
                </w:p>
              </w:tc>
              <w:tc>
                <w:tcPr>
                  <w:tcW w:w="881" w:type="dxa"/>
                  <w:tcMar>
                    <w:top w:w="0" w:type="dxa"/>
                    <w:left w:w="57" w:type="dxa"/>
                    <w:bottom w:w="0" w:type="dxa"/>
                    <w:right w:w="57" w:type="dxa"/>
                  </w:tcMar>
                  <w:vAlign w:val="center"/>
                </w:tcPr>
                <w:p w14:paraId="7671B07D">
                  <w:pPr>
                    <w:adjustRightInd w:val="0"/>
                    <w:snapToGrid w:val="0"/>
                    <w:jc w:val="center"/>
                    <w:rPr>
                      <w:bCs/>
                      <w:color w:val="000000"/>
                      <w:szCs w:val="21"/>
                    </w:rPr>
                  </w:pPr>
                  <w:r>
                    <w:rPr>
                      <w:bCs/>
                      <w:color w:val="000000"/>
                      <w:szCs w:val="21"/>
                    </w:rPr>
                    <w:t>0.59</w:t>
                  </w:r>
                </w:p>
              </w:tc>
              <w:tc>
                <w:tcPr>
                  <w:tcW w:w="881" w:type="dxa"/>
                  <w:tcMar>
                    <w:top w:w="0" w:type="dxa"/>
                    <w:left w:w="57" w:type="dxa"/>
                    <w:bottom w:w="0" w:type="dxa"/>
                    <w:right w:w="57" w:type="dxa"/>
                  </w:tcMar>
                  <w:vAlign w:val="center"/>
                </w:tcPr>
                <w:p w14:paraId="028CB0C9">
                  <w:pPr>
                    <w:adjustRightInd w:val="0"/>
                    <w:snapToGrid w:val="0"/>
                    <w:jc w:val="center"/>
                    <w:rPr>
                      <w:bCs/>
                      <w:color w:val="000000"/>
                      <w:szCs w:val="21"/>
                    </w:rPr>
                  </w:pPr>
                  <w:r>
                    <w:rPr>
                      <w:bCs/>
                      <w:color w:val="000000"/>
                      <w:szCs w:val="21"/>
                    </w:rPr>
                    <w:t>0.60</w:t>
                  </w:r>
                </w:p>
              </w:tc>
              <w:tc>
                <w:tcPr>
                  <w:tcW w:w="882" w:type="dxa"/>
                  <w:tcMar>
                    <w:top w:w="0" w:type="dxa"/>
                    <w:left w:w="57" w:type="dxa"/>
                    <w:bottom w:w="0" w:type="dxa"/>
                    <w:right w:w="57" w:type="dxa"/>
                  </w:tcMar>
                  <w:vAlign w:val="center"/>
                </w:tcPr>
                <w:p w14:paraId="6A66CEC8">
                  <w:pPr>
                    <w:adjustRightInd w:val="0"/>
                    <w:snapToGrid w:val="0"/>
                    <w:jc w:val="center"/>
                    <w:rPr>
                      <w:bCs/>
                      <w:color w:val="000000"/>
                      <w:szCs w:val="21"/>
                    </w:rPr>
                  </w:pPr>
                  <w:r>
                    <w:rPr>
                      <w:bCs/>
                      <w:color w:val="000000"/>
                      <w:szCs w:val="21"/>
                    </w:rPr>
                    <w:t>0.61</w:t>
                  </w:r>
                </w:p>
              </w:tc>
              <w:tc>
                <w:tcPr>
                  <w:tcW w:w="1092" w:type="dxa"/>
                  <w:tcMar>
                    <w:top w:w="0" w:type="dxa"/>
                    <w:left w:w="57" w:type="dxa"/>
                    <w:bottom w:w="0" w:type="dxa"/>
                    <w:right w:w="57" w:type="dxa"/>
                  </w:tcMar>
                  <w:vAlign w:val="center"/>
                </w:tcPr>
                <w:p w14:paraId="0517BE9B">
                  <w:pPr>
                    <w:adjustRightInd w:val="0"/>
                    <w:snapToGrid w:val="0"/>
                    <w:jc w:val="center"/>
                    <w:rPr>
                      <w:bCs/>
                      <w:color w:val="000000"/>
                      <w:szCs w:val="21"/>
                    </w:rPr>
                  </w:pPr>
                  <w:r>
                    <w:rPr>
                      <w:bCs/>
                      <w:color w:val="000000"/>
                      <w:szCs w:val="21"/>
                    </w:rPr>
                    <w:t>mg/L</w:t>
                  </w:r>
                </w:p>
              </w:tc>
            </w:tr>
            <w:tr w14:paraId="3481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51" w:type="dxa"/>
                  <w:vMerge w:val="continue"/>
                  <w:tcMar>
                    <w:top w:w="0" w:type="dxa"/>
                    <w:left w:w="57" w:type="dxa"/>
                    <w:bottom w:w="0" w:type="dxa"/>
                    <w:right w:w="57" w:type="dxa"/>
                  </w:tcMar>
                  <w:vAlign w:val="center"/>
                </w:tcPr>
                <w:p w14:paraId="152519A2">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4B552668">
                  <w:pPr>
                    <w:adjustRightInd w:val="0"/>
                    <w:snapToGrid w:val="0"/>
                    <w:jc w:val="center"/>
                    <w:rPr>
                      <w:bCs/>
                      <w:szCs w:val="21"/>
                    </w:rPr>
                  </w:pPr>
                </w:p>
              </w:tc>
              <w:tc>
                <w:tcPr>
                  <w:tcW w:w="1950" w:type="dxa"/>
                  <w:tcMar>
                    <w:top w:w="0" w:type="dxa"/>
                    <w:left w:w="57" w:type="dxa"/>
                    <w:bottom w:w="0" w:type="dxa"/>
                    <w:right w:w="57" w:type="dxa"/>
                  </w:tcMar>
                  <w:vAlign w:val="center"/>
                </w:tcPr>
                <w:p w14:paraId="1CAF335C">
                  <w:pPr>
                    <w:jc w:val="center"/>
                    <w:rPr>
                      <w:color w:val="000000"/>
                      <w:szCs w:val="21"/>
                    </w:rPr>
                  </w:pPr>
                  <w:r>
                    <w:rPr>
                      <w:szCs w:val="21"/>
                    </w:rPr>
                    <w:t>总氮</w:t>
                  </w:r>
                </w:p>
              </w:tc>
              <w:tc>
                <w:tcPr>
                  <w:tcW w:w="881" w:type="dxa"/>
                  <w:tcMar>
                    <w:top w:w="0" w:type="dxa"/>
                    <w:left w:w="57" w:type="dxa"/>
                    <w:bottom w:w="0" w:type="dxa"/>
                    <w:right w:w="57" w:type="dxa"/>
                  </w:tcMar>
                  <w:vAlign w:val="center"/>
                </w:tcPr>
                <w:p w14:paraId="08520028">
                  <w:pPr>
                    <w:adjustRightInd w:val="0"/>
                    <w:snapToGrid w:val="0"/>
                    <w:jc w:val="center"/>
                    <w:rPr>
                      <w:bCs/>
                      <w:color w:val="000000"/>
                      <w:szCs w:val="21"/>
                    </w:rPr>
                  </w:pPr>
                  <w:r>
                    <w:rPr>
                      <w:bCs/>
                      <w:color w:val="000000"/>
                      <w:szCs w:val="21"/>
                    </w:rPr>
                    <w:t>3.22</w:t>
                  </w:r>
                </w:p>
              </w:tc>
              <w:tc>
                <w:tcPr>
                  <w:tcW w:w="881" w:type="dxa"/>
                  <w:tcMar>
                    <w:top w:w="0" w:type="dxa"/>
                    <w:left w:w="57" w:type="dxa"/>
                    <w:bottom w:w="0" w:type="dxa"/>
                    <w:right w:w="57" w:type="dxa"/>
                  </w:tcMar>
                  <w:vAlign w:val="center"/>
                </w:tcPr>
                <w:p w14:paraId="4CDCA6B1">
                  <w:pPr>
                    <w:adjustRightInd w:val="0"/>
                    <w:snapToGrid w:val="0"/>
                    <w:jc w:val="center"/>
                    <w:rPr>
                      <w:bCs/>
                      <w:color w:val="000000"/>
                      <w:szCs w:val="21"/>
                    </w:rPr>
                  </w:pPr>
                  <w:r>
                    <w:rPr>
                      <w:bCs/>
                      <w:color w:val="000000"/>
                      <w:szCs w:val="21"/>
                    </w:rPr>
                    <w:t>3.49</w:t>
                  </w:r>
                </w:p>
              </w:tc>
              <w:tc>
                <w:tcPr>
                  <w:tcW w:w="881" w:type="dxa"/>
                  <w:tcMar>
                    <w:top w:w="0" w:type="dxa"/>
                    <w:left w:w="57" w:type="dxa"/>
                    <w:bottom w:w="0" w:type="dxa"/>
                    <w:right w:w="57" w:type="dxa"/>
                  </w:tcMar>
                  <w:vAlign w:val="center"/>
                </w:tcPr>
                <w:p w14:paraId="47F3BBED">
                  <w:pPr>
                    <w:adjustRightInd w:val="0"/>
                    <w:snapToGrid w:val="0"/>
                    <w:jc w:val="center"/>
                    <w:rPr>
                      <w:bCs/>
                      <w:color w:val="000000"/>
                      <w:szCs w:val="21"/>
                    </w:rPr>
                  </w:pPr>
                  <w:r>
                    <w:rPr>
                      <w:bCs/>
                      <w:color w:val="000000"/>
                      <w:szCs w:val="21"/>
                    </w:rPr>
                    <w:t>3.47</w:t>
                  </w:r>
                </w:p>
              </w:tc>
              <w:tc>
                <w:tcPr>
                  <w:tcW w:w="882" w:type="dxa"/>
                  <w:tcMar>
                    <w:top w:w="0" w:type="dxa"/>
                    <w:left w:w="57" w:type="dxa"/>
                    <w:bottom w:w="0" w:type="dxa"/>
                    <w:right w:w="57" w:type="dxa"/>
                  </w:tcMar>
                  <w:vAlign w:val="center"/>
                </w:tcPr>
                <w:p w14:paraId="6C7D54F4">
                  <w:pPr>
                    <w:adjustRightInd w:val="0"/>
                    <w:snapToGrid w:val="0"/>
                    <w:jc w:val="center"/>
                    <w:rPr>
                      <w:bCs/>
                      <w:color w:val="000000"/>
                      <w:szCs w:val="21"/>
                    </w:rPr>
                  </w:pPr>
                  <w:r>
                    <w:rPr>
                      <w:bCs/>
                      <w:color w:val="000000"/>
                      <w:szCs w:val="21"/>
                    </w:rPr>
                    <w:t>3.18</w:t>
                  </w:r>
                </w:p>
              </w:tc>
              <w:tc>
                <w:tcPr>
                  <w:tcW w:w="1092" w:type="dxa"/>
                  <w:tcMar>
                    <w:top w:w="0" w:type="dxa"/>
                    <w:left w:w="57" w:type="dxa"/>
                    <w:bottom w:w="0" w:type="dxa"/>
                    <w:right w:w="57" w:type="dxa"/>
                  </w:tcMar>
                  <w:vAlign w:val="center"/>
                </w:tcPr>
                <w:p w14:paraId="1F30F706">
                  <w:pPr>
                    <w:adjustRightInd w:val="0"/>
                    <w:snapToGrid w:val="0"/>
                    <w:jc w:val="center"/>
                    <w:rPr>
                      <w:bCs/>
                      <w:color w:val="000000"/>
                      <w:szCs w:val="21"/>
                    </w:rPr>
                  </w:pPr>
                  <w:r>
                    <w:rPr>
                      <w:bCs/>
                      <w:color w:val="000000"/>
                      <w:szCs w:val="21"/>
                    </w:rPr>
                    <w:t>mg/L</w:t>
                  </w:r>
                </w:p>
              </w:tc>
            </w:tr>
            <w:tr w14:paraId="271B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6373A1DA">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66151D02">
                  <w:pPr>
                    <w:adjustRightInd w:val="0"/>
                    <w:snapToGrid w:val="0"/>
                    <w:jc w:val="center"/>
                    <w:rPr>
                      <w:bCs/>
                      <w:szCs w:val="21"/>
                    </w:rPr>
                  </w:pPr>
                </w:p>
              </w:tc>
              <w:tc>
                <w:tcPr>
                  <w:tcW w:w="1950" w:type="dxa"/>
                  <w:tcMar>
                    <w:top w:w="0" w:type="dxa"/>
                    <w:left w:w="57" w:type="dxa"/>
                    <w:bottom w:w="0" w:type="dxa"/>
                    <w:right w:w="57" w:type="dxa"/>
                  </w:tcMar>
                  <w:vAlign w:val="center"/>
                </w:tcPr>
                <w:p w14:paraId="5306B662">
                  <w:pPr>
                    <w:spacing w:line="360" w:lineRule="exact"/>
                    <w:jc w:val="center"/>
                    <w:rPr>
                      <w:color w:val="000000"/>
                      <w:spacing w:val="-12"/>
                      <w:szCs w:val="21"/>
                    </w:rPr>
                  </w:pPr>
                  <w:r>
                    <w:rPr>
                      <w:color w:val="000000"/>
                      <w:spacing w:val="-12"/>
                      <w:szCs w:val="21"/>
                    </w:rPr>
                    <w:t>化学需氧量</w:t>
                  </w:r>
                </w:p>
              </w:tc>
              <w:tc>
                <w:tcPr>
                  <w:tcW w:w="881" w:type="dxa"/>
                  <w:tcMar>
                    <w:top w:w="0" w:type="dxa"/>
                    <w:left w:w="57" w:type="dxa"/>
                    <w:bottom w:w="0" w:type="dxa"/>
                    <w:right w:w="57" w:type="dxa"/>
                  </w:tcMar>
                  <w:vAlign w:val="center"/>
                </w:tcPr>
                <w:p w14:paraId="438FB394">
                  <w:pPr>
                    <w:adjustRightInd w:val="0"/>
                    <w:snapToGrid w:val="0"/>
                    <w:jc w:val="center"/>
                    <w:rPr>
                      <w:bCs/>
                      <w:color w:val="000000"/>
                      <w:szCs w:val="21"/>
                    </w:rPr>
                  </w:pPr>
                  <w:r>
                    <w:rPr>
                      <w:bCs/>
                      <w:color w:val="000000"/>
                      <w:szCs w:val="21"/>
                    </w:rPr>
                    <w:t>83</w:t>
                  </w:r>
                </w:p>
              </w:tc>
              <w:tc>
                <w:tcPr>
                  <w:tcW w:w="881" w:type="dxa"/>
                  <w:tcMar>
                    <w:top w:w="0" w:type="dxa"/>
                    <w:left w:w="57" w:type="dxa"/>
                    <w:bottom w:w="0" w:type="dxa"/>
                    <w:right w:w="57" w:type="dxa"/>
                  </w:tcMar>
                  <w:vAlign w:val="center"/>
                </w:tcPr>
                <w:p w14:paraId="7AE916C5">
                  <w:pPr>
                    <w:adjustRightInd w:val="0"/>
                    <w:snapToGrid w:val="0"/>
                    <w:jc w:val="center"/>
                    <w:rPr>
                      <w:bCs/>
                      <w:color w:val="000000"/>
                      <w:szCs w:val="21"/>
                    </w:rPr>
                  </w:pPr>
                  <w:r>
                    <w:rPr>
                      <w:bCs/>
                      <w:color w:val="000000"/>
                      <w:szCs w:val="21"/>
                    </w:rPr>
                    <w:t>80</w:t>
                  </w:r>
                </w:p>
              </w:tc>
              <w:tc>
                <w:tcPr>
                  <w:tcW w:w="881" w:type="dxa"/>
                  <w:tcMar>
                    <w:top w:w="0" w:type="dxa"/>
                    <w:left w:w="57" w:type="dxa"/>
                    <w:bottom w:w="0" w:type="dxa"/>
                    <w:right w:w="57" w:type="dxa"/>
                  </w:tcMar>
                  <w:vAlign w:val="center"/>
                </w:tcPr>
                <w:p w14:paraId="5B1B73E2">
                  <w:pPr>
                    <w:adjustRightInd w:val="0"/>
                    <w:snapToGrid w:val="0"/>
                    <w:jc w:val="center"/>
                    <w:rPr>
                      <w:bCs/>
                      <w:color w:val="000000"/>
                      <w:szCs w:val="21"/>
                    </w:rPr>
                  </w:pPr>
                  <w:r>
                    <w:rPr>
                      <w:bCs/>
                      <w:color w:val="000000"/>
                      <w:szCs w:val="21"/>
                    </w:rPr>
                    <w:t>86</w:t>
                  </w:r>
                </w:p>
              </w:tc>
              <w:tc>
                <w:tcPr>
                  <w:tcW w:w="882" w:type="dxa"/>
                  <w:tcMar>
                    <w:top w:w="0" w:type="dxa"/>
                    <w:left w:w="57" w:type="dxa"/>
                    <w:bottom w:w="0" w:type="dxa"/>
                    <w:right w:w="57" w:type="dxa"/>
                  </w:tcMar>
                  <w:vAlign w:val="center"/>
                </w:tcPr>
                <w:p w14:paraId="473989BB">
                  <w:pPr>
                    <w:adjustRightInd w:val="0"/>
                    <w:snapToGrid w:val="0"/>
                    <w:jc w:val="center"/>
                    <w:rPr>
                      <w:bCs/>
                      <w:color w:val="000000"/>
                      <w:szCs w:val="21"/>
                    </w:rPr>
                  </w:pPr>
                  <w:r>
                    <w:rPr>
                      <w:bCs/>
                      <w:color w:val="000000"/>
                      <w:szCs w:val="21"/>
                    </w:rPr>
                    <w:t>89</w:t>
                  </w:r>
                </w:p>
              </w:tc>
              <w:tc>
                <w:tcPr>
                  <w:tcW w:w="1092" w:type="dxa"/>
                  <w:tcMar>
                    <w:top w:w="0" w:type="dxa"/>
                    <w:left w:w="57" w:type="dxa"/>
                    <w:bottom w:w="0" w:type="dxa"/>
                    <w:right w:w="57" w:type="dxa"/>
                  </w:tcMar>
                  <w:vAlign w:val="center"/>
                </w:tcPr>
                <w:p w14:paraId="0565A29B">
                  <w:pPr>
                    <w:adjustRightInd w:val="0"/>
                    <w:snapToGrid w:val="0"/>
                    <w:jc w:val="center"/>
                    <w:rPr>
                      <w:bCs/>
                      <w:color w:val="000000"/>
                      <w:szCs w:val="21"/>
                    </w:rPr>
                  </w:pPr>
                  <w:r>
                    <w:rPr>
                      <w:bCs/>
                      <w:color w:val="000000"/>
                      <w:szCs w:val="21"/>
                    </w:rPr>
                    <w:t>mg/L</w:t>
                  </w:r>
                </w:p>
              </w:tc>
            </w:tr>
            <w:tr w14:paraId="6B07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4B646C45">
                  <w:pPr>
                    <w:adjustRightInd w:val="0"/>
                    <w:snapToGrid w:val="0"/>
                    <w:jc w:val="center"/>
                    <w:rPr>
                      <w:bCs/>
                      <w:szCs w:val="21"/>
                    </w:rPr>
                  </w:pPr>
                </w:p>
              </w:tc>
              <w:tc>
                <w:tcPr>
                  <w:tcW w:w="1204" w:type="dxa"/>
                  <w:vMerge w:val="restart"/>
                  <w:tcMar>
                    <w:top w:w="0" w:type="dxa"/>
                    <w:left w:w="57" w:type="dxa"/>
                    <w:bottom w:w="0" w:type="dxa"/>
                    <w:right w:w="57" w:type="dxa"/>
                  </w:tcMar>
                  <w:vAlign w:val="center"/>
                </w:tcPr>
                <w:p w14:paraId="669A6556">
                  <w:pPr>
                    <w:adjustRightInd w:val="0"/>
                    <w:snapToGrid w:val="0"/>
                    <w:jc w:val="center"/>
                    <w:rPr>
                      <w:bCs/>
                      <w:szCs w:val="21"/>
                    </w:rPr>
                  </w:pPr>
                  <w:r>
                    <w:rPr>
                      <w:bCs/>
                      <w:szCs w:val="21"/>
                    </w:rPr>
                    <w:t>生产废水处理设施进水口</w:t>
                  </w:r>
                </w:p>
              </w:tc>
              <w:tc>
                <w:tcPr>
                  <w:tcW w:w="1950" w:type="dxa"/>
                  <w:tcMar>
                    <w:top w:w="0" w:type="dxa"/>
                    <w:left w:w="57" w:type="dxa"/>
                    <w:bottom w:w="0" w:type="dxa"/>
                    <w:right w:w="57" w:type="dxa"/>
                  </w:tcMar>
                  <w:vAlign w:val="center"/>
                </w:tcPr>
                <w:p w14:paraId="4C2E7F04">
                  <w:pPr>
                    <w:jc w:val="center"/>
                    <w:rPr>
                      <w:color w:val="000000"/>
                      <w:spacing w:val="-12"/>
                      <w:szCs w:val="21"/>
                    </w:rPr>
                  </w:pPr>
                  <w:r>
                    <w:rPr>
                      <w:color w:val="000000"/>
                      <w:szCs w:val="21"/>
                    </w:rPr>
                    <w:t>pH</w:t>
                  </w:r>
                  <w:r>
                    <w:rPr>
                      <w:color w:val="000000"/>
                      <w:spacing w:val="-12"/>
                      <w:szCs w:val="21"/>
                    </w:rPr>
                    <w:t>值</w:t>
                  </w:r>
                </w:p>
              </w:tc>
              <w:tc>
                <w:tcPr>
                  <w:tcW w:w="881" w:type="dxa"/>
                  <w:tcMar>
                    <w:top w:w="0" w:type="dxa"/>
                    <w:left w:w="57" w:type="dxa"/>
                    <w:bottom w:w="0" w:type="dxa"/>
                    <w:right w:w="57" w:type="dxa"/>
                  </w:tcMar>
                  <w:vAlign w:val="center"/>
                </w:tcPr>
                <w:p w14:paraId="2ECB9013">
                  <w:pPr>
                    <w:adjustRightInd w:val="0"/>
                    <w:snapToGrid w:val="0"/>
                    <w:jc w:val="center"/>
                    <w:rPr>
                      <w:bCs/>
                      <w:color w:val="000000"/>
                      <w:szCs w:val="21"/>
                    </w:rPr>
                  </w:pPr>
                  <w:r>
                    <w:rPr>
                      <w:bCs/>
                      <w:color w:val="000000"/>
                      <w:szCs w:val="21"/>
                    </w:rPr>
                    <w:t>7.0</w:t>
                  </w:r>
                </w:p>
              </w:tc>
              <w:tc>
                <w:tcPr>
                  <w:tcW w:w="881" w:type="dxa"/>
                  <w:tcMar>
                    <w:top w:w="0" w:type="dxa"/>
                    <w:left w:w="57" w:type="dxa"/>
                    <w:bottom w:w="0" w:type="dxa"/>
                    <w:right w:w="57" w:type="dxa"/>
                  </w:tcMar>
                  <w:vAlign w:val="center"/>
                </w:tcPr>
                <w:p w14:paraId="5262F7A7">
                  <w:pPr>
                    <w:adjustRightInd w:val="0"/>
                    <w:snapToGrid w:val="0"/>
                    <w:jc w:val="center"/>
                    <w:rPr>
                      <w:bCs/>
                      <w:color w:val="000000"/>
                      <w:szCs w:val="21"/>
                    </w:rPr>
                  </w:pPr>
                  <w:r>
                    <w:rPr>
                      <w:bCs/>
                      <w:color w:val="000000"/>
                      <w:szCs w:val="21"/>
                    </w:rPr>
                    <w:t>7.4</w:t>
                  </w:r>
                </w:p>
              </w:tc>
              <w:tc>
                <w:tcPr>
                  <w:tcW w:w="881" w:type="dxa"/>
                  <w:tcMar>
                    <w:top w:w="0" w:type="dxa"/>
                    <w:left w:w="57" w:type="dxa"/>
                    <w:bottom w:w="0" w:type="dxa"/>
                    <w:right w:w="57" w:type="dxa"/>
                  </w:tcMar>
                  <w:vAlign w:val="center"/>
                </w:tcPr>
                <w:p w14:paraId="39C397D6">
                  <w:pPr>
                    <w:adjustRightInd w:val="0"/>
                    <w:snapToGrid w:val="0"/>
                    <w:jc w:val="center"/>
                    <w:rPr>
                      <w:bCs/>
                      <w:color w:val="000000"/>
                      <w:szCs w:val="21"/>
                    </w:rPr>
                  </w:pPr>
                  <w:r>
                    <w:rPr>
                      <w:bCs/>
                      <w:color w:val="000000"/>
                      <w:szCs w:val="21"/>
                    </w:rPr>
                    <w:t>6.9</w:t>
                  </w:r>
                </w:p>
              </w:tc>
              <w:tc>
                <w:tcPr>
                  <w:tcW w:w="882" w:type="dxa"/>
                  <w:tcMar>
                    <w:top w:w="0" w:type="dxa"/>
                    <w:left w:w="57" w:type="dxa"/>
                    <w:bottom w:w="0" w:type="dxa"/>
                    <w:right w:w="57" w:type="dxa"/>
                  </w:tcMar>
                  <w:vAlign w:val="center"/>
                </w:tcPr>
                <w:p w14:paraId="1FA4C23D">
                  <w:pPr>
                    <w:adjustRightInd w:val="0"/>
                    <w:snapToGrid w:val="0"/>
                    <w:jc w:val="center"/>
                    <w:rPr>
                      <w:bCs/>
                      <w:color w:val="000000"/>
                      <w:szCs w:val="21"/>
                    </w:rPr>
                  </w:pPr>
                  <w:r>
                    <w:rPr>
                      <w:bCs/>
                      <w:color w:val="000000"/>
                      <w:szCs w:val="21"/>
                    </w:rPr>
                    <w:t>7.1</w:t>
                  </w:r>
                </w:p>
              </w:tc>
              <w:tc>
                <w:tcPr>
                  <w:tcW w:w="1092" w:type="dxa"/>
                  <w:tcMar>
                    <w:top w:w="0" w:type="dxa"/>
                    <w:left w:w="57" w:type="dxa"/>
                    <w:bottom w:w="0" w:type="dxa"/>
                    <w:right w:w="57" w:type="dxa"/>
                  </w:tcMar>
                  <w:vAlign w:val="center"/>
                </w:tcPr>
                <w:p w14:paraId="0EBC5B4E">
                  <w:pPr>
                    <w:adjustRightInd w:val="0"/>
                    <w:snapToGrid w:val="0"/>
                    <w:jc w:val="center"/>
                    <w:rPr>
                      <w:bCs/>
                      <w:color w:val="000000"/>
                      <w:szCs w:val="21"/>
                    </w:rPr>
                  </w:pPr>
                  <w:r>
                    <w:rPr>
                      <w:bCs/>
                      <w:color w:val="000000"/>
                      <w:szCs w:val="21"/>
                    </w:rPr>
                    <w:t>无量纲</w:t>
                  </w:r>
                </w:p>
              </w:tc>
            </w:tr>
            <w:tr w14:paraId="6C6E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190E58C1">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566F9617">
                  <w:pPr>
                    <w:adjustRightInd w:val="0"/>
                    <w:snapToGrid w:val="0"/>
                    <w:jc w:val="center"/>
                    <w:rPr>
                      <w:bCs/>
                      <w:szCs w:val="21"/>
                    </w:rPr>
                  </w:pPr>
                </w:p>
              </w:tc>
              <w:tc>
                <w:tcPr>
                  <w:tcW w:w="1950" w:type="dxa"/>
                  <w:tcMar>
                    <w:top w:w="0" w:type="dxa"/>
                    <w:left w:w="57" w:type="dxa"/>
                    <w:bottom w:w="0" w:type="dxa"/>
                    <w:right w:w="57" w:type="dxa"/>
                  </w:tcMar>
                  <w:vAlign w:val="center"/>
                </w:tcPr>
                <w:p w14:paraId="11DDD01E">
                  <w:pPr>
                    <w:jc w:val="center"/>
                    <w:rPr>
                      <w:color w:val="000000"/>
                      <w:szCs w:val="21"/>
                    </w:rPr>
                  </w:pPr>
                  <w:r>
                    <w:rPr>
                      <w:color w:val="000000"/>
                      <w:spacing w:val="-12"/>
                      <w:szCs w:val="21"/>
                    </w:rPr>
                    <w:t>悬浮物</w:t>
                  </w:r>
                </w:p>
              </w:tc>
              <w:tc>
                <w:tcPr>
                  <w:tcW w:w="881" w:type="dxa"/>
                  <w:tcMar>
                    <w:top w:w="0" w:type="dxa"/>
                    <w:left w:w="57" w:type="dxa"/>
                    <w:bottom w:w="0" w:type="dxa"/>
                    <w:right w:w="57" w:type="dxa"/>
                  </w:tcMar>
                  <w:vAlign w:val="center"/>
                </w:tcPr>
                <w:p w14:paraId="0585C7A0">
                  <w:pPr>
                    <w:adjustRightInd w:val="0"/>
                    <w:snapToGrid w:val="0"/>
                    <w:jc w:val="center"/>
                    <w:rPr>
                      <w:bCs/>
                      <w:color w:val="000000"/>
                      <w:szCs w:val="21"/>
                    </w:rPr>
                  </w:pPr>
                  <w:r>
                    <w:rPr>
                      <w:bCs/>
                      <w:color w:val="000000"/>
                      <w:szCs w:val="21"/>
                    </w:rPr>
                    <w:t>36</w:t>
                  </w:r>
                </w:p>
              </w:tc>
              <w:tc>
                <w:tcPr>
                  <w:tcW w:w="881" w:type="dxa"/>
                  <w:tcMar>
                    <w:top w:w="0" w:type="dxa"/>
                    <w:left w:w="57" w:type="dxa"/>
                    <w:bottom w:w="0" w:type="dxa"/>
                    <w:right w:w="57" w:type="dxa"/>
                  </w:tcMar>
                  <w:vAlign w:val="center"/>
                </w:tcPr>
                <w:p w14:paraId="7847E57E">
                  <w:pPr>
                    <w:adjustRightInd w:val="0"/>
                    <w:snapToGrid w:val="0"/>
                    <w:jc w:val="center"/>
                    <w:rPr>
                      <w:bCs/>
                      <w:color w:val="000000"/>
                      <w:szCs w:val="21"/>
                    </w:rPr>
                  </w:pPr>
                  <w:r>
                    <w:rPr>
                      <w:bCs/>
                      <w:color w:val="000000"/>
                      <w:szCs w:val="21"/>
                    </w:rPr>
                    <w:t>38</w:t>
                  </w:r>
                </w:p>
              </w:tc>
              <w:tc>
                <w:tcPr>
                  <w:tcW w:w="881" w:type="dxa"/>
                  <w:tcMar>
                    <w:top w:w="0" w:type="dxa"/>
                    <w:left w:w="57" w:type="dxa"/>
                    <w:bottom w:w="0" w:type="dxa"/>
                    <w:right w:w="57" w:type="dxa"/>
                  </w:tcMar>
                  <w:vAlign w:val="center"/>
                </w:tcPr>
                <w:p w14:paraId="793BFE98">
                  <w:pPr>
                    <w:adjustRightInd w:val="0"/>
                    <w:snapToGrid w:val="0"/>
                    <w:jc w:val="center"/>
                    <w:rPr>
                      <w:bCs/>
                      <w:color w:val="000000"/>
                      <w:szCs w:val="21"/>
                    </w:rPr>
                  </w:pPr>
                  <w:r>
                    <w:rPr>
                      <w:bCs/>
                      <w:color w:val="000000"/>
                      <w:szCs w:val="21"/>
                    </w:rPr>
                    <w:t>37</w:t>
                  </w:r>
                </w:p>
              </w:tc>
              <w:tc>
                <w:tcPr>
                  <w:tcW w:w="882" w:type="dxa"/>
                  <w:tcMar>
                    <w:top w:w="0" w:type="dxa"/>
                    <w:left w:w="57" w:type="dxa"/>
                    <w:bottom w:w="0" w:type="dxa"/>
                    <w:right w:w="57" w:type="dxa"/>
                  </w:tcMar>
                  <w:vAlign w:val="center"/>
                </w:tcPr>
                <w:p w14:paraId="0DA2F5BF">
                  <w:pPr>
                    <w:adjustRightInd w:val="0"/>
                    <w:snapToGrid w:val="0"/>
                    <w:jc w:val="center"/>
                    <w:rPr>
                      <w:bCs/>
                      <w:color w:val="000000"/>
                      <w:szCs w:val="21"/>
                    </w:rPr>
                  </w:pPr>
                  <w:r>
                    <w:rPr>
                      <w:bCs/>
                      <w:color w:val="000000"/>
                      <w:szCs w:val="21"/>
                    </w:rPr>
                    <w:t>35</w:t>
                  </w:r>
                </w:p>
              </w:tc>
              <w:tc>
                <w:tcPr>
                  <w:tcW w:w="1092" w:type="dxa"/>
                  <w:tcMar>
                    <w:top w:w="0" w:type="dxa"/>
                    <w:left w:w="57" w:type="dxa"/>
                    <w:bottom w:w="0" w:type="dxa"/>
                    <w:right w:w="57" w:type="dxa"/>
                  </w:tcMar>
                  <w:vAlign w:val="center"/>
                </w:tcPr>
                <w:p w14:paraId="3FBA62D9">
                  <w:pPr>
                    <w:adjustRightInd w:val="0"/>
                    <w:snapToGrid w:val="0"/>
                    <w:jc w:val="center"/>
                    <w:rPr>
                      <w:bCs/>
                      <w:color w:val="000000"/>
                      <w:szCs w:val="21"/>
                    </w:rPr>
                  </w:pPr>
                  <w:r>
                    <w:rPr>
                      <w:bCs/>
                      <w:color w:val="000000"/>
                      <w:szCs w:val="21"/>
                    </w:rPr>
                    <w:t>mg/L</w:t>
                  </w:r>
                </w:p>
              </w:tc>
            </w:tr>
            <w:tr w14:paraId="0A24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78F04886">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351B2F8C">
                  <w:pPr>
                    <w:adjustRightInd w:val="0"/>
                    <w:snapToGrid w:val="0"/>
                    <w:jc w:val="center"/>
                    <w:rPr>
                      <w:bCs/>
                      <w:szCs w:val="21"/>
                    </w:rPr>
                  </w:pPr>
                </w:p>
              </w:tc>
              <w:tc>
                <w:tcPr>
                  <w:tcW w:w="1950" w:type="dxa"/>
                  <w:tcMar>
                    <w:top w:w="0" w:type="dxa"/>
                    <w:left w:w="57" w:type="dxa"/>
                    <w:bottom w:w="0" w:type="dxa"/>
                    <w:right w:w="57" w:type="dxa"/>
                  </w:tcMar>
                  <w:vAlign w:val="center"/>
                </w:tcPr>
                <w:p w14:paraId="6EFBD2DE">
                  <w:pPr>
                    <w:jc w:val="center"/>
                    <w:rPr>
                      <w:color w:val="000000"/>
                      <w:szCs w:val="21"/>
                    </w:rPr>
                  </w:pPr>
                  <w:r>
                    <w:rPr>
                      <w:color w:val="000000"/>
                      <w:szCs w:val="21"/>
                    </w:rPr>
                    <w:t>五日生化需氧量</w:t>
                  </w:r>
                </w:p>
              </w:tc>
              <w:tc>
                <w:tcPr>
                  <w:tcW w:w="881" w:type="dxa"/>
                  <w:tcMar>
                    <w:top w:w="0" w:type="dxa"/>
                    <w:left w:w="57" w:type="dxa"/>
                    <w:bottom w:w="0" w:type="dxa"/>
                    <w:right w:w="57" w:type="dxa"/>
                  </w:tcMar>
                  <w:vAlign w:val="center"/>
                </w:tcPr>
                <w:p w14:paraId="4DD573A7">
                  <w:pPr>
                    <w:adjustRightInd w:val="0"/>
                    <w:snapToGrid w:val="0"/>
                    <w:jc w:val="center"/>
                    <w:rPr>
                      <w:bCs/>
                      <w:color w:val="000000"/>
                      <w:szCs w:val="21"/>
                    </w:rPr>
                  </w:pPr>
                  <w:r>
                    <w:rPr>
                      <w:bCs/>
                      <w:color w:val="000000"/>
                      <w:szCs w:val="21"/>
                    </w:rPr>
                    <w:t>30.7</w:t>
                  </w:r>
                </w:p>
              </w:tc>
              <w:tc>
                <w:tcPr>
                  <w:tcW w:w="881" w:type="dxa"/>
                  <w:tcMar>
                    <w:top w:w="0" w:type="dxa"/>
                    <w:left w:w="57" w:type="dxa"/>
                    <w:bottom w:w="0" w:type="dxa"/>
                    <w:right w:w="57" w:type="dxa"/>
                  </w:tcMar>
                  <w:vAlign w:val="center"/>
                </w:tcPr>
                <w:p w14:paraId="10C2A1D1">
                  <w:pPr>
                    <w:adjustRightInd w:val="0"/>
                    <w:snapToGrid w:val="0"/>
                    <w:jc w:val="center"/>
                    <w:rPr>
                      <w:bCs/>
                      <w:color w:val="000000"/>
                      <w:szCs w:val="21"/>
                    </w:rPr>
                  </w:pPr>
                  <w:r>
                    <w:rPr>
                      <w:bCs/>
                      <w:color w:val="000000"/>
                      <w:szCs w:val="21"/>
                    </w:rPr>
                    <w:t>33.3</w:t>
                  </w:r>
                </w:p>
              </w:tc>
              <w:tc>
                <w:tcPr>
                  <w:tcW w:w="881" w:type="dxa"/>
                  <w:tcMar>
                    <w:top w:w="0" w:type="dxa"/>
                    <w:left w:w="57" w:type="dxa"/>
                    <w:bottom w:w="0" w:type="dxa"/>
                    <w:right w:w="57" w:type="dxa"/>
                  </w:tcMar>
                  <w:vAlign w:val="center"/>
                </w:tcPr>
                <w:p w14:paraId="15C681BB">
                  <w:pPr>
                    <w:adjustRightInd w:val="0"/>
                    <w:snapToGrid w:val="0"/>
                    <w:jc w:val="center"/>
                    <w:rPr>
                      <w:bCs/>
                      <w:color w:val="000000"/>
                      <w:szCs w:val="21"/>
                    </w:rPr>
                  </w:pPr>
                  <w:r>
                    <w:rPr>
                      <w:bCs/>
                      <w:color w:val="000000"/>
                      <w:szCs w:val="21"/>
                    </w:rPr>
                    <w:t>35.1</w:t>
                  </w:r>
                </w:p>
              </w:tc>
              <w:tc>
                <w:tcPr>
                  <w:tcW w:w="882" w:type="dxa"/>
                  <w:tcMar>
                    <w:top w:w="0" w:type="dxa"/>
                    <w:left w:w="57" w:type="dxa"/>
                    <w:bottom w:w="0" w:type="dxa"/>
                    <w:right w:w="57" w:type="dxa"/>
                  </w:tcMar>
                  <w:vAlign w:val="center"/>
                </w:tcPr>
                <w:p w14:paraId="7B6B9C40">
                  <w:pPr>
                    <w:adjustRightInd w:val="0"/>
                    <w:snapToGrid w:val="0"/>
                    <w:jc w:val="center"/>
                    <w:rPr>
                      <w:bCs/>
                      <w:color w:val="000000"/>
                      <w:szCs w:val="21"/>
                    </w:rPr>
                  </w:pPr>
                  <w:r>
                    <w:rPr>
                      <w:bCs/>
                      <w:color w:val="000000"/>
                      <w:szCs w:val="21"/>
                    </w:rPr>
                    <w:t>34.9</w:t>
                  </w:r>
                </w:p>
              </w:tc>
              <w:tc>
                <w:tcPr>
                  <w:tcW w:w="1092" w:type="dxa"/>
                  <w:tcMar>
                    <w:top w:w="0" w:type="dxa"/>
                    <w:left w:w="57" w:type="dxa"/>
                    <w:bottom w:w="0" w:type="dxa"/>
                    <w:right w:w="57" w:type="dxa"/>
                  </w:tcMar>
                  <w:vAlign w:val="center"/>
                </w:tcPr>
                <w:p w14:paraId="6A5641BA">
                  <w:pPr>
                    <w:adjustRightInd w:val="0"/>
                    <w:snapToGrid w:val="0"/>
                    <w:jc w:val="center"/>
                    <w:rPr>
                      <w:bCs/>
                      <w:color w:val="000000"/>
                      <w:szCs w:val="21"/>
                    </w:rPr>
                  </w:pPr>
                  <w:r>
                    <w:rPr>
                      <w:bCs/>
                      <w:color w:val="000000"/>
                      <w:szCs w:val="21"/>
                    </w:rPr>
                    <w:t>mg/L</w:t>
                  </w:r>
                </w:p>
              </w:tc>
            </w:tr>
            <w:tr w14:paraId="5DD7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4624723A">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7F3EF9DA">
                  <w:pPr>
                    <w:adjustRightInd w:val="0"/>
                    <w:snapToGrid w:val="0"/>
                    <w:jc w:val="center"/>
                    <w:rPr>
                      <w:bCs/>
                      <w:szCs w:val="21"/>
                    </w:rPr>
                  </w:pPr>
                </w:p>
              </w:tc>
              <w:tc>
                <w:tcPr>
                  <w:tcW w:w="1950" w:type="dxa"/>
                  <w:tcMar>
                    <w:top w:w="0" w:type="dxa"/>
                    <w:left w:w="57" w:type="dxa"/>
                    <w:bottom w:w="0" w:type="dxa"/>
                    <w:right w:w="57" w:type="dxa"/>
                  </w:tcMar>
                  <w:vAlign w:val="center"/>
                </w:tcPr>
                <w:p w14:paraId="2E0417C8">
                  <w:pPr>
                    <w:jc w:val="center"/>
                    <w:rPr>
                      <w:szCs w:val="21"/>
                    </w:rPr>
                  </w:pPr>
                  <w:r>
                    <w:rPr>
                      <w:color w:val="000000"/>
                      <w:spacing w:val="-12"/>
                      <w:szCs w:val="21"/>
                    </w:rPr>
                    <w:t>氨氮</w:t>
                  </w:r>
                </w:p>
              </w:tc>
              <w:tc>
                <w:tcPr>
                  <w:tcW w:w="881" w:type="dxa"/>
                  <w:tcMar>
                    <w:top w:w="0" w:type="dxa"/>
                    <w:left w:w="57" w:type="dxa"/>
                    <w:bottom w:w="0" w:type="dxa"/>
                    <w:right w:w="57" w:type="dxa"/>
                  </w:tcMar>
                  <w:vAlign w:val="center"/>
                </w:tcPr>
                <w:p w14:paraId="6E112999">
                  <w:pPr>
                    <w:adjustRightInd w:val="0"/>
                    <w:snapToGrid w:val="0"/>
                    <w:jc w:val="center"/>
                    <w:rPr>
                      <w:bCs/>
                      <w:color w:val="000000"/>
                      <w:szCs w:val="21"/>
                    </w:rPr>
                  </w:pPr>
                  <w:r>
                    <w:rPr>
                      <w:bCs/>
                      <w:color w:val="000000"/>
                      <w:szCs w:val="21"/>
                    </w:rPr>
                    <w:t>1.64</w:t>
                  </w:r>
                </w:p>
              </w:tc>
              <w:tc>
                <w:tcPr>
                  <w:tcW w:w="881" w:type="dxa"/>
                  <w:tcMar>
                    <w:top w:w="0" w:type="dxa"/>
                    <w:left w:w="57" w:type="dxa"/>
                    <w:bottom w:w="0" w:type="dxa"/>
                    <w:right w:w="57" w:type="dxa"/>
                  </w:tcMar>
                  <w:vAlign w:val="center"/>
                </w:tcPr>
                <w:p w14:paraId="2375B989">
                  <w:pPr>
                    <w:adjustRightInd w:val="0"/>
                    <w:snapToGrid w:val="0"/>
                    <w:jc w:val="center"/>
                    <w:rPr>
                      <w:bCs/>
                      <w:color w:val="000000"/>
                      <w:szCs w:val="21"/>
                    </w:rPr>
                  </w:pPr>
                  <w:r>
                    <w:rPr>
                      <w:bCs/>
                      <w:color w:val="000000"/>
                      <w:szCs w:val="21"/>
                    </w:rPr>
                    <w:t>1.71</w:t>
                  </w:r>
                </w:p>
              </w:tc>
              <w:tc>
                <w:tcPr>
                  <w:tcW w:w="881" w:type="dxa"/>
                  <w:tcMar>
                    <w:top w:w="0" w:type="dxa"/>
                    <w:left w:w="57" w:type="dxa"/>
                    <w:bottom w:w="0" w:type="dxa"/>
                    <w:right w:w="57" w:type="dxa"/>
                  </w:tcMar>
                  <w:vAlign w:val="center"/>
                </w:tcPr>
                <w:p w14:paraId="765B866C">
                  <w:pPr>
                    <w:adjustRightInd w:val="0"/>
                    <w:snapToGrid w:val="0"/>
                    <w:jc w:val="center"/>
                    <w:rPr>
                      <w:bCs/>
                      <w:color w:val="000000"/>
                      <w:szCs w:val="21"/>
                    </w:rPr>
                  </w:pPr>
                  <w:r>
                    <w:rPr>
                      <w:bCs/>
                      <w:color w:val="000000"/>
                      <w:szCs w:val="21"/>
                    </w:rPr>
                    <w:t>1.65</w:t>
                  </w:r>
                </w:p>
              </w:tc>
              <w:tc>
                <w:tcPr>
                  <w:tcW w:w="882" w:type="dxa"/>
                  <w:tcMar>
                    <w:top w:w="0" w:type="dxa"/>
                    <w:left w:w="57" w:type="dxa"/>
                    <w:bottom w:w="0" w:type="dxa"/>
                    <w:right w:w="57" w:type="dxa"/>
                  </w:tcMar>
                  <w:vAlign w:val="center"/>
                </w:tcPr>
                <w:p w14:paraId="3040CC48">
                  <w:pPr>
                    <w:adjustRightInd w:val="0"/>
                    <w:snapToGrid w:val="0"/>
                    <w:jc w:val="center"/>
                    <w:rPr>
                      <w:bCs/>
                      <w:color w:val="000000"/>
                      <w:szCs w:val="21"/>
                    </w:rPr>
                  </w:pPr>
                  <w:r>
                    <w:rPr>
                      <w:bCs/>
                      <w:color w:val="000000"/>
                      <w:szCs w:val="21"/>
                    </w:rPr>
                    <w:t>1.57</w:t>
                  </w:r>
                </w:p>
              </w:tc>
              <w:tc>
                <w:tcPr>
                  <w:tcW w:w="1092" w:type="dxa"/>
                  <w:tcMar>
                    <w:top w:w="0" w:type="dxa"/>
                    <w:left w:w="57" w:type="dxa"/>
                    <w:bottom w:w="0" w:type="dxa"/>
                    <w:right w:w="57" w:type="dxa"/>
                  </w:tcMar>
                  <w:vAlign w:val="center"/>
                </w:tcPr>
                <w:p w14:paraId="40E9A120">
                  <w:pPr>
                    <w:adjustRightInd w:val="0"/>
                    <w:snapToGrid w:val="0"/>
                    <w:jc w:val="center"/>
                    <w:rPr>
                      <w:bCs/>
                      <w:color w:val="000000"/>
                      <w:szCs w:val="21"/>
                    </w:rPr>
                  </w:pPr>
                  <w:r>
                    <w:rPr>
                      <w:bCs/>
                      <w:color w:val="000000"/>
                      <w:szCs w:val="21"/>
                    </w:rPr>
                    <w:t>mg/L</w:t>
                  </w:r>
                </w:p>
              </w:tc>
            </w:tr>
            <w:tr w14:paraId="7654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31066EDB">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5ED7915D">
                  <w:pPr>
                    <w:adjustRightInd w:val="0"/>
                    <w:snapToGrid w:val="0"/>
                    <w:jc w:val="center"/>
                    <w:rPr>
                      <w:bCs/>
                      <w:szCs w:val="21"/>
                    </w:rPr>
                  </w:pPr>
                </w:p>
              </w:tc>
              <w:tc>
                <w:tcPr>
                  <w:tcW w:w="1950" w:type="dxa"/>
                  <w:tcMar>
                    <w:top w:w="0" w:type="dxa"/>
                    <w:left w:w="57" w:type="dxa"/>
                    <w:bottom w:w="0" w:type="dxa"/>
                    <w:right w:w="57" w:type="dxa"/>
                  </w:tcMar>
                  <w:vAlign w:val="center"/>
                </w:tcPr>
                <w:p w14:paraId="0EF07368">
                  <w:pPr>
                    <w:jc w:val="center"/>
                    <w:rPr>
                      <w:szCs w:val="21"/>
                    </w:rPr>
                  </w:pPr>
                  <w:r>
                    <w:rPr>
                      <w:color w:val="000000"/>
                      <w:spacing w:val="-12"/>
                      <w:szCs w:val="21"/>
                    </w:rPr>
                    <w:t>阴离子表面活性剂</w:t>
                  </w:r>
                </w:p>
              </w:tc>
              <w:tc>
                <w:tcPr>
                  <w:tcW w:w="881" w:type="dxa"/>
                  <w:tcMar>
                    <w:top w:w="0" w:type="dxa"/>
                    <w:left w:w="57" w:type="dxa"/>
                    <w:bottom w:w="0" w:type="dxa"/>
                    <w:right w:w="57" w:type="dxa"/>
                  </w:tcMar>
                  <w:vAlign w:val="center"/>
                </w:tcPr>
                <w:p w14:paraId="39880F5C">
                  <w:pPr>
                    <w:adjustRightInd w:val="0"/>
                    <w:snapToGrid w:val="0"/>
                    <w:jc w:val="center"/>
                    <w:rPr>
                      <w:bCs/>
                      <w:color w:val="000000"/>
                      <w:szCs w:val="21"/>
                    </w:rPr>
                  </w:pPr>
                  <w:r>
                    <w:rPr>
                      <w:bCs/>
                      <w:color w:val="000000"/>
                      <w:szCs w:val="21"/>
                    </w:rPr>
                    <w:t>0.59</w:t>
                  </w:r>
                </w:p>
              </w:tc>
              <w:tc>
                <w:tcPr>
                  <w:tcW w:w="881" w:type="dxa"/>
                  <w:tcMar>
                    <w:top w:w="0" w:type="dxa"/>
                    <w:left w:w="57" w:type="dxa"/>
                    <w:bottom w:w="0" w:type="dxa"/>
                    <w:right w:w="57" w:type="dxa"/>
                  </w:tcMar>
                  <w:vAlign w:val="center"/>
                </w:tcPr>
                <w:p w14:paraId="33C20734">
                  <w:pPr>
                    <w:adjustRightInd w:val="0"/>
                    <w:snapToGrid w:val="0"/>
                    <w:jc w:val="center"/>
                    <w:rPr>
                      <w:bCs/>
                      <w:color w:val="000000"/>
                      <w:szCs w:val="21"/>
                    </w:rPr>
                  </w:pPr>
                  <w:r>
                    <w:rPr>
                      <w:bCs/>
                      <w:color w:val="000000"/>
                      <w:szCs w:val="21"/>
                    </w:rPr>
                    <w:t>0.59</w:t>
                  </w:r>
                </w:p>
              </w:tc>
              <w:tc>
                <w:tcPr>
                  <w:tcW w:w="881" w:type="dxa"/>
                  <w:tcMar>
                    <w:top w:w="0" w:type="dxa"/>
                    <w:left w:w="57" w:type="dxa"/>
                    <w:bottom w:w="0" w:type="dxa"/>
                    <w:right w:w="57" w:type="dxa"/>
                  </w:tcMar>
                  <w:vAlign w:val="center"/>
                </w:tcPr>
                <w:p w14:paraId="359B1402">
                  <w:pPr>
                    <w:adjustRightInd w:val="0"/>
                    <w:snapToGrid w:val="0"/>
                    <w:jc w:val="center"/>
                    <w:rPr>
                      <w:bCs/>
                      <w:color w:val="000000"/>
                      <w:szCs w:val="21"/>
                    </w:rPr>
                  </w:pPr>
                  <w:r>
                    <w:rPr>
                      <w:bCs/>
                      <w:color w:val="000000"/>
                      <w:szCs w:val="21"/>
                    </w:rPr>
                    <w:t>0.62</w:t>
                  </w:r>
                </w:p>
              </w:tc>
              <w:tc>
                <w:tcPr>
                  <w:tcW w:w="882" w:type="dxa"/>
                  <w:tcMar>
                    <w:top w:w="0" w:type="dxa"/>
                    <w:left w:w="57" w:type="dxa"/>
                    <w:bottom w:w="0" w:type="dxa"/>
                    <w:right w:w="57" w:type="dxa"/>
                  </w:tcMar>
                  <w:vAlign w:val="center"/>
                </w:tcPr>
                <w:p w14:paraId="195B5A75">
                  <w:pPr>
                    <w:adjustRightInd w:val="0"/>
                    <w:snapToGrid w:val="0"/>
                    <w:jc w:val="center"/>
                    <w:rPr>
                      <w:bCs/>
                      <w:color w:val="000000"/>
                      <w:szCs w:val="21"/>
                    </w:rPr>
                  </w:pPr>
                  <w:r>
                    <w:rPr>
                      <w:bCs/>
                      <w:color w:val="000000"/>
                      <w:szCs w:val="21"/>
                    </w:rPr>
                    <w:t>0.65</w:t>
                  </w:r>
                </w:p>
              </w:tc>
              <w:tc>
                <w:tcPr>
                  <w:tcW w:w="1092" w:type="dxa"/>
                  <w:tcMar>
                    <w:top w:w="0" w:type="dxa"/>
                    <w:left w:w="57" w:type="dxa"/>
                    <w:bottom w:w="0" w:type="dxa"/>
                    <w:right w:w="57" w:type="dxa"/>
                  </w:tcMar>
                  <w:vAlign w:val="center"/>
                </w:tcPr>
                <w:p w14:paraId="60AA0A27">
                  <w:pPr>
                    <w:adjustRightInd w:val="0"/>
                    <w:snapToGrid w:val="0"/>
                    <w:jc w:val="center"/>
                    <w:rPr>
                      <w:bCs/>
                      <w:color w:val="000000"/>
                      <w:szCs w:val="21"/>
                    </w:rPr>
                  </w:pPr>
                  <w:r>
                    <w:rPr>
                      <w:bCs/>
                      <w:color w:val="000000"/>
                      <w:szCs w:val="21"/>
                    </w:rPr>
                    <w:t>mg/L</w:t>
                  </w:r>
                </w:p>
              </w:tc>
            </w:tr>
            <w:tr w14:paraId="638E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7C571F03">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354DAFED">
                  <w:pPr>
                    <w:adjustRightInd w:val="0"/>
                    <w:snapToGrid w:val="0"/>
                    <w:jc w:val="center"/>
                    <w:rPr>
                      <w:bCs/>
                      <w:szCs w:val="21"/>
                    </w:rPr>
                  </w:pPr>
                </w:p>
              </w:tc>
              <w:tc>
                <w:tcPr>
                  <w:tcW w:w="1950" w:type="dxa"/>
                  <w:tcMar>
                    <w:top w:w="0" w:type="dxa"/>
                    <w:left w:w="57" w:type="dxa"/>
                    <w:bottom w:w="0" w:type="dxa"/>
                    <w:right w:w="57" w:type="dxa"/>
                  </w:tcMar>
                  <w:vAlign w:val="center"/>
                </w:tcPr>
                <w:p w14:paraId="0062D811">
                  <w:pPr>
                    <w:jc w:val="center"/>
                    <w:rPr>
                      <w:szCs w:val="21"/>
                    </w:rPr>
                  </w:pPr>
                  <w:r>
                    <w:rPr>
                      <w:color w:val="000000"/>
                      <w:szCs w:val="21"/>
                    </w:rPr>
                    <w:t>总磷</w:t>
                  </w:r>
                </w:p>
              </w:tc>
              <w:tc>
                <w:tcPr>
                  <w:tcW w:w="881" w:type="dxa"/>
                  <w:tcMar>
                    <w:top w:w="0" w:type="dxa"/>
                    <w:left w:w="57" w:type="dxa"/>
                    <w:bottom w:w="0" w:type="dxa"/>
                    <w:right w:w="57" w:type="dxa"/>
                  </w:tcMar>
                  <w:vAlign w:val="center"/>
                </w:tcPr>
                <w:p w14:paraId="6B07A3CB">
                  <w:pPr>
                    <w:adjustRightInd w:val="0"/>
                    <w:snapToGrid w:val="0"/>
                    <w:jc w:val="center"/>
                    <w:rPr>
                      <w:bCs/>
                      <w:color w:val="000000"/>
                      <w:szCs w:val="21"/>
                    </w:rPr>
                  </w:pPr>
                  <w:r>
                    <w:rPr>
                      <w:bCs/>
                      <w:color w:val="000000"/>
                      <w:szCs w:val="21"/>
                    </w:rPr>
                    <w:t>2.21</w:t>
                  </w:r>
                </w:p>
              </w:tc>
              <w:tc>
                <w:tcPr>
                  <w:tcW w:w="881" w:type="dxa"/>
                  <w:tcMar>
                    <w:top w:w="0" w:type="dxa"/>
                    <w:left w:w="57" w:type="dxa"/>
                    <w:bottom w:w="0" w:type="dxa"/>
                    <w:right w:w="57" w:type="dxa"/>
                  </w:tcMar>
                  <w:vAlign w:val="center"/>
                </w:tcPr>
                <w:p w14:paraId="1F23959D">
                  <w:pPr>
                    <w:adjustRightInd w:val="0"/>
                    <w:snapToGrid w:val="0"/>
                    <w:jc w:val="center"/>
                    <w:rPr>
                      <w:bCs/>
                      <w:color w:val="000000"/>
                      <w:szCs w:val="21"/>
                    </w:rPr>
                  </w:pPr>
                  <w:r>
                    <w:rPr>
                      <w:bCs/>
                      <w:color w:val="000000"/>
                      <w:szCs w:val="21"/>
                    </w:rPr>
                    <w:t>2.18</w:t>
                  </w:r>
                </w:p>
              </w:tc>
              <w:tc>
                <w:tcPr>
                  <w:tcW w:w="881" w:type="dxa"/>
                  <w:tcMar>
                    <w:top w:w="0" w:type="dxa"/>
                    <w:left w:w="57" w:type="dxa"/>
                    <w:bottom w:w="0" w:type="dxa"/>
                    <w:right w:w="57" w:type="dxa"/>
                  </w:tcMar>
                  <w:vAlign w:val="center"/>
                </w:tcPr>
                <w:p w14:paraId="332F7B6E">
                  <w:pPr>
                    <w:adjustRightInd w:val="0"/>
                    <w:snapToGrid w:val="0"/>
                    <w:jc w:val="center"/>
                    <w:rPr>
                      <w:bCs/>
                      <w:color w:val="000000"/>
                      <w:szCs w:val="21"/>
                    </w:rPr>
                  </w:pPr>
                  <w:r>
                    <w:rPr>
                      <w:bCs/>
                      <w:color w:val="000000"/>
                      <w:szCs w:val="21"/>
                    </w:rPr>
                    <w:t>2.16</w:t>
                  </w:r>
                </w:p>
              </w:tc>
              <w:tc>
                <w:tcPr>
                  <w:tcW w:w="882" w:type="dxa"/>
                  <w:tcMar>
                    <w:top w:w="0" w:type="dxa"/>
                    <w:left w:w="57" w:type="dxa"/>
                    <w:bottom w:w="0" w:type="dxa"/>
                    <w:right w:w="57" w:type="dxa"/>
                  </w:tcMar>
                  <w:vAlign w:val="center"/>
                </w:tcPr>
                <w:p w14:paraId="3F9F0B2B">
                  <w:pPr>
                    <w:adjustRightInd w:val="0"/>
                    <w:snapToGrid w:val="0"/>
                    <w:jc w:val="center"/>
                    <w:rPr>
                      <w:bCs/>
                      <w:color w:val="000000"/>
                      <w:szCs w:val="21"/>
                    </w:rPr>
                  </w:pPr>
                  <w:r>
                    <w:rPr>
                      <w:bCs/>
                      <w:color w:val="000000"/>
                      <w:szCs w:val="21"/>
                    </w:rPr>
                    <w:t>2.17</w:t>
                  </w:r>
                </w:p>
              </w:tc>
              <w:tc>
                <w:tcPr>
                  <w:tcW w:w="1092" w:type="dxa"/>
                  <w:tcMar>
                    <w:top w:w="0" w:type="dxa"/>
                    <w:left w:w="57" w:type="dxa"/>
                    <w:bottom w:w="0" w:type="dxa"/>
                    <w:right w:w="57" w:type="dxa"/>
                  </w:tcMar>
                  <w:vAlign w:val="center"/>
                </w:tcPr>
                <w:p w14:paraId="537C5327">
                  <w:pPr>
                    <w:adjustRightInd w:val="0"/>
                    <w:snapToGrid w:val="0"/>
                    <w:jc w:val="center"/>
                    <w:rPr>
                      <w:bCs/>
                      <w:color w:val="000000"/>
                      <w:szCs w:val="21"/>
                    </w:rPr>
                  </w:pPr>
                  <w:r>
                    <w:rPr>
                      <w:bCs/>
                      <w:color w:val="000000"/>
                      <w:szCs w:val="21"/>
                    </w:rPr>
                    <w:t>mg/L</w:t>
                  </w:r>
                </w:p>
              </w:tc>
            </w:tr>
            <w:tr w14:paraId="614B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0F86D8E6">
                  <w:pPr>
                    <w:adjustRightInd w:val="0"/>
                    <w:snapToGrid w:val="0"/>
                    <w:jc w:val="center"/>
                    <w:rPr>
                      <w:bCs/>
                      <w:szCs w:val="21"/>
                    </w:rPr>
                  </w:pPr>
                </w:p>
              </w:tc>
              <w:tc>
                <w:tcPr>
                  <w:tcW w:w="1204" w:type="dxa"/>
                  <w:vMerge w:val="restart"/>
                  <w:tcMar>
                    <w:top w:w="0" w:type="dxa"/>
                    <w:left w:w="57" w:type="dxa"/>
                    <w:bottom w:w="0" w:type="dxa"/>
                    <w:right w:w="57" w:type="dxa"/>
                  </w:tcMar>
                  <w:vAlign w:val="center"/>
                </w:tcPr>
                <w:p w14:paraId="433BB191">
                  <w:pPr>
                    <w:adjustRightInd w:val="0"/>
                    <w:snapToGrid w:val="0"/>
                    <w:jc w:val="center"/>
                    <w:rPr>
                      <w:bCs/>
                      <w:szCs w:val="21"/>
                    </w:rPr>
                  </w:pPr>
                </w:p>
              </w:tc>
              <w:tc>
                <w:tcPr>
                  <w:tcW w:w="1950" w:type="dxa"/>
                  <w:tcMar>
                    <w:top w:w="0" w:type="dxa"/>
                    <w:left w:w="57" w:type="dxa"/>
                    <w:bottom w:w="0" w:type="dxa"/>
                    <w:right w:w="57" w:type="dxa"/>
                  </w:tcMar>
                  <w:vAlign w:val="center"/>
                </w:tcPr>
                <w:p w14:paraId="6417E27D">
                  <w:pPr>
                    <w:jc w:val="center"/>
                    <w:rPr>
                      <w:szCs w:val="21"/>
                    </w:rPr>
                  </w:pPr>
                  <w:r>
                    <w:rPr>
                      <w:szCs w:val="21"/>
                    </w:rPr>
                    <w:t>总氮</w:t>
                  </w:r>
                </w:p>
              </w:tc>
              <w:tc>
                <w:tcPr>
                  <w:tcW w:w="881" w:type="dxa"/>
                  <w:tcMar>
                    <w:top w:w="0" w:type="dxa"/>
                    <w:left w:w="57" w:type="dxa"/>
                    <w:bottom w:w="0" w:type="dxa"/>
                    <w:right w:w="57" w:type="dxa"/>
                  </w:tcMar>
                  <w:vAlign w:val="center"/>
                </w:tcPr>
                <w:p w14:paraId="0358B4F3">
                  <w:pPr>
                    <w:adjustRightInd w:val="0"/>
                    <w:snapToGrid w:val="0"/>
                    <w:jc w:val="center"/>
                    <w:rPr>
                      <w:bCs/>
                      <w:color w:val="000000"/>
                      <w:szCs w:val="21"/>
                    </w:rPr>
                  </w:pPr>
                  <w:r>
                    <w:rPr>
                      <w:bCs/>
                      <w:color w:val="000000"/>
                      <w:szCs w:val="21"/>
                    </w:rPr>
                    <w:t>4.45</w:t>
                  </w:r>
                </w:p>
              </w:tc>
              <w:tc>
                <w:tcPr>
                  <w:tcW w:w="881" w:type="dxa"/>
                  <w:tcMar>
                    <w:top w:w="0" w:type="dxa"/>
                    <w:left w:w="57" w:type="dxa"/>
                    <w:bottom w:w="0" w:type="dxa"/>
                    <w:right w:w="57" w:type="dxa"/>
                  </w:tcMar>
                  <w:vAlign w:val="center"/>
                </w:tcPr>
                <w:p w14:paraId="7D227217">
                  <w:pPr>
                    <w:adjustRightInd w:val="0"/>
                    <w:snapToGrid w:val="0"/>
                    <w:jc w:val="center"/>
                    <w:rPr>
                      <w:bCs/>
                      <w:color w:val="000000"/>
                      <w:szCs w:val="21"/>
                    </w:rPr>
                  </w:pPr>
                  <w:r>
                    <w:rPr>
                      <w:bCs/>
                      <w:color w:val="000000"/>
                      <w:szCs w:val="21"/>
                    </w:rPr>
                    <w:t>4.25</w:t>
                  </w:r>
                </w:p>
              </w:tc>
              <w:tc>
                <w:tcPr>
                  <w:tcW w:w="881" w:type="dxa"/>
                  <w:tcMar>
                    <w:top w:w="0" w:type="dxa"/>
                    <w:left w:w="57" w:type="dxa"/>
                    <w:bottom w:w="0" w:type="dxa"/>
                    <w:right w:w="57" w:type="dxa"/>
                  </w:tcMar>
                  <w:vAlign w:val="center"/>
                </w:tcPr>
                <w:p w14:paraId="2D7FD5D1">
                  <w:pPr>
                    <w:adjustRightInd w:val="0"/>
                    <w:snapToGrid w:val="0"/>
                    <w:jc w:val="center"/>
                    <w:rPr>
                      <w:bCs/>
                      <w:color w:val="000000"/>
                      <w:szCs w:val="21"/>
                    </w:rPr>
                  </w:pPr>
                  <w:r>
                    <w:rPr>
                      <w:bCs/>
                      <w:color w:val="000000"/>
                      <w:szCs w:val="21"/>
                    </w:rPr>
                    <w:t>4.34</w:t>
                  </w:r>
                </w:p>
              </w:tc>
              <w:tc>
                <w:tcPr>
                  <w:tcW w:w="882" w:type="dxa"/>
                  <w:tcMar>
                    <w:top w:w="0" w:type="dxa"/>
                    <w:left w:w="57" w:type="dxa"/>
                    <w:bottom w:w="0" w:type="dxa"/>
                    <w:right w:w="57" w:type="dxa"/>
                  </w:tcMar>
                  <w:vAlign w:val="center"/>
                </w:tcPr>
                <w:p w14:paraId="1C3A7756">
                  <w:pPr>
                    <w:adjustRightInd w:val="0"/>
                    <w:snapToGrid w:val="0"/>
                    <w:jc w:val="center"/>
                    <w:rPr>
                      <w:bCs/>
                      <w:color w:val="000000"/>
                      <w:szCs w:val="21"/>
                    </w:rPr>
                  </w:pPr>
                  <w:r>
                    <w:rPr>
                      <w:bCs/>
                      <w:color w:val="000000"/>
                      <w:szCs w:val="21"/>
                    </w:rPr>
                    <w:t>4.38</w:t>
                  </w:r>
                </w:p>
              </w:tc>
              <w:tc>
                <w:tcPr>
                  <w:tcW w:w="1092" w:type="dxa"/>
                  <w:tcMar>
                    <w:top w:w="0" w:type="dxa"/>
                    <w:left w:w="57" w:type="dxa"/>
                    <w:bottom w:w="0" w:type="dxa"/>
                    <w:right w:w="57" w:type="dxa"/>
                  </w:tcMar>
                  <w:vAlign w:val="center"/>
                </w:tcPr>
                <w:p w14:paraId="0A00F1DE">
                  <w:pPr>
                    <w:adjustRightInd w:val="0"/>
                    <w:snapToGrid w:val="0"/>
                    <w:jc w:val="center"/>
                    <w:rPr>
                      <w:bCs/>
                      <w:color w:val="000000"/>
                      <w:szCs w:val="21"/>
                    </w:rPr>
                  </w:pPr>
                  <w:r>
                    <w:rPr>
                      <w:bCs/>
                      <w:color w:val="000000"/>
                      <w:szCs w:val="21"/>
                    </w:rPr>
                    <w:t>mg/L</w:t>
                  </w:r>
                </w:p>
              </w:tc>
            </w:tr>
            <w:tr w14:paraId="55E7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3294A378">
                  <w:pPr>
                    <w:adjustRightInd w:val="0"/>
                    <w:snapToGrid w:val="0"/>
                    <w:jc w:val="center"/>
                    <w:rPr>
                      <w:bCs/>
                      <w:szCs w:val="21"/>
                    </w:rPr>
                  </w:pPr>
                </w:p>
              </w:tc>
              <w:tc>
                <w:tcPr>
                  <w:tcW w:w="1204" w:type="dxa"/>
                  <w:vMerge w:val="continue"/>
                  <w:tcMar>
                    <w:top w:w="0" w:type="dxa"/>
                    <w:left w:w="57" w:type="dxa"/>
                    <w:bottom w:w="0" w:type="dxa"/>
                    <w:right w:w="57" w:type="dxa"/>
                  </w:tcMar>
                  <w:vAlign w:val="center"/>
                </w:tcPr>
                <w:p w14:paraId="0B4FF835">
                  <w:pPr>
                    <w:adjustRightInd w:val="0"/>
                    <w:snapToGrid w:val="0"/>
                    <w:jc w:val="center"/>
                    <w:rPr>
                      <w:bCs/>
                      <w:szCs w:val="21"/>
                    </w:rPr>
                  </w:pPr>
                </w:p>
              </w:tc>
              <w:tc>
                <w:tcPr>
                  <w:tcW w:w="1950" w:type="dxa"/>
                  <w:tcMar>
                    <w:top w:w="0" w:type="dxa"/>
                    <w:left w:w="57" w:type="dxa"/>
                    <w:bottom w:w="0" w:type="dxa"/>
                    <w:right w:w="57" w:type="dxa"/>
                  </w:tcMar>
                  <w:vAlign w:val="center"/>
                </w:tcPr>
                <w:p w14:paraId="15F1B2EB">
                  <w:pPr>
                    <w:spacing w:line="360" w:lineRule="exact"/>
                    <w:jc w:val="center"/>
                    <w:rPr>
                      <w:color w:val="000000"/>
                      <w:spacing w:val="-12"/>
                      <w:szCs w:val="21"/>
                    </w:rPr>
                  </w:pPr>
                  <w:r>
                    <w:rPr>
                      <w:color w:val="000000"/>
                      <w:spacing w:val="-12"/>
                      <w:szCs w:val="21"/>
                    </w:rPr>
                    <w:t>化学需氧量</w:t>
                  </w:r>
                </w:p>
              </w:tc>
              <w:tc>
                <w:tcPr>
                  <w:tcW w:w="881" w:type="dxa"/>
                  <w:tcMar>
                    <w:top w:w="0" w:type="dxa"/>
                    <w:left w:w="57" w:type="dxa"/>
                    <w:bottom w:w="0" w:type="dxa"/>
                    <w:right w:w="57" w:type="dxa"/>
                  </w:tcMar>
                  <w:vAlign w:val="center"/>
                </w:tcPr>
                <w:p w14:paraId="7469948B">
                  <w:pPr>
                    <w:adjustRightInd w:val="0"/>
                    <w:snapToGrid w:val="0"/>
                    <w:jc w:val="center"/>
                    <w:rPr>
                      <w:bCs/>
                      <w:color w:val="000000"/>
                      <w:szCs w:val="21"/>
                    </w:rPr>
                  </w:pPr>
                  <w:r>
                    <w:rPr>
                      <w:bCs/>
                      <w:color w:val="000000"/>
                      <w:szCs w:val="21"/>
                    </w:rPr>
                    <w:t>103</w:t>
                  </w:r>
                </w:p>
              </w:tc>
              <w:tc>
                <w:tcPr>
                  <w:tcW w:w="881" w:type="dxa"/>
                  <w:tcMar>
                    <w:top w:w="0" w:type="dxa"/>
                    <w:left w:w="57" w:type="dxa"/>
                    <w:bottom w:w="0" w:type="dxa"/>
                    <w:right w:w="57" w:type="dxa"/>
                  </w:tcMar>
                  <w:vAlign w:val="center"/>
                </w:tcPr>
                <w:p w14:paraId="11749B06">
                  <w:pPr>
                    <w:adjustRightInd w:val="0"/>
                    <w:snapToGrid w:val="0"/>
                    <w:jc w:val="center"/>
                    <w:rPr>
                      <w:bCs/>
                      <w:color w:val="000000"/>
                      <w:szCs w:val="21"/>
                    </w:rPr>
                  </w:pPr>
                  <w:r>
                    <w:rPr>
                      <w:bCs/>
                      <w:color w:val="000000"/>
                      <w:szCs w:val="21"/>
                    </w:rPr>
                    <w:t>110</w:t>
                  </w:r>
                </w:p>
              </w:tc>
              <w:tc>
                <w:tcPr>
                  <w:tcW w:w="881" w:type="dxa"/>
                  <w:tcMar>
                    <w:top w:w="0" w:type="dxa"/>
                    <w:left w:w="57" w:type="dxa"/>
                    <w:bottom w:w="0" w:type="dxa"/>
                    <w:right w:w="57" w:type="dxa"/>
                  </w:tcMar>
                  <w:vAlign w:val="center"/>
                </w:tcPr>
                <w:p w14:paraId="416BF8D7">
                  <w:pPr>
                    <w:adjustRightInd w:val="0"/>
                    <w:snapToGrid w:val="0"/>
                    <w:jc w:val="center"/>
                    <w:rPr>
                      <w:bCs/>
                      <w:color w:val="000000"/>
                      <w:szCs w:val="21"/>
                    </w:rPr>
                  </w:pPr>
                  <w:r>
                    <w:rPr>
                      <w:bCs/>
                      <w:color w:val="000000"/>
                      <w:szCs w:val="21"/>
                    </w:rPr>
                    <w:t>118</w:t>
                  </w:r>
                </w:p>
              </w:tc>
              <w:tc>
                <w:tcPr>
                  <w:tcW w:w="882" w:type="dxa"/>
                  <w:tcMar>
                    <w:top w:w="0" w:type="dxa"/>
                    <w:left w:w="57" w:type="dxa"/>
                    <w:bottom w:w="0" w:type="dxa"/>
                    <w:right w:w="57" w:type="dxa"/>
                  </w:tcMar>
                  <w:vAlign w:val="center"/>
                </w:tcPr>
                <w:p w14:paraId="66362AC4">
                  <w:pPr>
                    <w:adjustRightInd w:val="0"/>
                    <w:snapToGrid w:val="0"/>
                    <w:jc w:val="center"/>
                    <w:rPr>
                      <w:bCs/>
                      <w:color w:val="000000"/>
                      <w:szCs w:val="21"/>
                    </w:rPr>
                  </w:pPr>
                  <w:r>
                    <w:rPr>
                      <w:bCs/>
                      <w:color w:val="000000"/>
                      <w:szCs w:val="21"/>
                    </w:rPr>
                    <w:t>117</w:t>
                  </w:r>
                </w:p>
              </w:tc>
              <w:tc>
                <w:tcPr>
                  <w:tcW w:w="1092" w:type="dxa"/>
                  <w:tcMar>
                    <w:top w:w="0" w:type="dxa"/>
                    <w:left w:w="57" w:type="dxa"/>
                    <w:bottom w:w="0" w:type="dxa"/>
                    <w:right w:w="57" w:type="dxa"/>
                  </w:tcMar>
                  <w:vAlign w:val="center"/>
                </w:tcPr>
                <w:p w14:paraId="4713992A">
                  <w:pPr>
                    <w:adjustRightInd w:val="0"/>
                    <w:snapToGrid w:val="0"/>
                    <w:jc w:val="center"/>
                    <w:rPr>
                      <w:bCs/>
                      <w:color w:val="000000"/>
                      <w:szCs w:val="21"/>
                    </w:rPr>
                  </w:pPr>
                  <w:r>
                    <w:rPr>
                      <w:bCs/>
                      <w:color w:val="000000"/>
                      <w:szCs w:val="21"/>
                    </w:rPr>
                    <w:t>mg/L</w:t>
                  </w:r>
                </w:p>
              </w:tc>
            </w:tr>
            <w:tr w14:paraId="0AE3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restart"/>
                  <w:tcMar>
                    <w:top w:w="0" w:type="dxa"/>
                    <w:left w:w="57" w:type="dxa"/>
                    <w:bottom w:w="0" w:type="dxa"/>
                    <w:right w:w="57" w:type="dxa"/>
                  </w:tcMar>
                  <w:vAlign w:val="center"/>
                </w:tcPr>
                <w:p w14:paraId="4D38F77A">
                  <w:pPr>
                    <w:adjustRightInd w:val="0"/>
                    <w:snapToGrid w:val="0"/>
                    <w:jc w:val="center"/>
                    <w:rPr>
                      <w:bCs/>
                      <w:szCs w:val="21"/>
                    </w:rPr>
                  </w:pPr>
                  <w:r>
                    <w:rPr>
                      <w:bCs/>
                      <w:szCs w:val="21"/>
                    </w:rPr>
                    <w:t>05月23日</w:t>
                  </w:r>
                </w:p>
                <w:p w14:paraId="1D7D9387">
                  <w:pPr>
                    <w:pStyle w:val="2"/>
                    <w:rPr>
                      <w:bCs/>
                      <w:sz w:val="21"/>
                      <w:szCs w:val="21"/>
                    </w:rPr>
                  </w:pPr>
                </w:p>
              </w:tc>
              <w:tc>
                <w:tcPr>
                  <w:tcW w:w="1204" w:type="dxa"/>
                  <w:vMerge w:val="restart"/>
                  <w:tcMar>
                    <w:top w:w="0" w:type="dxa"/>
                    <w:left w:w="57" w:type="dxa"/>
                    <w:bottom w:w="0" w:type="dxa"/>
                    <w:right w:w="57" w:type="dxa"/>
                  </w:tcMar>
                  <w:vAlign w:val="center"/>
                </w:tcPr>
                <w:p w14:paraId="759168C6">
                  <w:pPr>
                    <w:adjustRightInd w:val="0"/>
                    <w:snapToGrid w:val="0"/>
                    <w:jc w:val="center"/>
                    <w:rPr>
                      <w:bCs/>
                      <w:szCs w:val="21"/>
                    </w:rPr>
                  </w:pPr>
                  <w:r>
                    <w:rPr>
                      <w:bCs/>
                      <w:szCs w:val="21"/>
                    </w:rPr>
                    <w:t>生产废水处理设施排放口</w:t>
                  </w:r>
                </w:p>
              </w:tc>
              <w:tc>
                <w:tcPr>
                  <w:tcW w:w="1950" w:type="dxa"/>
                  <w:tcMar>
                    <w:top w:w="0" w:type="dxa"/>
                    <w:left w:w="57" w:type="dxa"/>
                    <w:bottom w:w="0" w:type="dxa"/>
                    <w:right w:w="57" w:type="dxa"/>
                  </w:tcMar>
                  <w:vAlign w:val="center"/>
                </w:tcPr>
                <w:p w14:paraId="666D5FC0">
                  <w:pPr>
                    <w:spacing w:line="360" w:lineRule="exact"/>
                    <w:jc w:val="center"/>
                    <w:rPr>
                      <w:color w:val="000000"/>
                      <w:spacing w:val="-12"/>
                      <w:szCs w:val="21"/>
                    </w:rPr>
                  </w:pPr>
                  <w:r>
                    <w:rPr>
                      <w:color w:val="000000"/>
                      <w:szCs w:val="21"/>
                    </w:rPr>
                    <w:t>pH</w:t>
                  </w:r>
                  <w:r>
                    <w:rPr>
                      <w:color w:val="000000"/>
                      <w:spacing w:val="-12"/>
                      <w:szCs w:val="21"/>
                    </w:rPr>
                    <w:t>值</w:t>
                  </w:r>
                </w:p>
              </w:tc>
              <w:tc>
                <w:tcPr>
                  <w:tcW w:w="881" w:type="dxa"/>
                  <w:tcMar>
                    <w:top w:w="0" w:type="dxa"/>
                    <w:left w:w="57" w:type="dxa"/>
                    <w:bottom w:w="0" w:type="dxa"/>
                    <w:right w:w="57" w:type="dxa"/>
                  </w:tcMar>
                  <w:vAlign w:val="center"/>
                </w:tcPr>
                <w:p w14:paraId="0CFF3147">
                  <w:pPr>
                    <w:adjustRightInd w:val="0"/>
                    <w:snapToGrid w:val="0"/>
                    <w:jc w:val="center"/>
                    <w:rPr>
                      <w:bCs/>
                      <w:color w:val="000000"/>
                      <w:szCs w:val="21"/>
                    </w:rPr>
                  </w:pPr>
                  <w:r>
                    <w:rPr>
                      <w:bCs/>
                      <w:color w:val="000000"/>
                      <w:szCs w:val="21"/>
                    </w:rPr>
                    <w:t>7.0</w:t>
                  </w:r>
                </w:p>
              </w:tc>
              <w:tc>
                <w:tcPr>
                  <w:tcW w:w="881" w:type="dxa"/>
                  <w:tcMar>
                    <w:top w:w="0" w:type="dxa"/>
                    <w:left w:w="57" w:type="dxa"/>
                    <w:bottom w:w="0" w:type="dxa"/>
                    <w:right w:w="57" w:type="dxa"/>
                  </w:tcMar>
                  <w:vAlign w:val="center"/>
                </w:tcPr>
                <w:p w14:paraId="3512332E">
                  <w:pPr>
                    <w:adjustRightInd w:val="0"/>
                    <w:snapToGrid w:val="0"/>
                    <w:jc w:val="center"/>
                    <w:rPr>
                      <w:bCs/>
                      <w:color w:val="000000"/>
                      <w:szCs w:val="21"/>
                    </w:rPr>
                  </w:pPr>
                  <w:r>
                    <w:rPr>
                      <w:bCs/>
                      <w:color w:val="000000"/>
                      <w:szCs w:val="21"/>
                    </w:rPr>
                    <w:t>7.2</w:t>
                  </w:r>
                </w:p>
              </w:tc>
              <w:tc>
                <w:tcPr>
                  <w:tcW w:w="881" w:type="dxa"/>
                  <w:tcMar>
                    <w:top w:w="0" w:type="dxa"/>
                    <w:left w:w="57" w:type="dxa"/>
                    <w:bottom w:w="0" w:type="dxa"/>
                    <w:right w:w="57" w:type="dxa"/>
                  </w:tcMar>
                  <w:vAlign w:val="center"/>
                </w:tcPr>
                <w:p w14:paraId="16424301">
                  <w:pPr>
                    <w:adjustRightInd w:val="0"/>
                    <w:snapToGrid w:val="0"/>
                    <w:jc w:val="center"/>
                    <w:rPr>
                      <w:bCs/>
                      <w:color w:val="000000"/>
                      <w:szCs w:val="21"/>
                    </w:rPr>
                  </w:pPr>
                  <w:r>
                    <w:rPr>
                      <w:bCs/>
                      <w:color w:val="000000"/>
                      <w:szCs w:val="21"/>
                    </w:rPr>
                    <w:t>7.4</w:t>
                  </w:r>
                </w:p>
              </w:tc>
              <w:tc>
                <w:tcPr>
                  <w:tcW w:w="882" w:type="dxa"/>
                  <w:tcMar>
                    <w:top w:w="0" w:type="dxa"/>
                    <w:left w:w="57" w:type="dxa"/>
                    <w:bottom w:w="0" w:type="dxa"/>
                    <w:right w:w="57" w:type="dxa"/>
                  </w:tcMar>
                  <w:vAlign w:val="center"/>
                </w:tcPr>
                <w:p w14:paraId="0711484C">
                  <w:pPr>
                    <w:adjustRightInd w:val="0"/>
                    <w:snapToGrid w:val="0"/>
                    <w:jc w:val="center"/>
                    <w:rPr>
                      <w:bCs/>
                      <w:color w:val="000000"/>
                      <w:szCs w:val="21"/>
                    </w:rPr>
                  </w:pPr>
                  <w:r>
                    <w:rPr>
                      <w:bCs/>
                      <w:color w:val="000000"/>
                      <w:szCs w:val="21"/>
                    </w:rPr>
                    <w:t>7.0</w:t>
                  </w:r>
                </w:p>
              </w:tc>
              <w:tc>
                <w:tcPr>
                  <w:tcW w:w="1092" w:type="dxa"/>
                  <w:tcMar>
                    <w:top w:w="0" w:type="dxa"/>
                    <w:left w:w="57" w:type="dxa"/>
                    <w:bottom w:w="0" w:type="dxa"/>
                    <w:right w:w="57" w:type="dxa"/>
                  </w:tcMar>
                  <w:vAlign w:val="center"/>
                </w:tcPr>
                <w:p w14:paraId="3D0F314C">
                  <w:pPr>
                    <w:adjustRightInd w:val="0"/>
                    <w:snapToGrid w:val="0"/>
                    <w:jc w:val="center"/>
                    <w:rPr>
                      <w:bCs/>
                      <w:color w:val="000000"/>
                      <w:szCs w:val="21"/>
                    </w:rPr>
                  </w:pPr>
                  <w:r>
                    <w:rPr>
                      <w:bCs/>
                      <w:color w:val="000000"/>
                      <w:szCs w:val="21"/>
                    </w:rPr>
                    <w:t>无量纲</w:t>
                  </w:r>
                </w:p>
              </w:tc>
            </w:tr>
            <w:tr w14:paraId="0C56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43A9E962">
                  <w:pPr>
                    <w:pStyle w:val="2"/>
                    <w:rPr>
                      <w:bCs/>
                      <w:sz w:val="21"/>
                      <w:szCs w:val="21"/>
                    </w:rPr>
                  </w:pPr>
                </w:p>
              </w:tc>
              <w:tc>
                <w:tcPr>
                  <w:tcW w:w="1204" w:type="dxa"/>
                  <w:vMerge w:val="continue"/>
                  <w:tcMar>
                    <w:top w:w="0" w:type="dxa"/>
                    <w:left w:w="57" w:type="dxa"/>
                    <w:bottom w:w="0" w:type="dxa"/>
                    <w:right w:w="57" w:type="dxa"/>
                  </w:tcMar>
                  <w:vAlign w:val="center"/>
                </w:tcPr>
                <w:p w14:paraId="686B37F4">
                  <w:pPr>
                    <w:adjustRightInd w:val="0"/>
                    <w:snapToGrid w:val="0"/>
                    <w:jc w:val="center"/>
                    <w:rPr>
                      <w:bCs/>
                      <w:szCs w:val="21"/>
                    </w:rPr>
                  </w:pPr>
                </w:p>
              </w:tc>
              <w:tc>
                <w:tcPr>
                  <w:tcW w:w="1950" w:type="dxa"/>
                  <w:tcMar>
                    <w:top w:w="0" w:type="dxa"/>
                    <w:left w:w="57" w:type="dxa"/>
                    <w:bottom w:w="0" w:type="dxa"/>
                    <w:right w:w="57" w:type="dxa"/>
                  </w:tcMar>
                  <w:vAlign w:val="center"/>
                </w:tcPr>
                <w:p w14:paraId="744E864C">
                  <w:pPr>
                    <w:spacing w:line="360" w:lineRule="exact"/>
                    <w:jc w:val="center"/>
                    <w:rPr>
                      <w:color w:val="000000"/>
                      <w:spacing w:val="-12"/>
                      <w:szCs w:val="21"/>
                    </w:rPr>
                  </w:pPr>
                  <w:r>
                    <w:rPr>
                      <w:color w:val="000000"/>
                      <w:spacing w:val="-12"/>
                      <w:szCs w:val="21"/>
                    </w:rPr>
                    <w:t>悬浮物</w:t>
                  </w:r>
                </w:p>
              </w:tc>
              <w:tc>
                <w:tcPr>
                  <w:tcW w:w="881" w:type="dxa"/>
                  <w:tcMar>
                    <w:top w:w="0" w:type="dxa"/>
                    <w:left w:w="57" w:type="dxa"/>
                    <w:bottom w:w="0" w:type="dxa"/>
                    <w:right w:w="57" w:type="dxa"/>
                  </w:tcMar>
                  <w:vAlign w:val="center"/>
                </w:tcPr>
                <w:p w14:paraId="0382F8B7">
                  <w:pPr>
                    <w:adjustRightInd w:val="0"/>
                    <w:snapToGrid w:val="0"/>
                    <w:jc w:val="center"/>
                    <w:rPr>
                      <w:bCs/>
                      <w:color w:val="000000"/>
                      <w:szCs w:val="21"/>
                    </w:rPr>
                  </w:pPr>
                  <w:r>
                    <w:rPr>
                      <w:bCs/>
                      <w:color w:val="000000"/>
                      <w:szCs w:val="21"/>
                    </w:rPr>
                    <w:t>16</w:t>
                  </w:r>
                </w:p>
              </w:tc>
              <w:tc>
                <w:tcPr>
                  <w:tcW w:w="881" w:type="dxa"/>
                  <w:tcMar>
                    <w:top w:w="0" w:type="dxa"/>
                    <w:left w:w="57" w:type="dxa"/>
                    <w:bottom w:w="0" w:type="dxa"/>
                    <w:right w:w="57" w:type="dxa"/>
                  </w:tcMar>
                  <w:vAlign w:val="center"/>
                </w:tcPr>
                <w:p w14:paraId="528C358F">
                  <w:pPr>
                    <w:adjustRightInd w:val="0"/>
                    <w:snapToGrid w:val="0"/>
                    <w:jc w:val="center"/>
                    <w:rPr>
                      <w:bCs/>
                      <w:color w:val="000000"/>
                      <w:szCs w:val="21"/>
                    </w:rPr>
                  </w:pPr>
                  <w:r>
                    <w:rPr>
                      <w:bCs/>
                      <w:color w:val="000000"/>
                      <w:szCs w:val="21"/>
                    </w:rPr>
                    <w:t>14</w:t>
                  </w:r>
                </w:p>
              </w:tc>
              <w:tc>
                <w:tcPr>
                  <w:tcW w:w="881" w:type="dxa"/>
                  <w:tcMar>
                    <w:top w:w="0" w:type="dxa"/>
                    <w:left w:w="57" w:type="dxa"/>
                    <w:bottom w:w="0" w:type="dxa"/>
                    <w:right w:w="57" w:type="dxa"/>
                  </w:tcMar>
                  <w:vAlign w:val="center"/>
                </w:tcPr>
                <w:p w14:paraId="67EF87D0">
                  <w:pPr>
                    <w:adjustRightInd w:val="0"/>
                    <w:snapToGrid w:val="0"/>
                    <w:jc w:val="center"/>
                    <w:rPr>
                      <w:bCs/>
                      <w:color w:val="000000"/>
                      <w:szCs w:val="21"/>
                    </w:rPr>
                  </w:pPr>
                  <w:r>
                    <w:rPr>
                      <w:bCs/>
                      <w:color w:val="000000"/>
                      <w:szCs w:val="21"/>
                    </w:rPr>
                    <w:t>15</w:t>
                  </w:r>
                </w:p>
              </w:tc>
              <w:tc>
                <w:tcPr>
                  <w:tcW w:w="882" w:type="dxa"/>
                  <w:tcMar>
                    <w:top w:w="0" w:type="dxa"/>
                    <w:left w:w="57" w:type="dxa"/>
                    <w:bottom w:w="0" w:type="dxa"/>
                    <w:right w:w="57" w:type="dxa"/>
                  </w:tcMar>
                  <w:vAlign w:val="center"/>
                </w:tcPr>
                <w:p w14:paraId="6B3A20BC">
                  <w:pPr>
                    <w:adjustRightInd w:val="0"/>
                    <w:snapToGrid w:val="0"/>
                    <w:jc w:val="center"/>
                    <w:rPr>
                      <w:bCs/>
                      <w:color w:val="000000"/>
                      <w:szCs w:val="21"/>
                    </w:rPr>
                  </w:pPr>
                  <w:r>
                    <w:rPr>
                      <w:bCs/>
                      <w:color w:val="000000"/>
                      <w:szCs w:val="21"/>
                    </w:rPr>
                    <w:t>13</w:t>
                  </w:r>
                </w:p>
              </w:tc>
              <w:tc>
                <w:tcPr>
                  <w:tcW w:w="1092" w:type="dxa"/>
                  <w:tcMar>
                    <w:top w:w="0" w:type="dxa"/>
                    <w:left w:w="57" w:type="dxa"/>
                    <w:bottom w:w="0" w:type="dxa"/>
                    <w:right w:w="57" w:type="dxa"/>
                  </w:tcMar>
                  <w:vAlign w:val="center"/>
                </w:tcPr>
                <w:p w14:paraId="3006B4E6">
                  <w:pPr>
                    <w:adjustRightInd w:val="0"/>
                    <w:snapToGrid w:val="0"/>
                    <w:jc w:val="center"/>
                    <w:rPr>
                      <w:bCs/>
                      <w:color w:val="000000"/>
                      <w:szCs w:val="21"/>
                    </w:rPr>
                  </w:pPr>
                  <w:r>
                    <w:rPr>
                      <w:bCs/>
                      <w:color w:val="000000"/>
                      <w:szCs w:val="21"/>
                    </w:rPr>
                    <w:t>mg/L</w:t>
                  </w:r>
                </w:p>
              </w:tc>
            </w:tr>
            <w:tr w14:paraId="5AD5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238F3E37">
                  <w:pPr>
                    <w:pStyle w:val="2"/>
                    <w:rPr>
                      <w:bCs/>
                      <w:sz w:val="21"/>
                      <w:szCs w:val="21"/>
                    </w:rPr>
                  </w:pPr>
                </w:p>
              </w:tc>
              <w:tc>
                <w:tcPr>
                  <w:tcW w:w="1204" w:type="dxa"/>
                  <w:vMerge w:val="continue"/>
                  <w:tcMar>
                    <w:top w:w="0" w:type="dxa"/>
                    <w:left w:w="57" w:type="dxa"/>
                    <w:bottom w:w="0" w:type="dxa"/>
                    <w:right w:w="57" w:type="dxa"/>
                  </w:tcMar>
                  <w:vAlign w:val="center"/>
                </w:tcPr>
                <w:p w14:paraId="49527A87">
                  <w:pPr>
                    <w:adjustRightInd w:val="0"/>
                    <w:snapToGrid w:val="0"/>
                    <w:jc w:val="center"/>
                    <w:rPr>
                      <w:bCs/>
                      <w:szCs w:val="21"/>
                    </w:rPr>
                  </w:pPr>
                </w:p>
              </w:tc>
              <w:tc>
                <w:tcPr>
                  <w:tcW w:w="1950" w:type="dxa"/>
                  <w:tcMar>
                    <w:top w:w="0" w:type="dxa"/>
                    <w:left w:w="57" w:type="dxa"/>
                    <w:bottom w:w="0" w:type="dxa"/>
                    <w:right w:w="57" w:type="dxa"/>
                  </w:tcMar>
                  <w:vAlign w:val="center"/>
                </w:tcPr>
                <w:p w14:paraId="7C336FDF">
                  <w:pPr>
                    <w:spacing w:line="360" w:lineRule="exact"/>
                    <w:jc w:val="center"/>
                    <w:rPr>
                      <w:color w:val="000000"/>
                      <w:spacing w:val="-12"/>
                      <w:szCs w:val="21"/>
                    </w:rPr>
                  </w:pPr>
                  <w:r>
                    <w:rPr>
                      <w:color w:val="000000"/>
                      <w:szCs w:val="21"/>
                    </w:rPr>
                    <w:t>五日生化需氧量</w:t>
                  </w:r>
                </w:p>
              </w:tc>
              <w:tc>
                <w:tcPr>
                  <w:tcW w:w="881" w:type="dxa"/>
                  <w:tcMar>
                    <w:top w:w="0" w:type="dxa"/>
                    <w:left w:w="57" w:type="dxa"/>
                    <w:bottom w:w="0" w:type="dxa"/>
                    <w:right w:w="57" w:type="dxa"/>
                  </w:tcMar>
                  <w:vAlign w:val="center"/>
                </w:tcPr>
                <w:p w14:paraId="5C57AE41">
                  <w:pPr>
                    <w:adjustRightInd w:val="0"/>
                    <w:snapToGrid w:val="0"/>
                    <w:jc w:val="center"/>
                    <w:rPr>
                      <w:bCs/>
                      <w:color w:val="000000"/>
                      <w:szCs w:val="21"/>
                    </w:rPr>
                  </w:pPr>
                  <w:r>
                    <w:rPr>
                      <w:bCs/>
                      <w:color w:val="000000"/>
                      <w:szCs w:val="21"/>
                    </w:rPr>
                    <w:t>23.2</w:t>
                  </w:r>
                </w:p>
              </w:tc>
              <w:tc>
                <w:tcPr>
                  <w:tcW w:w="881" w:type="dxa"/>
                  <w:tcMar>
                    <w:top w:w="0" w:type="dxa"/>
                    <w:left w:w="57" w:type="dxa"/>
                    <w:bottom w:w="0" w:type="dxa"/>
                    <w:right w:w="57" w:type="dxa"/>
                  </w:tcMar>
                  <w:vAlign w:val="center"/>
                </w:tcPr>
                <w:p w14:paraId="2AC4D15A">
                  <w:pPr>
                    <w:adjustRightInd w:val="0"/>
                    <w:snapToGrid w:val="0"/>
                    <w:jc w:val="center"/>
                    <w:rPr>
                      <w:bCs/>
                      <w:color w:val="000000"/>
                      <w:szCs w:val="21"/>
                    </w:rPr>
                  </w:pPr>
                  <w:r>
                    <w:rPr>
                      <w:bCs/>
                      <w:color w:val="000000"/>
                      <w:szCs w:val="21"/>
                    </w:rPr>
                    <w:t>20.1</w:t>
                  </w:r>
                </w:p>
              </w:tc>
              <w:tc>
                <w:tcPr>
                  <w:tcW w:w="881" w:type="dxa"/>
                  <w:tcMar>
                    <w:top w:w="0" w:type="dxa"/>
                    <w:left w:w="57" w:type="dxa"/>
                    <w:bottom w:w="0" w:type="dxa"/>
                    <w:right w:w="57" w:type="dxa"/>
                  </w:tcMar>
                  <w:vAlign w:val="center"/>
                </w:tcPr>
                <w:p w14:paraId="5BA02616">
                  <w:pPr>
                    <w:adjustRightInd w:val="0"/>
                    <w:snapToGrid w:val="0"/>
                    <w:jc w:val="center"/>
                    <w:rPr>
                      <w:bCs/>
                      <w:color w:val="000000"/>
                      <w:szCs w:val="21"/>
                    </w:rPr>
                  </w:pPr>
                  <w:r>
                    <w:rPr>
                      <w:bCs/>
                      <w:color w:val="000000"/>
                      <w:szCs w:val="21"/>
                    </w:rPr>
                    <w:t>20.0</w:t>
                  </w:r>
                </w:p>
              </w:tc>
              <w:tc>
                <w:tcPr>
                  <w:tcW w:w="882" w:type="dxa"/>
                  <w:tcMar>
                    <w:top w:w="0" w:type="dxa"/>
                    <w:left w:w="57" w:type="dxa"/>
                    <w:bottom w:w="0" w:type="dxa"/>
                    <w:right w:w="57" w:type="dxa"/>
                  </w:tcMar>
                  <w:vAlign w:val="center"/>
                </w:tcPr>
                <w:p w14:paraId="29E20345">
                  <w:pPr>
                    <w:adjustRightInd w:val="0"/>
                    <w:snapToGrid w:val="0"/>
                    <w:jc w:val="center"/>
                    <w:rPr>
                      <w:bCs/>
                      <w:color w:val="000000"/>
                      <w:szCs w:val="21"/>
                    </w:rPr>
                  </w:pPr>
                  <w:r>
                    <w:rPr>
                      <w:bCs/>
                      <w:color w:val="000000"/>
                      <w:szCs w:val="21"/>
                    </w:rPr>
                    <w:t>21.5</w:t>
                  </w:r>
                </w:p>
              </w:tc>
              <w:tc>
                <w:tcPr>
                  <w:tcW w:w="1092" w:type="dxa"/>
                  <w:tcMar>
                    <w:top w:w="0" w:type="dxa"/>
                    <w:left w:w="57" w:type="dxa"/>
                    <w:bottom w:w="0" w:type="dxa"/>
                    <w:right w:w="57" w:type="dxa"/>
                  </w:tcMar>
                  <w:vAlign w:val="center"/>
                </w:tcPr>
                <w:p w14:paraId="5EA42968">
                  <w:pPr>
                    <w:adjustRightInd w:val="0"/>
                    <w:snapToGrid w:val="0"/>
                    <w:jc w:val="center"/>
                    <w:rPr>
                      <w:bCs/>
                      <w:color w:val="000000"/>
                      <w:szCs w:val="21"/>
                    </w:rPr>
                  </w:pPr>
                  <w:r>
                    <w:rPr>
                      <w:bCs/>
                      <w:color w:val="000000"/>
                      <w:szCs w:val="21"/>
                    </w:rPr>
                    <w:t>mg/L</w:t>
                  </w:r>
                </w:p>
              </w:tc>
            </w:tr>
            <w:tr w14:paraId="1384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55ABBC52">
                  <w:pPr>
                    <w:pStyle w:val="2"/>
                    <w:rPr>
                      <w:bCs/>
                      <w:sz w:val="21"/>
                      <w:szCs w:val="21"/>
                    </w:rPr>
                  </w:pPr>
                </w:p>
              </w:tc>
              <w:tc>
                <w:tcPr>
                  <w:tcW w:w="1204" w:type="dxa"/>
                  <w:vMerge w:val="continue"/>
                  <w:tcMar>
                    <w:top w:w="0" w:type="dxa"/>
                    <w:left w:w="57" w:type="dxa"/>
                    <w:bottom w:w="0" w:type="dxa"/>
                    <w:right w:w="57" w:type="dxa"/>
                  </w:tcMar>
                  <w:vAlign w:val="center"/>
                </w:tcPr>
                <w:p w14:paraId="38648C40">
                  <w:pPr>
                    <w:adjustRightInd w:val="0"/>
                    <w:snapToGrid w:val="0"/>
                    <w:jc w:val="center"/>
                    <w:rPr>
                      <w:bCs/>
                      <w:szCs w:val="21"/>
                    </w:rPr>
                  </w:pPr>
                </w:p>
              </w:tc>
              <w:tc>
                <w:tcPr>
                  <w:tcW w:w="1950" w:type="dxa"/>
                  <w:tcMar>
                    <w:top w:w="0" w:type="dxa"/>
                    <w:left w:w="57" w:type="dxa"/>
                    <w:bottom w:w="0" w:type="dxa"/>
                    <w:right w:w="57" w:type="dxa"/>
                  </w:tcMar>
                  <w:vAlign w:val="center"/>
                </w:tcPr>
                <w:p w14:paraId="046553C3">
                  <w:pPr>
                    <w:spacing w:line="360" w:lineRule="exact"/>
                    <w:jc w:val="center"/>
                    <w:rPr>
                      <w:color w:val="000000"/>
                      <w:spacing w:val="-12"/>
                      <w:szCs w:val="21"/>
                    </w:rPr>
                  </w:pPr>
                  <w:r>
                    <w:rPr>
                      <w:color w:val="000000"/>
                      <w:spacing w:val="-12"/>
                      <w:szCs w:val="21"/>
                    </w:rPr>
                    <w:t>氨氮</w:t>
                  </w:r>
                </w:p>
              </w:tc>
              <w:tc>
                <w:tcPr>
                  <w:tcW w:w="881" w:type="dxa"/>
                  <w:tcMar>
                    <w:top w:w="0" w:type="dxa"/>
                    <w:left w:w="57" w:type="dxa"/>
                    <w:bottom w:w="0" w:type="dxa"/>
                    <w:right w:w="57" w:type="dxa"/>
                  </w:tcMar>
                  <w:vAlign w:val="center"/>
                </w:tcPr>
                <w:p w14:paraId="3E4B1185">
                  <w:pPr>
                    <w:adjustRightInd w:val="0"/>
                    <w:snapToGrid w:val="0"/>
                    <w:jc w:val="center"/>
                    <w:rPr>
                      <w:bCs/>
                      <w:color w:val="000000"/>
                      <w:szCs w:val="21"/>
                    </w:rPr>
                  </w:pPr>
                  <w:r>
                    <w:rPr>
                      <w:bCs/>
                      <w:color w:val="000000"/>
                      <w:szCs w:val="21"/>
                    </w:rPr>
                    <w:t>1.42</w:t>
                  </w:r>
                </w:p>
              </w:tc>
              <w:tc>
                <w:tcPr>
                  <w:tcW w:w="881" w:type="dxa"/>
                  <w:tcMar>
                    <w:top w:w="0" w:type="dxa"/>
                    <w:left w:w="57" w:type="dxa"/>
                    <w:bottom w:w="0" w:type="dxa"/>
                    <w:right w:w="57" w:type="dxa"/>
                  </w:tcMar>
                  <w:vAlign w:val="center"/>
                </w:tcPr>
                <w:p w14:paraId="60EBDF33">
                  <w:pPr>
                    <w:adjustRightInd w:val="0"/>
                    <w:snapToGrid w:val="0"/>
                    <w:jc w:val="center"/>
                    <w:rPr>
                      <w:bCs/>
                      <w:color w:val="000000"/>
                      <w:szCs w:val="21"/>
                    </w:rPr>
                  </w:pPr>
                  <w:r>
                    <w:rPr>
                      <w:bCs/>
                      <w:color w:val="000000"/>
                      <w:szCs w:val="21"/>
                    </w:rPr>
                    <w:t>1.37</w:t>
                  </w:r>
                </w:p>
              </w:tc>
              <w:tc>
                <w:tcPr>
                  <w:tcW w:w="881" w:type="dxa"/>
                  <w:tcMar>
                    <w:top w:w="0" w:type="dxa"/>
                    <w:left w:w="57" w:type="dxa"/>
                    <w:bottom w:w="0" w:type="dxa"/>
                    <w:right w:w="57" w:type="dxa"/>
                  </w:tcMar>
                  <w:vAlign w:val="center"/>
                </w:tcPr>
                <w:p w14:paraId="53DE9718">
                  <w:pPr>
                    <w:adjustRightInd w:val="0"/>
                    <w:snapToGrid w:val="0"/>
                    <w:jc w:val="center"/>
                    <w:rPr>
                      <w:bCs/>
                      <w:color w:val="000000"/>
                      <w:szCs w:val="21"/>
                    </w:rPr>
                  </w:pPr>
                  <w:r>
                    <w:rPr>
                      <w:bCs/>
                      <w:color w:val="000000"/>
                      <w:szCs w:val="21"/>
                    </w:rPr>
                    <w:t>1.35</w:t>
                  </w:r>
                </w:p>
              </w:tc>
              <w:tc>
                <w:tcPr>
                  <w:tcW w:w="882" w:type="dxa"/>
                  <w:tcMar>
                    <w:top w:w="0" w:type="dxa"/>
                    <w:left w:w="57" w:type="dxa"/>
                    <w:bottom w:w="0" w:type="dxa"/>
                    <w:right w:w="57" w:type="dxa"/>
                  </w:tcMar>
                  <w:vAlign w:val="center"/>
                </w:tcPr>
                <w:p w14:paraId="1D575F51">
                  <w:pPr>
                    <w:adjustRightInd w:val="0"/>
                    <w:snapToGrid w:val="0"/>
                    <w:jc w:val="center"/>
                    <w:rPr>
                      <w:bCs/>
                      <w:color w:val="000000"/>
                      <w:szCs w:val="21"/>
                    </w:rPr>
                  </w:pPr>
                  <w:r>
                    <w:rPr>
                      <w:bCs/>
                      <w:color w:val="000000"/>
                      <w:szCs w:val="21"/>
                    </w:rPr>
                    <w:t>1.41</w:t>
                  </w:r>
                </w:p>
              </w:tc>
              <w:tc>
                <w:tcPr>
                  <w:tcW w:w="1092" w:type="dxa"/>
                  <w:tcMar>
                    <w:top w:w="0" w:type="dxa"/>
                    <w:left w:w="57" w:type="dxa"/>
                    <w:bottom w:w="0" w:type="dxa"/>
                    <w:right w:w="57" w:type="dxa"/>
                  </w:tcMar>
                  <w:vAlign w:val="center"/>
                </w:tcPr>
                <w:p w14:paraId="3BF079F9">
                  <w:pPr>
                    <w:adjustRightInd w:val="0"/>
                    <w:snapToGrid w:val="0"/>
                    <w:jc w:val="center"/>
                    <w:rPr>
                      <w:bCs/>
                      <w:color w:val="000000"/>
                      <w:szCs w:val="21"/>
                    </w:rPr>
                  </w:pPr>
                  <w:r>
                    <w:rPr>
                      <w:bCs/>
                      <w:color w:val="000000"/>
                      <w:szCs w:val="21"/>
                    </w:rPr>
                    <w:t>mg/L</w:t>
                  </w:r>
                </w:p>
              </w:tc>
            </w:tr>
            <w:tr w14:paraId="50C9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26F0D677">
                  <w:pPr>
                    <w:pStyle w:val="2"/>
                    <w:rPr>
                      <w:bCs/>
                      <w:sz w:val="21"/>
                      <w:szCs w:val="21"/>
                    </w:rPr>
                  </w:pPr>
                </w:p>
              </w:tc>
              <w:tc>
                <w:tcPr>
                  <w:tcW w:w="1204" w:type="dxa"/>
                  <w:vMerge w:val="continue"/>
                  <w:tcMar>
                    <w:top w:w="0" w:type="dxa"/>
                    <w:left w:w="57" w:type="dxa"/>
                    <w:bottom w:w="0" w:type="dxa"/>
                    <w:right w:w="57" w:type="dxa"/>
                  </w:tcMar>
                  <w:vAlign w:val="center"/>
                </w:tcPr>
                <w:p w14:paraId="00606428">
                  <w:pPr>
                    <w:adjustRightInd w:val="0"/>
                    <w:snapToGrid w:val="0"/>
                    <w:jc w:val="center"/>
                    <w:rPr>
                      <w:bCs/>
                      <w:szCs w:val="21"/>
                    </w:rPr>
                  </w:pPr>
                </w:p>
              </w:tc>
              <w:tc>
                <w:tcPr>
                  <w:tcW w:w="1950" w:type="dxa"/>
                  <w:tcMar>
                    <w:top w:w="0" w:type="dxa"/>
                    <w:left w:w="57" w:type="dxa"/>
                    <w:bottom w:w="0" w:type="dxa"/>
                    <w:right w:w="57" w:type="dxa"/>
                  </w:tcMar>
                  <w:vAlign w:val="center"/>
                </w:tcPr>
                <w:p w14:paraId="0CEF0C9B">
                  <w:pPr>
                    <w:spacing w:line="360" w:lineRule="exact"/>
                    <w:jc w:val="center"/>
                    <w:rPr>
                      <w:color w:val="000000"/>
                      <w:spacing w:val="-12"/>
                      <w:szCs w:val="21"/>
                    </w:rPr>
                  </w:pPr>
                  <w:r>
                    <w:rPr>
                      <w:color w:val="000000"/>
                      <w:spacing w:val="-12"/>
                      <w:szCs w:val="21"/>
                    </w:rPr>
                    <w:t>阴离子表面活性剂</w:t>
                  </w:r>
                </w:p>
              </w:tc>
              <w:tc>
                <w:tcPr>
                  <w:tcW w:w="881" w:type="dxa"/>
                  <w:tcMar>
                    <w:top w:w="0" w:type="dxa"/>
                    <w:left w:w="57" w:type="dxa"/>
                    <w:bottom w:w="0" w:type="dxa"/>
                    <w:right w:w="57" w:type="dxa"/>
                  </w:tcMar>
                  <w:vAlign w:val="center"/>
                </w:tcPr>
                <w:p w14:paraId="49C34105">
                  <w:pPr>
                    <w:adjustRightInd w:val="0"/>
                    <w:snapToGrid w:val="0"/>
                    <w:jc w:val="center"/>
                    <w:rPr>
                      <w:bCs/>
                      <w:color w:val="000000"/>
                      <w:szCs w:val="21"/>
                    </w:rPr>
                  </w:pPr>
                  <w:r>
                    <w:rPr>
                      <w:bCs/>
                      <w:color w:val="000000"/>
                      <w:szCs w:val="21"/>
                    </w:rPr>
                    <w:t>0.09</w:t>
                  </w:r>
                </w:p>
              </w:tc>
              <w:tc>
                <w:tcPr>
                  <w:tcW w:w="881" w:type="dxa"/>
                  <w:tcMar>
                    <w:top w:w="0" w:type="dxa"/>
                    <w:left w:w="57" w:type="dxa"/>
                    <w:bottom w:w="0" w:type="dxa"/>
                    <w:right w:w="57" w:type="dxa"/>
                  </w:tcMar>
                  <w:vAlign w:val="center"/>
                </w:tcPr>
                <w:p w14:paraId="62A23333">
                  <w:pPr>
                    <w:adjustRightInd w:val="0"/>
                    <w:snapToGrid w:val="0"/>
                    <w:jc w:val="center"/>
                    <w:rPr>
                      <w:bCs/>
                      <w:color w:val="000000"/>
                      <w:szCs w:val="21"/>
                    </w:rPr>
                  </w:pPr>
                  <w:r>
                    <w:rPr>
                      <w:bCs/>
                      <w:color w:val="000000"/>
                      <w:szCs w:val="21"/>
                    </w:rPr>
                    <w:t>0.10</w:t>
                  </w:r>
                </w:p>
              </w:tc>
              <w:tc>
                <w:tcPr>
                  <w:tcW w:w="881" w:type="dxa"/>
                  <w:tcMar>
                    <w:top w:w="0" w:type="dxa"/>
                    <w:left w:w="57" w:type="dxa"/>
                    <w:bottom w:w="0" w:type="dxa"/>
                    <w:right w:w="57" w:type="dxa"/>
                  </w:tcMar>
                  <w:vAlign w:val="center"/>
                </w:tcPr>
                <w:p w14:paraId="039306A5">
                  <w:pPr>
                    <w:adjustRightInd w:val="0"/>
                    <w:snapToGrid w:val="0"/>
                    <w:jc w:val="center"/>
                    <w:rPr>
                      <w:bCs/>
                      <w:color w:val="000000"/>
                      <w:szCs w:val="21"/>
                    </w:rPr>
                  </w:pPr>
                  <w:r>
                    <w:rPr>
                      <w:bCs/>
                      <w:color w:val="000000"/>
                      <w:szCs w:val="21"/>
                    </w:rPr>
                    <w:t>0.11</w:t>
                  </w:r>
                </w:p>
              </w:tc>
              <w:tc>
                <w:tcPr>
                  <w:tcW w:w="882" w:type="dxa"/>
                  <w:tcMar>
                    <w:top w:w="0" w:type="dxa"/>
                    <w:left w:w="57" w:type="dxa"/>
                    <w:bottom w:w="0" w:type="dxa"/>
                    <w:right w:w="57" w:type="dxa"/>
                  </w:tcMar>
                  <w:vAlign w:val="center"/>
                </w:tcPr>
                <w:p w14:paraId="3A72969F">
                  <w:pPr>
                    <w:adjustRightInd w:val="0"/>
                    <w:snapToGrid w:val="0"/>
                    <w:jc w:val="center"/>
                    <w:rPr>
                      <w:bCs/>
                      <w:color w:val="000000"/>
                      <w:szCs w:val="21"/>
                    </w:rPr>
                  </w:pPr>
                  <w:r>
                    <w:rPr>
                      <w:bCs/>
                      <w:color w:val="000000"/>
                      <w:szCs w:val="21"/>
                    </w:rPr>
                    <w:t>0.13</w:t>
                  </w:r>
                </w:p>
              </w:tc>
              <w:tc>
                <w:tcPr>
                  <w:tcW w:w="1092" w:type="dxa"/>
                  <w:tcMar>
                    <w:top w:w="0" w:type="dxa"/>
                    <w:left w:w="57" w:type="dxa"/>
                    <w:bottom w:w="0" w:type="dxa"/>
                    <w:right w:w="57" w:type="dxa"/>
                  </w:tcMar>
                  <w:vAlign w:val="center"/>
                </w:tcPr>
                <w:p w14:paraId="590931D2">
                  <w:pPr>
                    <w:adjustRightInd w:val="0"/>
                    <w:snapToGrid w:val="0"/>
                    <w:jc w:val="center"/>
                    <w:rPr>
                      <w:bCs/>
                      <w:color w:val="000000"/>
                      <w:szCs w:val="21"/>
                    </w:rPr>
                  </w:pPr>
                  <w:r>
                    <w:rPr>
                      <w:bCs/>
                      <w:color w:val="000000"/>
                      <w:szCs w:val="21"/>
                    </w:rPr>
                    <w:t>mg/L</w:t>
                  </w:r>
                </w:p>
              </w:tc>
            </w:tr>
            <w:tr w14:paraId="57D8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51" w:type="dxa"/>
                  <w:vMerge w:val="continue"/>
                  <w:tcMar>
                    <w:top w:w="0" w:type="dxa"/>
                    <w:left w:w="57" w:type="dxa"/>
                    <w:bottom w:w="0" w:type="dxa"/>
                    <w:right w:w="57" w:type="dxa"/>
                  </w:tcMar>
                  <w:vAlign w:val="center"/>
                </w:tcPr>
                <w:p w14:paraId="1152A89B">
                  <w:pPr>
                    <w:pStyle w:val="2"/>
                    <w:rPr>
                      <w:bCs/>
                      <w:sz w:val="21"/>
                      <w:szCs w:val="21"/>
                    </w:rPr>
                  </w:pPr>
                </w:p>
              </w:tc>
              <w:tc>
                <w:tcPr>
                  <w:tcW w:w="1204" w:type="dxa"/>
                  <w:vMerge w:val="continue"/>
                  <w:tcMar>
                    <w:top w:w="0" w:type="dxa"/>
                    <w:left w:w="57" w:type="dxa"/>
                    <w:bottom w:w="0" w:type="dxa"/>
                    <w:right w:w="57" w:type="dxa"/>
                  </w:tcMar>
                  <w:vAlign w:val="center"/>
                </w:tcPr>
                <w:p w14:paraId="2B1B0273">
                  <w:pPr>
                    <w:adjustRightInd w:val="0"/>
                    <w:snapToGrid w:val="0"/>
                    <w:jc w:val="center"/>
                    <w:rPr>
                      <w:bCs/>
                      <w:szCs w:val="21"/>
                    </w:rPr>
                  </w:pPr>
                </w:p>
              </w:tc>
              <w:tc>
                <w:tcPr>
                  <w:tcW w:w="1950" w:type="dxa"/>
                  <w:tcMar>
                    <w:top w:w="0" w:type="dxa"/>
                    <w:left w:w="57" w:type="dxa"/>
                    <w:bottom w:w="0" w:type="dxa"/>
                    <w:right w:w="57" w:type="dxa"/>
                  </w:tcMar>
                  <w:vAlign w:val="center"/>
                </w:tcPr>
                <w:p w14:paraId="4639BBD6">
                  <w:pPr>
                    <w:spacing w:line="360" w:lineRule="exact"/>
                    <w:jc w:val="center"/>
                    <w:rPr>
                      <w:color w:val="000000"/>
                      <w:spacing w:val="-12"/>
                      <w:szCs w:val="21"/>
                    </w:rPr>
                  </w:pPr>
                  <w:r>
                    <w:rPr>
                      <w:color w:val="000000"/>
                      <w:szCs w:val="21"/>
                    </w:rPr>
                    <w:t>总磷</w:t>
                  </w:r>
                </w:p>
              </w:tc>
              <w:tc>
                <w:tcPr>
                  <w:tcW w:w="881" w:type="dxa"/>
                  <w:tcMar>
                    <w:top w:w="0" w:type="dxa"/>
                    <w:left w:w="57" w:type="dxa"/>
                    <w:bottom w:w="0" w:type="dxa"/>
                    <w:right w:w="57" w:type="dxa"/>
                  </w:tcMar>
                  <w:vAlign w:val="center"/>
                </w:tcPr>
                <w:p w14:paraId="2FE7D437">
                  <w:pPr>
                    <w:adjustRightInd w:val="0"/>
                    <w:snapToGrid w:val="0"/>
                    <w:jc w:val="center"/>
                    <w:rPr>
                      <w:bCs/>
                      <w:color w:val="000000"/>
                      <w:szCs w:val="21"/>
                    </w:rPr>
                  </w:pPr>
                  <w:r>
                    <w:rPr>
                      <w:bCs/>
                      <w:color w:val="000000"/>
                      <w:szCs w:val="21"/>
                    </w:rPr>
                    <w:t>0.59</w:t>
                  </w:r>
                </w:p>
              </w:tc>
              <w:tc>
                <w:tcPr>
                  <w:tcW w:w="881" w:type="dxa"/>
                  <w:tcMar>
                    <w:top w:w="0" w:type="dxa"/>
                    <w:left w:w="57" w:type="dxa"/>
                    <w:bottom w:w="0" w:type="dxa"/>
                    <w:right w:w="57" w:type="dxa"/>
                  </w:tcMar>
                  <w:vAlign w:val="center"/>
                </w:tcPr>
                <w:p w14:paraId="6BC502CB">
                  <w:pPr>
                    <w:adjustRightInd w:val="0"/>
                    <w:snapToGrid w:val="0"/>
                    <w:jc w:val="center"/>
                    <w:rPr>
                      <w:bCs/>
                      <w:color w:val="000000"/>
                      <w:szCs w:val="21"/>
                    </w:rPr>
                  </w:pPr>
                  <w:r>
                    <w:rPr>
                      <w:bCs/>
                      <w:color w:val="000000"/>
                      <w:szCs w:val="21"/>
                    </w:rPr>
                    <w:t>0.61</w:t>
                  </w:r>
                </w:p>
              </w:tc>
              <w:tc>
                <w:tcPr>
                  <w:tcW w:w="881" w:type="dxa"/>
                  <w:tcMar>
                    <w:top w:w="0" w:type="dxa"/>
                    <w:left w:w="57" w:type="dxa"/>
                    <w:bottom w:w="0" w:type="dxa"/>
                    <w:right w:w="57" w:type="dxa"/>
                  </w:tcMar>
                  <w:vAlign w:val="center"/>
                </w:tcPr>
                <w:p w14:paraId="00090429">
                  <w:pPr>
                    <w:adjustRightInd w:val="0"/>
                    <w:snapToGrid w:val="0"/>
                    <w:jc w:val="center"/>
                    <w:rPr>
                      <w:bCs/>
                      <w:color w:val="000000"/>
                      <w:szCs w:val="21"/>
                    </w:rPr>
                  </w:pPr>
                  <w:r>
                    <w:rPr>
                      <w:bCs/>
                      <w:color w:val="000000"/>
                      <w:szCs w:val="21"/>
                    </w:rPr>
                    <w:t>0.64</w:t>
                  </w:r>
                </w:p>
              </w:tc>
              <w:tc>
                <w:tcPr>
                  <w:tcW w:w="882" w:type="dxa"/>
                  <w:tcMar>
                    <w:top w:w="0" w:type="dxa"/>
                    <w:left w:w="57" w:type="dxa"/>
                    <w:bottom w:w="0" w:type="dxa"/>
                    <w:right w:w="57" w:type="dxa"/>
                  </w:tcMar>
                  <w:vAlign w:val="center"/>
                </w:tcPr>
                <w:p w14:paraId="74F14746">
                  <w:pPr>
                    <w:adjustRightInd w:val="0"/>
                    <w:snapToGrid w:val="0"/>
                    <w:jc w:val="center"/>
                    <w:rPr>
                      <w:bCs/>
                      <w:color w:val="000000"/>
                      <w:szCs w:val="21"/>
                    </w:rPr>
                  </w:pPr>
                  <w:r>
                    <w:rPr>
                      <w:bCs/>
                      <w:color w:val="000000"/>
                      <w:szCs w:val="21"/>
                    </w:rPr>
                    <w:t>0.62</w:t>
                  </w:r>
                </w:p>
              </w:tc>
              <w:tc>
                <w:tcPr>
                  <w:tcW w:w="1092" w:type="dxa"/>
                  <w:tcMar>
                    <w:top w:w="0" w:type="dxa"/>
                    <w:left w:w="57" w:type="dxa"/>
                    <w:bottom w:w="0" w:type="dxa"/>
                    <w:right w:w="57" w:type="dxa"/>
                  </w:tcMar>
                  <w:vAlign w:val="center"/>
                </w:tcPr>
                <w:p w14:paraId="674832FA">
                  <w:pPr>
                    <w:adjustRightInd w:val="0"/>
                    <w:snapToGrid w:val="0"/>
                    <w:jc w:val="center"/>
                    <w:rPr>
                      <w:bCs/>
                      <w:color w:val="000000"/>
                      <w:szCs w:val="21"/>
                    </w:rPr>
                  </w:pPr>
                  <w:r>
                    <w:rPr>
                      <w:bCs/>
                      <w:color w:val="000000"/>
                      <w:szCs w:val="21"/>
                    </w:rPr>
                    <w:t>mg/L</w:t>
                  </w:r>
                </w:p>
              </w:tc>
            </w:tr>
            <w:tr w14:paraId="7115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62EE13BA">
                  <w:pPr>
                    <w:pStyle w:val="2"/>
                    <w:rPr>
                      <w:bCs/>
                      <w:sz w:val="21"/>
                      <w:szCs w:val="21"/>
                    </w:rPr>
                  </w:pPr>
                </w:p>
              </w:tc>
              <w:tc>
                <w:tcPr>
                  <w:tcW w:w="1204" w:type="dxa"/>
                  <w:vMerge w:val="continue"/>
                  <w:tcMar>
                    <w:top w:w="0" w:type="dxa"/>
                    <w:left w:w="57" w:type="dxa"/>
                    <w:bottom w:w="0" w:type="dxa"/>
                    <w:right w:w="57" w:type="dxa"/>
                  </w:tcMar>
                  <w:vAlign w:val="center"/>
                </w:tcPr>
                <w:p w14:paraId="6277C127">
                  <w:pPr>
                    <w:adjustRightInd w:val="0"/>
                    <w:snapToGrid w:val="0"/>
                    <w:jc w:val="center"/>
                    <w:rPr>
                      <w:bCs/>
                      <w:szCs w:val="21"/>
                    </w:rPr>
                  </w:pPr>
                </w:p>
              </w:tc>
              <w:tc>
                <w:tcPr>
                  <w:tcW w:w="1950" w:type="dxa"/>
                  <w:tcMar>
                    <w:top w:w="0" w:type="dxa"/>
                    <w:left w:w="57" w:type="dxa"/>
                    <w:bottom w:w="0" w:type="dxa"/>
                    <w:right w:w="57" w:type="dxa"/>
                  </w:tcMar>
                  <w:vAlign w:val="center"/>
                </w:tcPr>
                <w:p w14:paraId="2739D54E">
                  <w:pPr>
                    <w:spacing w:line="360" w:lineRule="exact"/>
                    <w:jc w:val="center"/>
                    <w:rPr>
                      <w:color w:val="000000"/>
                      <w:spacing w:val="-12"/>
                      <w:szCs w:val="21"/>
                    </w:rPr>
                  </w:pPr>
                  <w:r>
                    <w:rPr>
                      <w:szCs w:val="21"/>
                    </w:rPr>
                    <w:t>总氮</w:t>
                  </w:r>
                </w:p>
              </w:tc>
              <w:tc>
                <w:tcPr>
                  <w:tcW w:w="881" w:type="dxa"/>
                  <w:tcMar>
                    <w:top w:w="0" w:type="dxa"/>
                    <w:left w:w="57" w:type="dxa"/>
                    <w:bottom w:w="0" w:type="dxa"/>
                    <w:right w:w="57" w:type="dxa"/>
                  </w:tcMar>
                  <w:vAlign w:val="center"/>
                </w:tcPr>
                <w:p w14:paraId="70B8C688">
                  <w:pPr>
                    <w:adjustRightInd w:val="0"/>
                    <w:snapToGrid w:val="0"/>
                    <w:jc w:val="center"/>
                    <w:rPr>
                      <w:bCs/>
                      <w:color w:val="000000"/>
                      <w:szCs w:val="21"/>
                    </w:rPr>
                  </w:pPr>
                  <w:r>
                    <w:rPr>
                      <w:bCs/>
                      <w:color w:val="000000"/>
                      <w:szCs w:val="21"/>
                    </w:rPr>
                    <w:t>3.38</w:t>
                  </w:r>
                </w:p>
              </w:tc>
              <w:tc>
                <w:tcPr>
                  <w:tcW w:w="881" w:type="dxa"/>
                  <w:tcMar>
                    <w:top w:w="0" w:type="dxa"/>
                    <w:left w:w="57" w:type="dxa"/>
                    <w:bottom w:w="0" w:type="dxa"/>
                    <w:right w:w="57" w:type="dxa"/>
                  </w:tcMar>
                  <w:vAlign w:val="center"/>
                </w:tcPr>
                <w:p w14:paraId="7BA54E42">
                  <w:pPr>
                    <w:adjustRightInd w:val="0"/>
                    <w:snapToGrid w:val="0"/>
                    <w:jc w:val="center"/>
                    <w:rPr>
                      <w:bCs/>
                      <w:color w:val="000000"/>
                      <w:szCs w:val="21"/>
                    </w:rPr>
                  </w:pPr>
                  <w:r>
                    <w:rPr>
                      <w:bCs/>
                      <w:color w:val="000000"/>
                      <w:szCs w:val="21"/>
                    </w:rPr>
                    <w:t>3.57</w:t>
                  </w:r>
                </w:p>
              </w:tc>
              <w:tc>
                <w:tcPr>
                  <w:tcW w:w="881" w:type="dxa"/>
                  <w:tcMar>
                    <w:top w:w="0" w:type="dxa"/>
                    <w:left w:w="57" w:type="dxa"/>
                    <w:bottom w:w="0" w:type="dxa"/>
                    <w:right w:w="57" w:type="dxa"/>
                  </w:tcMar>
                  <w:vAlign w:val="center"/>
                </w:tcPr>
                <w:p w14:paraId="0FB827C0">
                  <w:pPr>
                    <w:adjustRightInd w:val="0"/>
                    <w:snapToGrid w:val="0"/>
                    <w:jc w:val="center"/>
                    <w:rPr>
                      <w:bCs/>
                      <w:color w:val="000000"/>
                      <w:szCs w:val="21"/>
                    </w:rPr>
                  </w:pPr>
                  <w:r>
                    <w:rPr>
                      <w:bCs/>
                      <w:color w:val="000000"/>
                      <w:szCs w:val="21"/>
                    </w:rPr>
                    <w:t>3.50</w:t>
                  </w:r>
                </w:p>
              </w:tc>
              <w:tc>
                <w:tcPr>
                  <w:tcW w:w="882" w:type="dxa"/>
                  <w:tcMar>
                    <w:top w:w="0" w:type="dxa"/>
                    <w:left w:w="57" w:type="dxa"/>
                    <w:bottom w:w="0" w:type="dxa"/>
                    <w:right w:w="57" w:type="dxa"/>
                  </w:tcMar>
                  <w:vAlign w:val="center"/>
                </w:tcPr>
                <w:p w14:paraId="26D9A846">
                  <w:pPr>
                    <w:adjustRightInd w:val="0"/>
                    <w:snapToGrid w:val="0"/>
                    <w:jc w:val="center"/>
                    <w:rPr>
                      <w:bCs/>
                      <w:color w:val="000000"/>
                      <w:szCs w:val="21"/>
                    </w:rPr>
                  </w:pPr>
                  <w:r>
                    <w:rPr>
                      <w:bCs/>
                      <w:color w:val="000000"/>
                      <w:szCs w:val="21"/>
                    </w:rPr>
                    <w:t>3.37</w:t>
                  </w:r>
                </w:p>
              </w:tc>
              <w:tc>
                <w:tcPr>
                  <w:tcW w:w="1092" w:type="dxa"/>
                  <w:tcMar>
                    <w:top w:w="0" w:type="dxa"/>
                    <w:left w:w="57" w:type="dxa"/>
                    <w:bottom w:w="0" w:type="dxa"/>
                    <w:right w:w="57" w:type="dxa"/>
                  </w:tcMar>
                  <w:vAlign w:val="center"/>
                </w:tcPr>
                <w:p w14:paraId="07194FC3">
                  <w:pPr>
                    <w:adjustRightInd w:val="0"/>
                    <w:snapToGrid w:val="0"/>
                    <w:jc w:val="center"/>
                    <w:rPr>
                      <w:bCs/>
                      <w:color w:val="000000"/>
                      <w:szCs w:val="21"/>
                    </w:rPr>
                  </w:pPr>
                  <w:r>
                    <w:rPr>
                      <w:bCs/>
                      <w:color w:val="000000"/>
                      <w:szCs w:val="21"/>
                    </w:rPr>
                    <w:t>mg/L</w:t>
                  </w:r>
                </w:p>
              </w:tc>
            </w:tr>
            <w:tr w14:paraId="55A8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26B92249">
                  <w:pPr>
                    <w:pStyle w:val="2"/>
                    <w:rPr>
                      <w:bCs/>
                      <w:sz w:val="21"/>
                      <w:szCs w:val="21"/>
                    </w:rPr>
                  </w:pPr>
                </w:p>
              </w:tc>
              <w:tc>
                <w:tcPr>
                  <w:tcW w:w="1204" w:type="dxa"/>
                  <w:vMerge w:val="continue"/>
                  <w:tcMar>
                    <w:top w:w="0" w:type="dxa"/>
                    <w:left w:w="57" w:type="dxa"/>
                    <w:bottom w:w="0" w:type="dxa"/>
                    <w:right w:w="57" w:type="dxa"/>
                  </w:tcMar>
                  <w:vAlign w:val="center"/>
                </w:tcPr>
                <w:p w14:paraId="27651094">
                  <w:pPr>
                    <w:adjustRightInd w:val="0"/>
                    <w:snapToGrid w:val="0"/>
                    <w:jc w:val="center"/>
                    <w:rPr>
                      <w:bCs/>
                      <w:szCs w:val="21"/>
                    </w:rPr>
                  </w:pPr>
                </w:p>
              </w:tc>
              <w:tc>
                <w:tcPr>
                  <w:tcW w:w="1950" w:type="dxa"/>
                  <w:tcMar>
                    <w:top w:w="0" w:type="dxa"/>
                    <w:left w:w="57" w:type="dxa"/>
                    <w:bottom w:w="0" w:type="dxa"/>
                    <w:right w:w="57" w:type="dxa"/>
                  </w:tcMar>
                  <w:vAlign w:val="center"/>
                </w:tcPr>
                <w:p w14:paraId="6B39D13C">
                  <w:pPr>
                    <w:spacing w:line="360" w:lineRule="exact"/>
                    <w:jc w:val="center"/>
                    <w:rPr>
                      <w:color w:val="000000"/>
                      <w:spacing w:val="-12"/>
                      <w:szCs w:val="21"/>
                    </w:rPr>
                  </w:pPr>
                  <w:r>
                    <w:rPr>
                      <w:color w:val="000000"/>
                      <w:spacing w:val="-12"/>
                      <w:szCs w:val="21"/>
                    </w:rPr>
                    <w:t>化学需氧量</w:t>
                  </w:r>
                </w:p>
              </w:tc>
              <w:tc>
                <w:tcPr>
                  <w:tcW w:w="881" w:type="dxa"/>
                  <w:tcMar>
                    <w:top w:w="0" w:type="dxa"/>
                    <w:left w:w="57" w:type="dxa"/>
                    <w:bottom w:w="0" w:type="dxa"/>
                    <w:right w:w="57" w:type="dxa"/>
                  </w:tcMar>
                  <w:vAlign w:val="center"/>
                </w:tcPr>
                <w:p w14:paraId="241CD1FA">
                  <w:pPr>
                    <w:adjustRightInd w:val="0"/>
                    <w:snapToGrid w:val="0"/>
                    <w:jc w:val="center"/>
                    <w:rPr>
                      <w:bCs/>
                      <w:color w:val="000000"/>
                      <w:szCs w:val="21"/>
                    </w:rPr>
                  </w:pPr>
                  <w:r>
                    <w:rPr>
                      <w:bCs/>
                      <w:color w:val="000000"/>
                      <w:szCs w:val="21"/>
                    </w:rPr>
                    <w:t>78</w:t>
                  </w:r>
                </w:p>
              </w:tc>
              <w:tc>
                <w:tcPr>
                  <w:tcW w:w="881" w:type="dxa"/>
                  <w:tcMar>
                    <w:top w:w="0" w:type="dxa"/>
                    <w:left w:w="57" w:type="dxa"/>
                    <w:bottom w:w="0" w:type="dxa"/>
                    <w:right w:w="57" w:type="dxa"/>
                  </w:tcMar>
                  <w:vAlign w:val="center"/>
                </w:tcPr>
                <w:p w14:paraId="00B01BF2">
                  <w:pPr>
                    <w:adjustRightInd w:val="0"/>
                    <w:snapToGrid w:val="0"/>
                    <w:jc w:val="center"/>
                    <w:rPr>
                      <w:bCs/>
                      <w:color w:val="000000"/>
                      <w:szCs w:val="21"/>
                    </w:rPr>
                  </w:pPr>
                  <w:r>
                    <w:rPr>
                      <w:bCs/>
                      <w:color w:val="000000"/>
                      <w:szCs w:val="21"/>
                    </w:rPr>
                    <w:t>69</w:t>
                  </w:r>
                </w:p>
              </w:tc>
              <w:tc>
                <w:tcPr>
                  <w:tcW w:w="881" w:type="dxa"/>
                  <w:tcMar>
                    <w:top w:w="0" w:type="dxa"/>
                    <w:left w:w="57" w:type="dxa"/>
                    <w:bottom w:w="0" w:type="dxa"/>
                    <w:right w:w="57" w:type="dxa"/>
                  </w:tcMar>
                  <w:vAlign w:val="center"/>
                </w:tcPr>
                <w:p w14:paraId="7F2CC842">
                  <w:pPr>
                    <w:adjustRightInd w:val="0"/>
                    <w:snapToGrid w:val="0"/>
                    <w:jc w:val="center"/>
                    <w:rPr>
                      <w:bCs/>
                      <w:color w:val="000000"/>
                      <w:szCs w:val="21"/>
                    </w:rPr>
                  </w:pPr>
                  <w:r>
                    <w:rPr>
                      <w:bCs/>
                      <w:color w:val="000000"/>
                      <w:szCs w:val="21"/>
                    </w:rPr>
                    <w:t>67</w:t>
                  </w:r>
                </w:p>
              </w:tc>
              <w:tc>
                <w:tcPr>
                  <w:tcW w:w="882" w:type="dxa"/>
                  <w:tcMar>
                    <w:top w:w="0" w:type="dxa"/>
                    <w:left w:w="57" w:type="dxa"/>
                    <w:bottom w:w="0" w:type="dxa"/>
                    <w:right w:w="57" w:type="dxa"/>
                  </w:tcMar>
                  <w:vAlign w:val="center"/>
                </w:tcPr>
                <w:p w14:paraId="740B98C4">
                  <w:pPr>
                    <w:adjustRightInd w:val="0"/>
                    <w:snapToGrid w:val="0"/>
                    <w:jc w:val="center"/>
                    <w:rPr>
                      <w:bCs/>
                      <w:color w:val="000000"/>
                      <w:szCs w:val="21"/>
                    </w:rPr>
                  </w:pPr>
                  <w:r>
                    <w:rPr>
                      <w:bCs/>
                      <w:color w:val="000000"/>
                      <w:szCs w:val="21"/>
                    </w:rPr>
                    <w:t>72</w:t>
                  </w:r>
                </w:p>
              </w:tc>
              <w:tc>
                <w:tcPr>
                  <w:tcW w:w="1092" w:type="dxa"/>
                  <w:tcMar>
                    <w:top w:w="0" w:type="dxa"/>
                    <w:left w:w="57" w:type="dxa"/>
                    <w:bottom w:w="0" w:type="dxa"/>
                    <w:right w:w="57" w:type="dxa"/>
                  </w:tcMar>
                  <w:vAlign w:val="center"/>
                </w:tcPr>
                <w:p w14:paraId="7BF08844">
                  <w:pPr>
                    <w:adjustRightInd w:val="0"/>
                    <w:snapToGrid w:val="0"/>
                    <w:jc w:val="center"/>
                    <w:rPr>
                      <w:bCs/>
                      <w:color w:val="000000"/>
                      <w:szCs w:val="21"/>
                    </w:rPr>
                  </w:pPr>
                  <w:r>
                    <w:rPr>
                      <w:bCs/>
                      <w:color w:val="000000"/>
                      <w:szCs w:val="21"/>
                    </w:rPr>
                    <w:t>mg/L</w:t>
                  </w:r>
                </w:p>
              </w:tc>
            </w:tr>
            <w:tr w14:paraId="5ADB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2B321878">
                  <w:pPr>
                    <w:pStyle w:val="2"/>
                    <w:rPr>
                      <w:bCs/>
                      <w:sz w:val="21"/>
                      <w:szCs w:val="21"/>
                    </w:rPr>
                  </w:pPr>
                </w:p>
              </w:tc>
              <w:tc>
                <w:tcPr>
                  <w:tcW w:w="1204" w:type="dxa"/>
                  <w:vMerge w:val="restart"/>
                  <w:tcMar>
                    <w:top w:w="0" w:type="dxa"/>
                    <w:left w:w="57" w:type="dxa"/>
                    <w:bottom w:w="0" w:type="dxa"/>
                    <w:right w:w="57" w:type="dxa"/>
                  </w:tcMar>
                  <w:vAlign w:val="center"/>
                </w:tcPr>
                <w:p w14:paraId="3BE17010">
                  <w:pPr>
                    <w:adjustRightInd w:val="0"/>
                    <w:snapToGrid w:val="0"/>
                    <w:jc w:val="center"/>
                    <w:rPr>
                      <w:bCs/>
                      <w:szCs w:val="21"/>
                    </w:rPr>
                  </w:pPr>
                  <w:r>
                    <w:rPr>
                      <w:bCs/>
                      <w:szCs w:val="21"/>
                    </w:rPr>
                    <w:t>生产废水处理设施进水口</w:t>
                  </w:r>
                </w:p>
              </w:tc>
              <w:tc>
                <w:tcPr>
                  <w:tcW w:w="1950" w:type="dxa"/>
                  <w:tcMar>
                    <w:top w:w="0" w:type="dxa"/>
                    <w:left w:w="57" w:type="dxa"/>
                    <w:bottom w:w="0" w:type="dxa"/>
                    <w:right w:w="57" w:type="dxa"/>
                  </w:tcMar>
                  <w:vAlign w:val="center"/>
                </w:tcPr>
                <w:p w14:paraId="5294DFB1">
                  <w:pPr>
                    <w:spacing w:line="360" w:lineRule="exact"/>
                    <w:jc w:val="center"/>
                    <w:rPr>
                      <w:color w:val="000000"/>
                      <w:spacing w:val="-12"/>
                      <w:szCs w:val="21"/>
                    </w:rPr>
                  </w:pPr>
                  <w:r>
                    <w:rPr>
                      <w:color w:val="000000"/>
                      <w:szCs w:val="21"/>
                    </w:rPr>
                    <w:t>pH</w:t>
                  </w:r>
                  <w:r>
                    <w:rPr>
                      <w:color w:val="000000"/>
                      <w:spacing w:val="-12"/>
                      <w:szCs w:val="21"/>
                    </w:rPr>
                    <w:t>值</w:t>
                  </w:r>
                </w:p>
              </w:tc>
              <w:tc>
                <w:tcPr>
                  <w:tcW w:w="881" w:type="dxa"/>
                  <w:tcMar>
                    <w:top w:w="0" w:type="dxa"/>
                    <w:left w:w="57" w:type="dxa"/>
                    <w:bottom w:w="0" w:type="dxa"/>
                    <w:right w:w="57" w:type="dxa"/>
                  </w:tcMar>
                  <w:vAlign w:val="center"/>
                </w:tcPr>
                <w:p w14:paraId="345666E3">
                  <w:pPr>
                    <w:adjustRightInd w:val="0"/>
                    <w:snapToGrid w:val="0"/>
                    <w:jc w:val="center"/>
                    <w:rPr>
                      <w:bCs/>
                      <w:color w:val="000000"/>
                      <w:szCs w:val="21"/>
                    </w:rPr>
                  </w:pPr>
                  <w:r>
                    <w:rPr>
                      <w:bCs/>
                      <w:color w:val="000000"/>
                      <w:szCs w:val="21"/>
                    </w:rPr>
                    <w:t>7.1</w:t>
                  </w:r>
                </w:p>
              </w:tc>
              <w:tc>
                <w:tcPr>
                  <w:tcW w:w="881" w:type="dxa"/>
                  <w:tcMar>
                    <w:top w:w="0" w:type="dxa"/>
                    <w:left w:w="57" w:type="dxa"/>
                    <w:bottom w:w="0" w:type="dxa"/>
                    <w:right w:w="57" w:type="dxa"/>
                  </w:tcMar>
                  <w:vAlign w:val="center"/>
                </w:tcPr>
                <w:p w14:paraId="71B5E748">
                  <w:pPr>
                    <w:adjustRightInd w:val="0"/>
                    <w:snapToGrid w:val="0"/>
                    <w:jc w:val="center"/>
                    <w:rPr>
                      <w:bCs/>
                      <w:color w:val="000000"/>
                      <w:szCs w:val="21"/>
                    </w:rPr>
                  </w:pPr>
                  <w:r>
                    <w:rPr>
                      <w:bCs/>
                      <w:color w:val="000000"/>
                      <w:szCs w:val="21"/>
                    </w:rPr>
                    <w:t>7.1</w:t>
                  </w:r>
                </w:p>
              </w:tc>
              <w:tc>
                <w:tcPr>
                  <w:tcW w:w="881" w:type="dxa"/>
                  <w:tcMar>
                    <w:top w:w="0" w:type="dxa"/>
                    <w:left w:w="57" w:type="dxa"/>
                    <w:bottom w:w="0" w:type="dxa"/>
                    <w:right w:w="57" w:type="dxa"/>
                  </w:tcMar>
                  <w:vAlign w:val="center"/>
                </w:tcPr>
                <w:p w14:paraId="6A76A6AC">
                  <w:pPr>
                    <w:adjustRightInd w:val="0"/>
                    <w:snapToGrid w:val="0"/>
                    <w:jc w:val="center"/>
                    <w:rPr>
                      <w:bCs/>
                      <w:color w:val="000000"/>
                      <w:szCs w:val="21"/>
                    </w:rPr>
                  </w:pPr>
                  <w:r>
                    <w:rPr>
                      <w:bCs/>
                      <w:color w:val="000000"/>
                      <w:szCs w:val="21"/>
                    </w:rPr>
                    <w:t>7.3</w:t>
                  </w:r>
                </w:p>
              </w:tc>
              <w:tc>
                <w:tcPr>
                  <w:tcW w:w="882" w:type="dxa"/>
                  <w:tcMar>
                    <w:top w:w="0" w:type="dxa"/>
                    <w:left w:w="57" w:type="dxa"/>
                    <w:bottom w:w="0" w:type="dxa"/>
                    <w:right w:w="57" w:type="dxa"/>
                  </w:tcMar>
                  <w:vAlign w:val="center"/>
                </w:tcPr>
                <w:p w14:paraId="64E4F584">
                  <w:pPr>
                    <w:adjustRightInd w:val="0"/>
                    <w:snapToGrid w:val="0"/>
                    <w:jc w:val="center"/>
                    <w:rPr>
                      <w:bCs/>
                      <w:color w:val="000000"/>
                      <w:szCs w:val="21"/>
                    </w:rPr>
                  </w:pPr>
                  <w:r>
                    <w:rPr>
                      <w:bCs/>
                      <w:color w:val="000000"/>
                      <w:szCs w:val="21"/>
                    </w:rPr>
                    <w:t>7.2</w:t>
                  </w:r>
                </w:p>
              </w:tc>
              <w:tc>
                <w:tcPr>
                  <w:tcW w:w="1092" w:type="dxa"/>
                  <w:tcMar>
                    <w:top w:w="0" w:type="dxa"/>
                    <w:left w:w="57" w:type="dxa"/>
                    <w:bottom w:w="0" w:type="dxa"/>
                    <w:right w:w="57" w:type="dxa"/>
                  </w:tcMar>
                  <w:vAlign w:val="center"/>
                </w:tcPr>
                <w:p w14:paraId="3EABAB69">
                  <w:pPr>
                    <w:adjustRightInd w:val="0"/>
                    <w:snapToGrid w:val="0"/>
                    <w:jc w:val="center"/>
                    <w:rPr>
                      <w:bCs/>
                      <w:color w:val="000000"/>
                      <w:szCs w:val="21"/>
                    </w:rPr>
                  </w:pPr>
                  <w:r>
                    <w:rPr>
                      <w:bCs/>
                      <w:color w:val="000000"/>
                      <w:szCs w:val="21"/>
                    </w:rPr>
                    <w:t>无量纲</w:t>
                  </w:r>
                </w:p>
              </w:tc>
            </w:tr>
            <w:tr w14:paraId="01B0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0A981314">
                  <w:pPr>
                    <w:pStyle w:val="2"/>
                    <w:rPr>
                      <w:bCs/>
                      <w:sz w:val="21"/>
                      <w:szCs w:val="21"/>
                    </w:rPr>
                  </w:pPr>
                </w:p>
              </w:tc>
              <w:tc>
                <w:tcPr>
                  <w:tcW w:w="1204" w:type="dxa"/>
                  <w:vMerge w:val="continue"/>
                  <w:tcMar>
                    <w:top w:w="0" w:type="dxa"/>
                    <w:left w:w="57" w:type="dxa"/>
                    <w:bottom w:w="0" w:type="dxa"/>
                    <w:right w:w="57" w:type="dxa"/>
                  </w:tcMar>
                  <w:vAlign w:val="center"/>
                </w:tcPr>
                <w:p w14:paraId="0720A7FB">
                  <w:pPr>
                    <w:adjustRightInd w:val="0"/>
                    <w:snapToGrid w:val="0"/>
                    <w:jc w:val="center"/>
                    <w:rPr>
                      <w:bCs/>
                      <w:szCs w:val="21"/>
                    </w:rPr>
                  </w:pPr>
                </w:p>
              </w:tc>
              <w:tc>
                <w:tcPr>
                  <w:tcW w:w="1950" w:type="dxa"/>
                  <w:tcMar>
                    <w:top w:w="0" w:type="dxa"/>
                    <w:left w:w="57" w:type="dxa"/>
                    <w:bottom w:w="0" w:type="dxa"/>
                    <w:right w:w="57" w:type="dxa"/>
                  </w:tcMar>
                  <w:vAlign w:val="center"/>
                </w:tcPr>
                <w:p w14:paraId="0AD90720">
                  <w:pPr>
                    <w:spacing w:line="360" w:lineRule="exact"/>
                    <w:jc w:val="center"/>
                    <w:rPr>
                      <w:color w:val="000000"/>
                      <w:spacing w:val="-12"/>
                      <w:szCs w:val="21"/>
                    </w:rPr>
                  </w:pPr>
                  <w:r>
                    <w:rPr>
                      <w:color w:val="000000"/>
                      <w:spacing w:val="-12"/>
                      <w:szCs w:val="21"/>
                    </w:rPr>
                    <w:t>悬浮物</w:t>
                  </w:r>
                </w:p>
              </w:tc>
              <w:tc>
                <w:tcPr>
                  <w:tcW w:w="881" w:type="dxa"/>
                  <w:tcMar>
                    <w:top w:w="0" w:type="dxa"/>
                    <w:left w:w="57" w:type="dxa"/>
                    <w:bottom w:w="0" w:type="dxa"/>
                    <w:right w:w="57" w:type="dxa"/>
                  </w:tcMar>
                  <w:vAlign w:val="center"/>
                </w:tcPr>
                <w:p w14:paraId="42F32048">
                  <w:pPr>
                    <w:adjustRightInd w:val="0"/>
                    <w:snapToGrid w:val="0"/>
                    <w:jc w:val="center"/>
                    <w:rPr>
                      <w:bCs/>
                      <w:color w:val="000000"/>
                      <w:szCs w:val="21"/>
                    </w:rPr>
                  </w:pPr>
                  <w:r>
                    <w:rPr>
                      <w:bCs/>
                      <w:color w:val="000000"/>
                      <w:szCs w:val="21"/>
                    </w:rPr>
                    <w:t>41</w:t>
                  </w:r>
                </w:p>
              </w:tc>
              <w:tc>
                <w:tcPr>
                  <w:tcW w:w="881" w:type="dxa"/>
                  <w:tcMar>
                    <w:top w:w="0" w:type="dxa"/>
                    <w:left w:w="57" w:type="dxa"/>
                    <w:bottom w:w="0" w:type="dxa"/>
                    <w:right w:w="57" w:type="dxa"/>
                  </w:tcMar>
                  <w:vAlign w:val="center"/>
                </w:tcPr>
                <w:p w14:paraId="042A32D7">
                  <w:pPr>
                    <w:adjustRightInd w:val="0"/>
                    <w:snapToGrid w:val="0"/>
                    <w:jc w:val="center"/>
                    <w:rPr>
                      <w:bCs/>
                      <w:color w:val="000000"/>
                      <w:szCs w:val="21"/>
                    </w:rPr>
                  </w:pPr>
                  <w:r>
                    <w:rPr>
                      <w:bCs/>
                      <w:color w:val="000000"/>
                      <w:szCs w:val="21"/>
                    </w:rPr>
                    <w:t>40</w:t>
                  </w:r>
                </w:p>
              </w:tc>
              <w:tc>
                <w:tcPr>
                  <w:tcW w:w="881" w:type="dxa"/>
                  <w:tcMar>
                    <w:top w:w="0" w:type="dxa"/>
                    <w:left w:w="57" w:type="dxa"/>
                    <w:bottom w:w="0" w:type="dxa"/>
                    <w:right w:w="57" w:type="dxa"/>
                  </w:tcMar>
                  <w:vAlign w:val="center"/>
                </w:tcPr>
                <w:p w14:paraId="61ED1CEC">
                  <w:pPr>
                    <w:adjustRightInd w:val="0"/>
                    <w:snapToGrid w:val="0"/>
                    <w:jc w:val="center"/>
                    <w:rPr>
                      <w:bCs/>
                      <w:color w:val="000000"/>
                      <w:szCs w:val="21"/>
                    </w:rPr>
                  </w:pPr>
                  <w:r>
                    <w:rPr>
                      <w:bCs/>
                      <w:color w:val="000000"/>
                      <w:szCs w:val="21"/>
                    </w:rPr>
                    <w:t>42</w:t>
                  </w:r>
                </w:p>
              </w:tc>
              <w:tc>
                <w:tcPr>
                  <w:tcW w:w="882" w:type="dxa"/>
                  <w:tcMar>
                    <w:top w:w="0" w:type="dxa"/>
                    <w:left w:w="57" w:type="dxa"/>
                    <w:bottom w:w="0" w:type="dxa"/>
                    <w:right w:w="57" w:type="dxa"/>
                  </w:tcMar>
                  <w:vAlign w:val="center"/>
                </w:tcPr>
                <w:p w14:paraId="607B7A20">
                  <w:pPr>
                    <w:adjustRightInd w:val="0"/>
                    <w:snapToGrid w:val="0"/>
                    <w:jc w:val="center"/>
                    <w:rPr>
                      <w:bCs/>
                      <w:color w:val="000000"/>
                      <w:szCs w:val="21"/>
                    </w:rPr>
                  </w:pPr>
                  <w:r>
                    <w:rPr>
                      <w:bCs/>
                      <w:color w:val="000000"/>
                      <w:szCs w:val="21"/>
                    </w:rPr>
                    <w:t>43</w:t>
                  </w:r>
                </w:p>
              </w:tc>
              <w:tc>
                <w:tcPr>
                  <w:tcW w:w="1092" w:type="dxa"/>
                  <w:tcMar>
                    <w:top w:w="0" w:type="dxa"/>
                    <w:left w:w="57" w:type="dxa"/>
                    <w:bottom w:w="0" w:type="dxa"/>
                    <w:right w:w="57" w:type="dxa"/>
                  </w:tcMar>
                  <w:vAlign w:val="center"/>
                </w:tcPr>
                <w:p w14:paraId="7C090925">
                  <w:pPr>
                    <w:adjustRightInd w:val="0"/>
                    <w:snapToGrid w:val="0"/>
                    <w:jc w:val="center"/>
                    <w:rPr>
                      <w:bCs/>
                      <w:color w:val="000000"/>
                      <w:szCs w:val="21"/>
                    </w:rPr>
                  </w:pPr>
                  <w:r>
                    <w:rPr>
                      <w:bCs/>
                      <w:color w:val="000000"/>
                      <w:szCs w:val="21"/>
                    </w:rPr>
                    <w:t>mg/L</w:t>
                  </w:r>
                </w:p>
              </w:tc>
            </w:tr>
            <w:tr w14:paraId="1F43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46E98A93">
                  <w:pPr>
                    <w:pStyle w:val="2"/>
                    <w:rPr>
                      <w:bCs/>
                      <w:sz w:val="21"/>
                      <w:szCs w:val="21"/>
                    </w:rPr>
                  </w:pPr>
                </w:p>
              </w:tc>
              <w:tc>
                <w:tcPr>
                  <w:tcW w:w="1204" w:type="dxa"/>
                  <w:vMerge w:val="continue"/>
                  <w:tcMar>
                    <w:top w:w="0" w:type="dxa"/>
                    <w:left w:w="57" w:type="dxa"/>
                    <w:bottom w:w="0" w:type="dxa"/>
                    <w:right w:w="57" w:type="dxa"/>
                  </w:tcMar>
                  <w:vAlign w:val="center"/>
                </w:tcPr>
                <w:p w14:paraId="08760678">
                  <w:pPr>
                    <w:adjustRightInd w:val="0"/>
                    <w:snapToGrid w:val="0"/>
                    <w:jc w:val="center"/>
                    <w:rPr>
                      <w:bCs/>
                      <w:szCs w:val="21"/>
                    </w:rPr>
                  </w:pPr>
                </w:p>
              </w:tc>
              <w:tc>
                <w:tcPr>
                  <w:tcW w:w="1950" w:type="dxa"/>
                  <w:tcMar>
                    <w:top w:w="0" w:type="dxa"/>
                    <w:left w:w="57" w:type="dxa"/>
                    <w:bottom w:w="0" w:type="dxa"/>
                    <w:right w:w="57" w:type="dxa"/>
                  </w:tcMar>
                  <w:vAlign w:val="center"/>
                </w:tcPr>
                <w:p w14:paraId="32E2CDA3">
                  <w:pPr>
                    <w:spacing w:line="360" w:lineRule="exact"/>
                    <w:jc w:val="center"/>
                    <w:rPr>
                      <w:color w:val="000000"/>
                      <w:spacing w:val="-12"/>
                      <w:szCs w:val="21"/>
                    </w:rPr>
                  </w:pPr>
                  <w:r>
                    <w:rPr>
                      <w:color w:val="000000"/>
                      <w:szCs w:val="21"/>
                    </w:rPr>
                    <w:t>五日生化需氧量</w:t>
                  </w:r>
                </w:p>
              </w:tc>
              <w:tc>
                <w:tcPr>
                  <w:tcW w:w="881" w:type="dxa"/>
                  <w:tcMar>
                    <w:top w:w="0" w:type="dxa"/>
                    <w:left w:w="57" w:type="dxa"/>
                    <w:bottom w:w="0" w:type="dxa"/>
                    <w:right w:w="57" w:type="dxa"/>
                  </w:tcMar>
                  <w:vAlign w:val="center"/>
                </w:tcPr>
                <w:p w14:paraId="41F7A7DA">
                  <w:pPr>
                    <w:adjustRightInd w:val="0"/>
                    <w:snapToGrid w:val="0"/>
                    <w:jc w:val="center"/>
                    <w:rPr>
                      <w:bCs/>
                      <w:color w:val="000000"/>
                      <w:szCs w:val="21"/>
                    </w:rPr>
                  </w:pPr>
                  <w:r>
                    <w:rPr>
                      <w:bCs/>
                      <w:color w:val="000000"/>
                      <w:szCs w:val="21"/>
                    </w:rPr>
                    <w:t>31.1</w:t>
                  </w:r>
                </w:p>
              </w:tc>
              <w:tc>
                <w:tcPr>
                  <w:tcW w:w="881" w:type="dxa"/>
                  <w:tcMar>
                    <w:top w:w="0" w:type="dxa"/>
                    <w:left w:w="57" w:type="dxa"/>
                    <w:bottom w:w="0" w:type="dxa"/>
                    <w:right w:w="57" w:type="dxa"/>
                  </w:tcMar>
                  <w:vAlign w:val="center"/>
                </w:tcPr>
                <w:p w14:paraId="54EF3487">
                  <w:pPr>
                    <w:adjustRightInd w:val="0"/>
                    <w:snapToGrid w:val="0"/>
                    <w:jc w:val="center"/>
                    <w:rPr>
                      <w:bCs/>
                      <w:color w:val="000000"/>
                      <w:szCs w:val="21"/>
                    </w:rPr>
                  </w:pPr>
                  <w:r>
                    <w:rPr>
                      <w:bCs/>
                      <w:color w:val="000000"/>
                      <w:szCs w:val="21"/>
                    </w:rPr>
                    <w:t>32.7</w:t>
                  </w:r>
                </w:p>
              </w:tc>
              <w:tc>
                <w:tcPr>
                  <w:tcW w:w="881" w:type="dxa"/>
                  <w:tcMar>
                    <w:top w:w="0" w:type="dxa"/>
                    <w:left w:w="57" w:type="dxa"/>
                    <w:bottom w:w="0" w:type="dxa"/>
                    <w:right w:w="57" w:type="dxa"/>
                  </w:tcMar>
                  <w:vAlign w:val="center"/>
                </w:tcPr>
                <w:p w14:paraId="77BF132E">
                  <w:pPr>
                    <w:adjustRightInd w:val="0"/>
                    <w:snapToGrid w:val="0"/>
                    <w:jc w:val="center"/>
                    <w:rPr>
                      <w:bCs/>
                      <w:color w:val="000000"/>
                      <w:szCs w:val="21"/>
                    </w:rPr>
                  </w:pPr>
                  <w:r>
                    <w:rPr>
                      <w:bCs/>
                      <w:color w:val="000000"/>
                      <w:szCs w:val="21"/>
                    </w:rPr>
                    <w:t>34.5</w:t>
                  </w:r>
                </w:p>
              </w:tc>
              <w:tc>
                <w:tcPr>
                  <w:tcW w:w="882" w:type="dxa"/>
                  <w:tcMar>
                    <w:top w:w="0" w:type="dxa"/>
                    <w:left w:w="57" w:type="dxa"/>
                    <w:bottom w:w="0" w:type="dxa"/>
                    <w:right w:w="57" w:type="dxa"/>
                  </w:tcMar>
                  <w:vAlign w:val="center"/>
                </w:tcPr>
                <w:p w14:paraId="784FBA60">
                  <w:pPr>
                    <w:adjustRightInd w:val="0"/>
                    <w:snapToGrid w:val="0"/>
                    <w:jc w:val="center"/>
                    <w:rPr>
                      <w:bCs/>
                      <w:color w:val="000000"/>
                      <w:szCs w:val="21"/>
                    </w:rPr>
                  </w:pPr>
                  <w:r>
                    <w:rPr>
                      <w:bCs/>
                      <w:color w:val="000000"/>
                      <w:szCs w:val="21"/>
                    </w:rPr>
                    <w:t>32.1</w:t>
                  </w:r>
                </w:p>
              </w:tc>
              <w:tc>
                <w:tcPr>
                  <w:tcW w:w="1092" w:type="dxa"/>
                  <w:tcMar>
                    <w:top w:w="0" w:type="dxa"/>
                    <w:left w:w="57" w:type="dxa"/>
                    <w:bottom w:w="0" w:type="dxa"/>
                    <w:right w:w="57" w:type="dxa"/>
                  </w:tcMar>
                  <w:vAlign w:val="center"/>
                </w:tcPr>
                <w:p w14:paraId="25AE0005">
                  <w:pPr>
                    <w:adjustRightInd w:val="0"/>
                    <w:snapToGrid w:val="0"/>
                    <w:jc w:val="center"/>
                    <w:rPr>
                      <w:bCs/>
                      <w:color w:val="000000"/>
                      <w:szCs w:val="21"/>
                    </w:rPr>
                  </w:pPr>
                  <w:r>
                    <w:rPr>
                      <w:bCs/>
                      <w:color w:val="000000"/>
                      <w:szCs w:val="21"/>
                    </w:rPr>
                    <w:t>mg/L</w:t>
                  </w:r>
                </w:p>
              </w:tc>
            </w:tr>
            <w:tr w14:paraId="0F47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5D3ABE7A">
                  <w:pPr>
                    <w:pStyle w:val="2"/>
                    <w:rPr>
                      <w:bCs/>
                      <w:sz w:val="21"/>
                      <w:szCs w:val="21"/>
                    </w:rPr>
                  </w:pPr>
                </w:p>
              </w:tc>
              <w:tc>
                <w:tcPr>
                  <w:tcW w:w="1204" w:type="dxa"/>
                  <w:vMerge w:val="continue"/>
                  <w:tcMar>
                    <w:top w:w="0" w:type="dxa"/>
                    <w:left w:w="57" w:type="dxa"/>
                    <w:bottom w:w="0" w:type="dxa"/>
                    <w:right w:w="57" w:type="dxa"/>
                  </w:tcMar>
                  <w:vAlign w:val="center"/>
                </w:tcPr>
                <w:p w14:paraId="31AA2517">
                  <w:pPr>
                    <w:adjustRightInd w:val="0"/>
                    <w:snapToGrid w:val="0"/>
                    <w:jc w:val="center"/>
                    <w:rPr>
                      <w:bCs/>
                      <w:szCs w:val="21"/>
                    </w:rPr>
                  </w:pPr>
                </w:p>
              </w:tc>
              <w:tc>
                <w:tcPr>
                  <w:tcW w:w="1950" w:type="dxa"/>
                  <w:tcMar>
                    <w:top w:w="0" w:type="dxa"/>
                    <w:left w:w="57" w:type="dxa"/>
                    <w:bottom w:w="0" w:type="dxa"/>
                    <w:right w:w="57" w:type="dxa"/>
                  </w:tcMar>
                  <w:vAlign w:val="center"/>
                </w:tcPr>
                <w:p w14:paraId="675DA3DE">
                  <w:pPr>
                    <w:spacing w:line="360" w:lineRule="exact"/>
                    <w:jc w:val="center"/>
                    <w:rPr>
                      <w:color w:val="000000"/>
                      <w:spacing w:val="-12"/>
                      <w:szCs w:val="21"/>
                    </w:rPr>
                  </w:pPr>
                  <w:r>
                    <w:rPr>
                      <w:color w:val="000000"/>
                      <w:spacing w:val="-12"/>
                      <w:szCs w:val="21"/>
                    </w:rPr>
                    <w:t>氨氮</w:t>
                  </w:r>
                </w:p>
              </w:tc>
              <w:tc>
                <w:tcPr>
                  <w:tcW w:w="881" w:type="dxa"/>
                  <w:tcMar>
                    <w:top w:w="0" w:type="dxa"/>
                    <w:left w:w="57" w:type="dxa"/>
                    <w:bottom w:w="0" w:type="dxa"/>
                    <w:right w:w="57" w:type="dxa"/>
                  </w:tcMar>
                  <w:vAlign w:val="center"/>
                </w:tcPr>
                <w:p w14:paraId="0E64648D">
                  <w:pPr>
                    <w:adjustRightInd w:val="0"/>
                    <w:snapToGrid w:val="0"/>
                    <w:jc w:val="center"/>
                    <w:rPr>
                      <w:bCs/>
                      <w:color w:val="000000"/>
                      <w:szCs w:val="21"/>
                    </w:rPr>
                  </w:pPr>
                  <w:r>
                    <w:rPr>
                      <w:bCs/>
                      <w:color w:val="000000"/>
                      <w:szCs w:val="21"/>
                    </w:rPr>
                    <w:t>1.67</w:t>
                  </w:r>
                </w:p>
              </w:tc>
              <w:tc>
                <w:tcPr>
                  <w:tcW w:w="881" w:type="dxa"/>
                  <w:tcMar>
                    <w:top w:w="0" w:type="dxa"/>
                    <w:left w:w="57" w:type="dxa"/>
                    <w:bottom w:w="0" w:type="dxa"/>
                    <w:right w:w="57" w:type="dxa"/>
                  </w:tcMar>
                  <w:vAlign w:val="center"/>
                </w:tcPr>
                <w:p w14:paraId="3C723417">
                  <w:pPr>
                    <w:adjustRightInd w:val="0"/>
                    <w:snapToGrid w:val="0"/>
                    <w:jc w:val="center"/>
                    <w:rPr>
                      <w:bCs/>
                      <w:color w:val="000000"/>
                      <w:szCs w:val="21"/>
                    </w:rPr>
                  </w:pPr>
                  <w:r>
                    <w:rPr>
                      <w:bCs/>
                      <w:color w:val="000000"/>
                      <w:szCs w:val="21"/>
                    </w:rPr>
                    <w:t>1.70</w:t>
                  </w:r>
                </w:p>
              </w:tc>
              <w:tc>
                <w:tcPr>
                  <w:tcW w:w="881" w:type="dxa"/>
                  <w:tcMar>
                    <w:top w:w="0" w:type="dxa"/>
                    <w:left w:w="57" w:type="dxa"/>
                    <w:bottom w:w="0" w:type="dxa"/>
                    <w:right w:w="57" w:type="dxa"/>
                  </w:tcMar>
                  <w:vAlign w:val="center"/>
                </w:tcPr>
                <w:p w14:paraId="0445190C">
                  <w:pPr>
                    <w:adjustRightInd w:val="0"/>
                    <w:snapToGrid w:val="0"/>
                    <w:jc w:val="center"/>
                    <w:rPr>
                      <w:bCs/>
                      <w:color w:val="000000"/>
                      <w:szCs w:val="21"/>
                    </w:rPr>
                  </w:pPr>
                  <w:r>
                    <w:rPr>
                      <w:bCs/>
                      <w:color w:val="000000"/>
                      <w:szCs w:val="21"/>
                    </w:rPr>
                    <w:t>1.68</w:t>
                  </w:r>
                </w:p>
              </w:tc>
              <w:tc>
                <w:tcPr>
                  <w:tcW w:w="882" w:type="dxa"/>
                  <w:tcMar>
                    <w:top w:w="0" w:type="dxa"/>
                    <w:left w:w="57" w:type="dxa"/>
                    <w:bottom w:w="0" w:type="dxa"/>
                    <w:right w:w="57" w:type="dxa"/>
                  </w:tcMar>
                  <w:vAlign w:val="center"/>
                </w:tcPr>
                <w:p w14:paraId="69DE87CC">
                  <w:pPr>
                    <w:adjustRightInd w:val="0"/>
                    <w:snapToGrid w:val="0"/>
                    <w:jc w:val="center"/>
                    <w:rPr>
                      <w:bCs/>
                      <w:color w:val="000000"/>
                      <w:szCs w:val="21"/>
                    </w:rPr>
                  </w:pPr>
                  <w:r>
                    <w:rPr>
                      <w:bCs/>
                      <w:color w:val="000000"/>
                      <w:szCs w:val="21"/>
                    </w:rPr>
                    <w:t>1.64</w:t>
                  </w:r>
                </w:p>
              </w:tc>
              <w:tc>
                <w:tcPr>
                  <w:tcW w:w="1092" w:type="dxa"/>
                  <w:tcMar>
                    <w:top w:w="0" w:type="dxa"/>
                    <w:left w:w="57" w:type="dxa"/>
                    <w:bottom w:w="0" w:type="dxa"/>
                    <w:right w:w="57" w:type="dxa"/>
                  </w:tcMar>
                  <w:vAlign w:val="center"/>
                </w:tcPr>
                <w:p w14:paraId="190C7DEB">
                  <w:pPr>
                    <w:adjustRightInd w:val="0"/>
                    <w:snapToGrid w:val="0"/>
                    <w:jc w:val="center"/>
                    <w:rPr>
                      <w:bCs/>
                      <w:color w:val="000000"/>
                      <w:szCs w:val="21"/>
                    </w:rPr>
                  </w:pPr>
                  <w:r>
                    <w:rPr>
                      <w:bCs/>
                      <w:color w:val="000000"/>
                      <w:szCs w:val="21"/>
                    </w:rPr>
                    <w:t>mg/L</w:t>
                  </w:r>
                </w:p>
              </w:tc>
            </w:tr>
            <w:tr w14:paraId="2E8A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008DAF8B">
                  <w:pPr>
                    <w:pStyle w:val="2"/>
                    <w:rPr>
                      <w:bCs/>
                      <w:sz w:val="21"/>
                      <w:szCs w:val="21"/>
                    </w:rPr>
                  </w:pPr>
                </w:p>
              </w:tc>
              <w:tc>
                <w:tcPr>
                  <w:tcW w:w="1204" w:type="dxa"/>
                  <w:vMerge w:val="continue"/>
                  <w:tcMar>
                    <w:top w:w="0" w:type="dxa"/>
                    <w:left w:w="57" w:type="dxa"/>
                    <w:bottom w:w="0" w:type="dxa"/>
                    <w:right w:w="57" w:type="dxa"/>
                  </w:tcMar>
                  <w:vAlign w:val="center"/>
                </w:tcPr>
                <w:p w14:paraId="569421B7">
                  <w:pPr>
                    <w:adjustRightInd w:val="0"/>
                    <w:snapToGrid w:val="0"/>
                    <w:jc w:val="center"/>
                    <w:rPr>
                      <w:bCs/>
                      <w:szCs w:val="21"/>
                    </w:rPr>
                  </w:pPr>
                </w:p>
              </w:tc>
              <w:tc>
                <w:tcPr>
                  <w:tcW w:w="1950" w:type="dxa"/>
                  <w:tcMar>
                    <w:top w:w="0" w:type="dxa"/>
                    <w:left w:w="57" w:type="dxa"/>
                    <w:bottom w:w="0" w:type="dxa"/>
                    <w:right w:w="57" w:type="dxa"/>
                  </w:tcMar>
                  <w:vAlign w:val="center"/>
                </w:tcPr>
                <w:p w14:paraId="0BDE487F">
                  <w:pPr>
                    <w:spacing w:line="360" w:lineRule="exact"/>
                    <w:jc w:val="center"/>
                    <w:rPr>
                      <w:color w:val="000000"/>
                      <w:spacing w:val="-12"/>
                      <w:szCs w:val="21"/>
                    </w:rPr>
                  </w:pPr>
                  <w:r>
                    <w:rPr>
                      <w:color w:val="000000"/>
                      <w:spacing w:val="-12"/>
                      <w:szCs w:val="21"/>
                    </w:rPr>
                    <w:t>阴离子表面活性剂</w:t>
                  </w:r>
                </w:p>
              </w:tc>
              <w:tc>
                <w:tcPr>
                  <w:tcW w:w="881" w:type="dxa"/>
                  <w:tcMar>
                    <w:top w:w="0" w:type="dxa"/>
                    <w:left w:w="57" w:type="dxa"/>
                    <w:bottom w:w="0" w:type="dxa"/>
                    <w:right w:w="57" w:type="dxa"/>
                  </w:tcMar>
                  <w:vAlign w:val="center"/>
                </w:tcPr>
                <w:p w14:paraId="698FD500">
                  <w:pPr>
                    <w:adjustRightInd w:val="0"/>
                    <w:snapToGrid w:val="0"/>
                    <w:jc w:val="center"/>
                    <w:rPr>
                      <w:bCs/>
                      <w:color w:val="000000"/>
                      <w:szCs w:val="21"/>
                    </w:rPr>
                  </w:pPr>
                  <w:r>
                    <w:rPr>
                      <w:bCs/>
                      <w:color w:val="000000"/>
                      <w:szCs w:val="21"/>
                    </w:rPr>
                    <w:t>0.56</w:t>
                  </w:r>
                </w:p>
              </w:tc>
              <w:tc>
                <w:tcPr>
                  <w:tcW w:w="881" w:type="dxa"/>
                  <w:tcMar>
                    <w:top w:w="0" w:type="dxa"/>
                    <w:left w:w="57" w:type="dxa"/>
                    <w:bottom w:w="0" w:type="dxa"/>
                    <w:right w:w="57" w:type="dxa"/>
                  </w:tcMar>
                  <w:vAlign w:val="center"/>
                </w:tcPr>
                <w:p w14:paraId="4DEB48ED">
                  <w:pPr>
                    <w:adjustRightInd w:val="0"/>
                    <w:snapToGrid w:val="0"/>
                    <w:jc w:val="center"/>
                    <w:rPr>
                      <w:bCs/>
                      <w:color w:val="000000"/>
                      <w:szCs w:val="21"/>
                    </w:rPr>
                  </w:pPr>
                  <w:r>
                    <w:rPr>
                      <w:bCs/>
                      <w:color w:val="000000"/>
                      <w:szCs w:val="21"/>
                    </w:rPr>
                    <w:t>0.53</w:t>
                  </w:r>
                </w:p>
              </w:tc>
              <w:tc>
                <w:tcPr>
                  <w:tcW w:w="881" w:type="dxa"/>
                  <w:tcMar>
                    <w:top w:w="0" w:type="dxa"/>
                    <w:left w:w="57" w:type="dxa"/>
                    <w:bottom w:w="0" w:type="dxa"/>
                    <w:right w:w="57" w:type="dxa"/>
                  </w:tcMar>
                  <w:vAlign w:val="center"/>
                </w:tcPr>
                <w:p w14:paraId="56598377">
                  <w:pPr>
                    <w:adjustRightInd w:val="0"/>
                    <w:snapToGrid w:val="0"/>
                    <w:jc w:val="center"/>
                    <w:rPr>
                      <w:bCs/>
                      <w:color w:val="000000"/>
                      <w:szCs w:val="21"/>
                    </w:rPr>
                  </w:pPr>
                  <w:r>
                    <w:rPr>
                      <w:bCs/>
                      <w:color w:val="000000"/>
                      <w:szCs w:val="21"/>
                    </w:rPr>
                    <w:t>0.63</w:t>
                  </w:r>
                </w:p>
              </w:tc>
              <w:tc>
                <w:tcPr>
                  <w:tcW w:w="882" w:type="dxa"/>
                  <w:tcMar>
                    <w:top w:w="0" w:type="dxa"/>
                    <w:left w:w="57" w:type="dxa"/>
                    <w:bottom w:w="0" w:type="dxa"/>
                    <w:right w:w="57" w:type="dxa"/>
                  </w:tcMar>
                  <w:vAlign w:val="center"/>
                </w:tcPr>
                <w:p w14:paraId="43153E21">
                  <w:pPr>
                    <w:adjustRightInd w:val="0"/>
                    <w:snapToGrid w:val="0"/>
                    <w:jc w:val="center"/>
                    <w:rPr>
                      <w:bCs/>
                      <w:color w:val="000000"/>
                      <w:szCs w:val="21"/>
                    </w:rPr>
                  </w:pPr>
                  <w:r>
                    <w:rPr>
                      <w:bCs/>
                      <w:color w:val="000000"/>
                      <w:szCs w:val="21"/>
                    </w:rPr>
                    <w:t>0.67</w:t>
                  </w:r>
                </w:p>
              </w:tc>
              <w:tc>
                <w:tcPr>
                  <w:tcW w:w="1092" w:type="dxa"/>
                  <w:tcMar>
                    <w:top w:w="0" w:type="dxa"/>
                    <w:left w:w="57" w:type="dxa"/>
                    <w:bottom w:w="0" w:type="dxa"/>
                    <w:right w:w="57" w:type="dxa"/>
                  </w:tcMar>
                  <w:vAlign w:val="center"/>
                </w:tcPr>
                <w:p w14:paraId="20FD3FEC">
                  <w:pPr>
                    <w:adjustRightInd w:val="0"/>
                    <w:snapToGrid w:val="0"/>
                    <w:jc w:val="center"/>
                    <w:rPr>
                      <w:bCs/>
                      <w:color w:val="000000"/>
                      <w:szCs w:val="21"/>
                    </w:rPr>
                  </w:pPr>
                  <w:r>
                    <w:rPr>
                      <w:bCs/>
                      <w:color w:val="000000"/>
                      <w:szCs w:val="21"/>
                    </w:rPr>
                    <w:t>mg/L</w:t>
                  </w:r>
                </w:p>
              </w:tc>
            </w:tr>
            <w:tr w14:paraId="2221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00EB9D0A">
                  <w:pPr>
                    <w:pStyle w:val="2"/>
                    <w:rPr>
                      <w:bCs/>
                      <w:sz w:val="21"/>
                      <w:szCs w:val="21"/>
                    </w:rPr>
                  </w:pPr>
                </w:p>
              </w:tc>
              <w:tc>
                <w:tcPr>
                  <w:tcW w:w="1204" w:type="dxa"/>
                  <w:vMerge w:val="continue"/>
                  <w:tcMar>
                    <w:top w:w="0" w:type="dxa"/>
                    <w:left w:w="57" w:type="dxa"/>
                    <w:bottom w:w="0" w:type="dxa"/>
                    <w:right w:w="57" w:type="dxa"/>
                  </w:tcMar>
                  <w:vAlign w:val="center"/>
                </w:tcPr>
                <w:p w14:paraId="69F42866">
                  <w:pPr>
                    <w:adjustRightInd w:val="0"/>
                    <w:snapToGrid w:val="0"/>
                    <w:jc w:val="center"/>
                    <w:rPr>
                      <w:bCs/>
                      <w:szCs w:val="21"/>
                    </w:rPr>
                  </w:pPr>
                </w:p>
              </w:tc>
              <w:tc>
                <w:tcPr>
                  <w:tcW w:w="1950" w:type="dxa"/>
                  <w:tcMar>
                    <w:top w:w="0" w:type="dxa"/>
                    <w:left w:w="57" w:type="dxa"/>
                    <w:bottom w:w="0" w:type="dxa"/>
                    <w:right w:w="57" w:type="dxa"/>
                  </w:tcMar>
                  <w:vAlign w:val="center"/>
                </w:tcPr>
                <w:p w14:paraId="56BED1DB">
                  <w:pPr>
                    <w:spacing w:line="360" w:lineRule="exact"/>
                    <w:jc w:val="center"/>
                    <w:rPr>
                      <w:color w:val="000000"/>
                      <w:spacing w:val="-12"/>
                      <w:szCs w:val="21"/>
                    </w:rPr>
                  </w:pPr>
                  <w:r>
                    <w:rPr>
                      <w:color w:val="000000"/>
                      <w:szCs w:val="21"/>
                    </w:rPr>
                    <w:t>总磷</w:t>
                  </w:r>
                </w:p>
              </w:tc>
              <w:tc>
                <w:tcPr>
                  <w:tcW w:w="881" w:type="dxa"/>
                  <w:tcMar>
                    <w:top w:w="0" w:type="dxa"/>
                    <w:left w:w="57" w:type="dxa"/>
                    <w:bottom w:w="0" w:type="dxa"/>
                    <w:right w:w="57" w:type="dxa"/>
                  </w:tcMar>
                  <w:vAlign w:val="center"/>
                </w:tcPr>
                <w:p w14:paraId="7185AD13">
                  <w:pPr>
                    <w:adjustRightInd w:val="0"/>
                    <w:snapToGrid w:val="0"/>
                    <w:jc w:val="center"/>
                    <w:rPr>
                      <w:bCs/>
                      <w:color w:val="000000"/>
                      <w:szCs w:val="21"/>
                    </w:rPr>
                  </w:pPr>
                  <w:r>
                    <w:rPr>
                      <w:bCs/>
                      <w:color w:val="000000"/>
                      <w:szCs w:val="21"/>
                    </w:rPr>
                    <w:t>2.21</w:t>
                  </w:r>
                </w:p>
              </w:tc>
              <w:tc>
                <w:tcPr>
                  <w:tcW w:w="881" w:type="dxa"/>
                  <w:tcMar>
                    <w:top w:w="0" w:type="dxa"/>
                    <w:left w:w="57" w:type="dxa"/>
                    <w:bottom w:w="0" w:type="dxa"/>
                    <w:right w:w="57" w:type="dxa"/>
                  </w:tcMar>
                  <w:vAlign w:val="center"/>
                </w:tcPr>
                <w:p w14:paraId="304DAF09">
                  <w:pPr>
                    <w:adjustRightInd w:val="0"/>
                    <w:snapToGrid w:val="0"/>
                    <w:jc w:val="center"/>
                    <w:rPr>
                      <w:bCs/>
                      <w:color w:val="000000"/>
                      <w:szCs w:val="21"/>
                    </w:rPr>
                  </w:pPr>
                  <w:r>
                    <w:rPr>
                      <w:bCs/>
                      <w:color w:val="000000"/>
                      <w:szCs w:val="21"/>
                    </w:rPr>
                    <w:t>2.17</w:t>
                  </w:r>
                </w:p>
              </w:tc>
              <w:tc>
                <w:tcPr>
                  <w:tcW w:w="881" w:type="dxa"/>
                  <w:tcMar>
                    <w:top w:w="0" w:type="dxa"/>
                    <w:left w:w="57" w:type="dxa"/>
                    <w:bottom w:w="0" w:type="dxa"/>
                    <w:right w:w="57" w:type="dxa"/>
                  </w:tcMar>
                  <w:vAlign w:val="center"/>
                </w:tcPr>
                <w:p w14:paraId="2F40ACEF">
                  <w:pPr>
                    <w:adjustRightInd w:val="0"/>
                    <w:snapToGrid w:val="0"/>
                    <w:jc w:val="center"/>
                    <w:rPr>
                      <w:bCs/>
                      <w:color w:val="000000"/>
                      <w:szCs w:val="21"/>
                    </w:rPr>
                  </w:pPr>
                  <w:r>
                    <w:rPr>
                      <w:bCs/>
                      <w:color w:val="000000"/>
                      <w:szCs w:val="21"/>
                    </w:rPr>
                    <w:t>2.18</w:t>
                  </w:r>
                </w:p>
              </w:tc>
              <w:tc>
                <w:tcPr>
                  <w:tcW w:w="882" w:type="dxa"/>
                  <w:tcMar>
                    <w:top w:w="0" w:type="dxa"/>
                    <w:left w:w="57" w:type="dxa"/>
                    <w:bottom w:w="0" w:type="dxa"/>
                    <w:right w:w="57" w:type="dxa"/>
                  </w:tcMar>
                  <w:vAlign w:val="center"/>
                </w:tcPr>
                <w:p w14:paraId="5F371D4C">
                  <w:pPr>
                    <w:adjustRightInd w:val="0"/>
                    <w:snapToGrid w:val="0"/>
                    <w:jc w:val="center"/>
                    <w:rPr>
                      <w:bCs/>
                      <w:color w:val="000000"/>
                      <w:szCs w:val="21"/>
                    </w:rPr>
                  </w:pPr>
                  <w:r>
                    <w:rPr>
                      <w:bCs/>
                      <w:color w:val="000000"/>
                      <w:szCs w:val="21"/>
                    </w:rPr>
                    <w:t>2.18</w:t>
                  </w:r>
                </w:p>
              </w:tc>
              <w:tc>
                <w:tcPr>
                  <w:tcW w:w="1092" w:type="dxa"/>
                  <w:tcMar>
                    <w:top w:w="0" w:type="dxa"/>
                    <w:left w:w="57" w:type="dxa"/>
                    <w:bottom w:w="0" w:type="dxa"/>
                    <w:right w:w="57" w:type="dxa"/>
                  </w:tcMar>
                  <w:vAlign w:val="center"/>
                </w:tcPr>
                <w:p w14:paraId="606BC998">
                  <w:pPr>
                    <w:adjustRightInd w:val="0"/>
                    <w:snapToGrid w:val="0"/>
                    <w:jc w:val="center"/>
                    <w:rPr>
                      <w:bCs/>
                      <w:color w:val="000000"/>
                      <w:szCs w:val="21"/>
                    </w:rPr>
                  </w:pPr>
                  <w:r>
                    <w:rPr>
                      <w:bCs/>
                      <w:color w:val="000000"/>
                      <w:szCs w:val="21"/>
                    </w:rPr>
                    <w:t>mg/L</w:t>
                  </w:r>
                </w:p>
              </w:tc>
            </w:tr>
            <w:tr w14:paraId="7AC1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18728839">
                  <w:pPr>
                    <w:pStyle w:val="2"/>
                    <w:rPr>
                      <w:bCs/>
                      <w:sz w:val="21"/>
                      <w:szCs w:val="21"/>
                    </w:rPr>
                  </w:pPr>
                </w:p>
              </w:tc>
              <w:tc>
                <w:tcPr>
                  <w:tcW w:w="1204" w:type="dxa"/>
                  <w:vMerge w:val="continue"/>
                  <w:tcMar>
                    <w:top w:w="0" w:type="dxa"/>
                    <w:left w:w="57" w:type="dxa"/>
                    <w:bottom w:w="0" w:type="dxa"/>
                    <w:right w:w="57" w:type="dxa"/>
                  </w:tcMar>
                  <w:vAlign w:val="center"/>
                </w:tcPr>
                <w:p w14:paraId="7CE0B3E4">
                  <w:pPr>
                    <w:adjustRightInd w:val="0"/>
                    <w:snapToGrid w:val="0"/>
                    <w:jc w:val="center"/>
                    <w:rPr>
                      <w:bCs/>
                      <w:szCs w:val="21"/>
                    </w:rPr>
                  </w:pPr>
                </w:p>
              </w:tc>
              <w:tc>
                <w:tcPr>
                  <w:tcW w:w="1950" w:type="dxa"/>
                  <w:tcMar>
                    <w:top w:w="0" w:type="dxa"/>
                    <w:left w:w="57" w:type="dxa"/>
                    <w:bottom w:w="0" w:type="dxa"/>
                    <w:right w:w="57" w:type="dxa"/>
                  </w:tcMar>
                  <w:vAlign w:val="center"/>
                </w:tcPr>
                <w:p w14:paraId="53623314">
                  <w:pPr>
                    <w:spacing w:line="360" w:lineRule="exact"/>
                    <w:jc w:val="center"/>
                    <w:rPr>
                      <w:color w:val="000000"/>
                      <w:spacing w:val="-12"/>
                      <w:szCs w:val="21"/>
                    </w:rPr>
                  </w:pPr>
                  <w:r>
                    <w:rPr>
                      <w:szCs w:val="21"/>
                    </w:rPr>
                    <w:t>总氮</w:t>
                  </w:r>
                </w:p>
              </w:tc>
              <w:tc>
                <w:tcPr>
                  <w:tcW w:w="881" w:type="dxa"/>
                  <w:tcMar>
                    <w:top w:w="0" w:type="dxa"/>
                    <w:left w:w="57" w:type="dxa"/>
                    <w:bottom w:w="0" w:type="dxa"/>
                    <w:right w:w="57" w:type="dxa"/>
                  </w:tcMar>
                  <w:vAlign w:val="center"/>
                </w:tcPr>
                <w:p w14:paraId="794E6CD7">
                  <w:pPr>
                    <w:adjustRightInd w:val="0"/>
                    <w:snapToGrid w:val="0"/>
                    <w:jc w:val="center"/>
                    <w:rPr>
                      <w:bCs/>
                      <w:color w:val="000000"/>
                      <w:szCs w:val="21"/>
                    </w:rPr>
                  </w:pPr>
                  <w:r>
                    <w:rPr>
                      <w:bCs/>
                      <w:color w:val="000000"/>
                      <w:szCs w:val="21"/>
                    </w:rPr>
                    <w:t>4.32</w:t>
                  </w:r>
                </w:p>
              </w:tc>
              <w:tc>
                <w:tcPr>
                  <w:tcW w:w="881" w:type="dxa"/>
                  <w:tcMar>
                    <w:top w:w="0" w:type="dxa"/>
                    <w:left w:w="57" w:type="dxa"/>
                    <w:bottom w:w="0" w:type="dxa"/>
                    <w:right w:w="57" w:type="dxa"/>
                  </w:tcMar>
                  <w:vAlign w:val="center"/>
                </w:tcPr>
                <w:p w14:paraId="50B2677F">
                  <w:pPr>
                    <w:adjustRightInd w:val="0"/>
                    <w:snapToGrid w:val="0"/>
                    <w:jc w:val="center"/>
                    <w:rPr>
                      <w:bCs/>
                      <w:color w:val="000000"/>
                      <w:szCs w:val="21"/>
                    </w:rPr>
                  </w:pPr>
                  <w:r>
                    <w:rPr>
                      <w:bCs/>
                      <w:color w:val="000000"/>
                      <w:szCs w:val="21"/>
                    </w:rPr>
                    <w:t>4.17</w:t>
                  </w:r>
                </w:p>
              </w:tc>
              <w:tc>
                <w:tcPr>
                  <w:tcW w:w="881" w:type="dxa"/>
                  <w:tcMar>
                    <w:top w:w="0" w:type="dxa"/>
                    <w:left w:w="57" w:type="dxa"/>
                    <w:bottom w:w="0" w:type="dxa"/>
                    <w:right w:w="57" w:type="dxa"/>
                  </w:tcMar>
                  <w:vAlign w:val="center"/>
                </w:tcPr>
                <w:p w14:paraId="6739427C">
                  <w:pPr>
                    <w:adjustRightInd w:val="0"/>
                    <w:snapToGrid w:val="0"/>
                    <w:jc w:val="center"/>
                    <w:rPr>
                      <w:bCs/>
                      <w:color w:val="000000"/>
                      <w:szCs w:val="21"/>
                    </w:rPr>
                  </w:pPr>
                  <w:r>
                    <w:rPr>
                      <w:bCs/>
                      <w:color w:val="000000"/>
                      <w:szCs w:val="21"/>
                    </w:rPr>
                    <w:t>4.25</w:t>
                  </w:r>
                </w:p>
              </w:tc>
              <w:tc>
                <w:tcPr>
                  <w:tcW w:w="882" w:type="dxa"/>
                  <w:tcMar>
                    <w:top w:w="0" w:type="dxa"/>
                    <w:left w:w="57" w:type="dxa"/>
                    <w:bottom w:w="0" w:type="dxa"/>
                    <w:right w:w="57" w:type="dxa"/>
                  </w:tcMar>
                  <w:vAlign w:val="center"/>
                </w:tcPr>
                <w:p w14:paraId="1AB8769A">
                  <w:pPr>
                    <w:adjustRightInd w:val="0"/>
                    <w:snapToGrid w:val="0"/>
                    <w:jc w:val="center"/>
                    <w:rPr>
                      <w:bCs/>
                      <w:color w:val="000000"/>
                      <w:szCs w:val="21"/>
                    </w:rPr>
                  </w:pPr>
                  <w:r>
                    <w:rPr>
                      <w:bCs/>
                      <w:color w:val="000000"/>
                      <w:szCs w:val="21"/>
                    </w:rPr>
                    <w:t>4.35</w:t>
                  </w:r>
                </w:p>
              </w:tc>
              <w:tc>
                <w:tcPr>
                  <w:tcW w:w="1092" w:type="dxa"/>
                  <w:tcMar>
                    <w:top w:w="0" w:type="dxa"/>
                    <w:left w:w="57" w:type="dxa"/>
                    <w:bottom w:w="0" w:type="dxa"/>
                    <w:right w:w="57" w:type="dxa"/>
                  </w:tcMar>
                  <w:vAlign w:val="center"/>
                </w:tcPr>
                <w:p w14:paraId="31AAA679">
                  <w:pPr>
                    <w:adjustRightInd w:val="0"/>
                    <w:snapToGrid w:val="0"/>
                    <w:jc w:val="center"/>
                    <w:rPr>
                      <w:bCs/>
                      <w:color w:val="000000"/>
                      <w:szCs w:val="21"/>
                    </w:rPr>
                  </w:pPr>
                  <w:r>
                    <w:rPr>
                      <w:bCs/>
                      <w:color w:val="000000"/>
                      <w:szCs w:val="21"/>
                    </w:rPr>
                    <w:t>mg/L</w:t>
                  </w:r>
                </w:p>
              </w:tc>
            </w:tr>
            <w:tr w14:paraId="5372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1" w:type="dxa"/>
                  <w:vMerge w:val="continue"/>
                  <w:tcMar>
                    <w:top w:w="0" w:type="dxa"/>
                    <w:left w:w="57" w:type="dxa"/>
                    <w:bottom w:w="0" w:type="dxa"/>
                    <w:right w:w="57" w:type="dxa"/>
                  </w:tcMar>
                  <w:vAlign w:val="center"/>
                </w:tcPr>
                <w:p w14:paraId="0DBCE199">
                  <w:pPr>
                    <w:pStyle w:val="2"/>
                    <w:rPr>
                      <w:sz w:val="21"/>
                      <w:szCs w:val="21"/>
                    </w:rPr>
                  </w:pPr>
                </w:p>
              </w:tc>
              <w:tc>
                <w:tcPr>
                  <w:tcW w:w="1204" w:type="dxa"/>
                  <w:vMerge w:val="continue"/>
                  <w:tcMar>
                    <w:top w:w="0" w:type="dxa"/>
                    <w:left w:w="57" w:type="dxa"/>
                    <w:bottom w:w="0" w:type="dxa"/>
                    <w:right w:w="57" w:type="dxa"/>
                  </w:tcMar>
                  <w:vAlign w:val="center"/>
                </w:tcPr>
                <w:p w14:paraId="2227566B">
                  <w:pPr>
                    <w:adjustRightInd w:val="0"/>
                    <w:snapToGrid w:val="0"/>
                    <w:jc w:val="center"/>
                    <w:rPr>
                      <w:bCs/>
                      <w:szCs w:val="21"/>
                    </w:rPr>
                  </w:pPr>
                </w:p>
              </w:tc>
              <w:tc>
                <w:tcPr>
                  <w:tcW w:w="1950" w:type="dxa"/>
                  <w:tcMar>
                    <w:top w:w="0" w:type="dxa"/>
                    <w:left w:w="57" w:type="dxa"/>
                    <w:bottom w:w="0" w:type="dxa"/>
                    <w:right w:w="57" w:type="dxa"/>
                  </w:tcMar>
                  <w:vAlign w:val="center"/>
                </w:tcPr>
                <w:p w14:paraId="5A2B0450">
                  <w:pPr>
                    <w:spacing w:line="360" w:lineRule="exact"/>
                    <w:jc w:val="center"/>
                    <w:rPr>
                      <w:color w:val="000000"/>
                      <w:spacing w:val="-12"/>
                      <w:szCs w:val="21"/>
                    </w:rPr>
                  </w:pPr>
                  <w:r>
                    <w:rPr>
                      <w:color w:val="000000"/>
                      <w:spacing w:val="-12"/>
                      <w:szCs w:val="21"/>
                    </w:rPr>
                    <w:t>化学需氧量</w:t>
                  </w:r>
                </w:p>
              </w:tc>
              <w:tc>
                <w:tcPr>
                  <w:tcW w:w="881" w:type="dxa"/>
                  <w:tcMar>
                    <w:top w:w="0" w:type="dxa"/>
                    <w:left w:w="57" w:type="dxa"/>
                    <w:bottom w:w="0" w:type="dxa"/>
                    <w:right w:w="57" w:type="dxa"/>
                  </w:tcMar>
                  <w:vAlign w:val="center"/>
                </w:tcPr>
                <w:p w14:paraId="3F5148CE">
                  <w:pPr>
                    <w:adjustRightInd w:val="0"/>
                    <w:snapToGrid w:val="0"/>
                    <w:jc w:val="center"/>
                    <w:rPr>
                      <w:bCs/>
                      <w:color w:val="000000"/>
                      <w:szCs w:val="21"/>
                    </w:rPr>
                  </w:pPr>
                  <w:r>
                    <w:rPr>
                      <w:bCs/>
                      <w:color w:val="000000"/>
                      <w:szCs w:val="21"/>
                    </w:rPr>
                    <w:t>102</w:t>
                  </w:r>
                </w:p>
              </w:tc>
              <w:tc>
                <w:tcPr>
                  <w:tcW w:w="881" w:type="dxa"/>
                  <w:tcMar>
                    <w:top w:w="0" w:type="dxa"/>
                    <w:left w:w="57" w:type="dxa"/>
                    <w:bottom w:w="0" w:type="dxa"/>
                    <w:right w:w="57" w:type="dxa"/>
                  </w:tcMar>
                  <w:vAlign w:val="center"/>
                </w:tcPr>
                <w:p w14:paraId="2C62D536">
                  <w:pPr>
                    <w:adjustRightInd w:val="0"/>
                    <w:snapToGrid w:val="0"/>
                    <w:jc w:val="center"/>
                    <w:rPr>
                      <w:bCs/>
                      <w:color w:val="000000"/>
                      <w:szCs w:val="21"/>
                    </w:rPr>
                  </w:pPr>
                  <w:r>
                    <w:rPr>
                      <w:bCs/>
                      <w:color w:val="000000"/>
                      <w:szCs w:val="21"/>
                    </w:rPr>
                    <w:t>109</w:t>
                  </w:r>
                </w:p>
              </w:tc>
              <w:tc>
                <w:tcPr>
                  <w:tcW w:w="881" w:type="dxa"/>
                  <w:tcMar>
                    <w:top w:w="0" w:type="dxa"/>
                    <w:left w:w="57" w:type="dxa"/>
                    <w:bottom w:w="0" w:type="dxa"/>
                    <w:right w:w="57" w:type="dxa"/>
                  </w:tcMar>
                  <w:vAlign w:val="center"/>
                </w:tcPr>
                <w:p w14:paraId="669A524E">
                  <w:pPr>
                    <w:adjustRightInd w:val="0"/>
                    <w:snapToGrid w:val="0"/>
                    <w:jc w:val="center"/>
                    <w:rPr>
                      <w:bCs/>
                      <w:color w:val="000000"/>
                      <w:szCs w:val="21"/>
                    </w:rPr>
                  </w:pPr>
                  <w:r>
                    <w:rPr>
                      <w:bCs/>
                      <w:color w:val="000000"/>
                      <w:szCs w:val="21"/>
                    </w:rPr>
                    <w:t>116</w:t>
                  </w:r>
                </w:p>
              </w:tc>
              <w:tc>
                <w:tcPr>
                  <w:tcW w:w="882" w:type="dxa"/>
                  <w:tcMar>
                    <w:top w:w="0" w:type="dxa"/>
                    <w:left w:w="57" w:type="dxa"/>
                    <w:bottom w:w="0" w:type="dxa"/>
                    <w:right w:w="57" w:type="dxa"/>
                  </w:tcMar>
                  <w:vAlign w:val="center"/>
                </w:tcPr>
                <w:p w14:paraId="4954646F">
                  <w:pPr>
                    <w:adjustRightInd w:val="0"/>
                    <w:snapToGrid w:val="0"/>
                    <w:jc w:val="center"/>
                    <w:rPr>
                      <w:bCs/>
                      <w:color w:val="000000"/>
                      <w:szCs w:val="21"/>
                    </w:rPr>
                  </w:pPr>
                  <w:r>
                    <w:rPr>
                      <w:bCs/>
                      <w:color w:val="000000"/>
                      <w:szCs w:val="21"/>
                    </w:rPr>
                    <w:t>107</w:t>
                  </w:r>
                </w:p>
              </w:tc>
              <w:tc>
                <w:tcPr>
                  <w:tcW w:w="1092" w:type="dxa"/>
                  <w:tcMar>
                    <w:top w:w="0" w:type="dxa"/>
                    <w:left w:w="57" w:type="dxa"/>
                    <w:bottom w:w="0" w:type="dxa"/>
                    <w:right w:w="57" w:type="dxa"/>
                  </w:tcMar>
                  <w:vAlign w:val="center"/>
                </w:tcPr>
                <w:p w14:paraId="459DD7F5">
                  <w:pPr>
                    <w:adjustRightInd w:val="0"/>
                    <w:snapToGrid w:val="0"/>
                    <w:jc w:val="center"/>
                    <w:rPr>
                      <w:bCs/>
                      <w:color w:val="000000"/>
                      <w:szCs w:val="21"/>
                    </w:rPr>
                  </w:pPr>
                  <w:r>
                    <w:rPr>
                      <w:bCs/>
                      <w:color w:val="000000"/>
                      <w:szCs w:val="21"/>
                    </w:rPr>
                    <w:t>mg/L</w:t>
                  </w:r>
                </w:p>
              </w:tc>
            </w:tr>
          </w:tbl>
          <w:p w14:paraId="751098D5">
            <w:pPr>
              <w:spacing w:line="480" w:lineRule="exact"/>
              <w:ind w:firstLine="480" w:firstLineChars="200"/>
              <w:jc w:val="left"/>
              <w:rPr>
                <w:color w:val="000000" w:themeColor="text1"/>
                <w:sz w:val="24"/>
                <w14:textFill>
                  <w14:solidFill>
                    <w14:schemeClr w14:val="tx1"/>
                  </w14:solidFill>
                </w14:textFill>
              </w:rPr>
            </w:pPr>
          </w:p>
          <w:p w14:paraId="28525A8A">
            <w:pPr>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）噪声产生情况及治理措施</w:t>
            </w:r>
          </w:p>
          <w:p w14:paraId="7A683207">
            <w:pPr>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项目主要噪声源为蒸汽发生器、熨烫折叠机、全自动洗衣机等设备运行噪声，通过采取低噪声设备，按照隔声、减振等降噪措施，并定期对隔声减振装置进行检查和维护，厂界噪声可达到《工业企业厂界环境噪声排放标准》 </w:t>
            </w:r>
            <w:r>
              <w:rPr>
                <w:color w:val="000000" w:themeColor="text1"/>
                <w:sz w:val="24"/>
                <w14:textFill>
                  <w14:solidFill>
                    <w14:schemeClr w14:val="tx1"/>
                  </w14:solidFill>
                </w14:textFill>
              </w:rPr>
              <w:t xml:space="preserve">(GB12348-2008)2 </w:t>
            </w:r>
            <w:r>
              <w:rPr>
                <w:rFonts w:hint="eastAsia"/>
                <w:color w:val="000000" w:themeColor="text1"/>
                <w:sz w:val="24"/>
                <w14:textFill>
                  <w14:solidFill>
                    <w14:schemeClr w14:val="tx1"/>
                  </w14:solidFill>
                </w14:textFill>
              </w:rPr>
              <w:t xml:space="preserve">类区标准的要求，对外环境影响较小。 </w:t>
            </w:r>
          </w:p>
          <w:p w14:paraId="2F268458">
            <w:pPr>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目前项目已落实噪声治理措施。</w:t>
            </w:r>
            <w:r>
              <w:rPr>
                <w:color w:val="000000" w:themeColor="text1"/>
                <w:sz w:val="24"/>
                <w14:textFill>
                  <w14:solidFill>
                    <w14:schemeClr w14:val="tx1"/>
                  </w14:solidFill>
                </w14:textFill>
              </w:rPr>
              <w:t>湖南紫素环保科技有限公司</w:t>
            </w:r>
            <w:r>
              <w:rPr>
                <w:rFonts w:hint="eastAsia"/>
                <w:color w:val="000000" w:themeColor="text1"/>
                <w:sz w:val="24"/>
                <w14:textFill>
                  <w14:solidFill>
                    <w14:schemeClr w14:val="tx1"/>
                  </w14:solidFill>
                </w14:textFill>
              </w:rPr>
              <w:t>于2025年5月22日-5月23日对项目各厂界噪声进行了监测，监测期间项目生产正常运行。</w:t>
            </w:r>
          </w:p>
          <w:p w14:paraId="0A5424D7">
            <w:pPr>
              <w:spacing w:line="480" w:lineRule="exact"/>
              <w:ind w:firstLine="480" w:firstLineChars="200"/>
              <w:jc w:val="left"/>
              <w:rPr>
                <w:color w:val="000000" w:themeColor="text1"/>
                <w:sz w:val="24"/>
                <w14:textFill>
                  <w14:solidFill>
                    <w14:schemeClr w14:val="tx1"/>
                  </w14:solidFill>
                </w14:textFill>
              </w:rPr>
            </w:pPr>
            <w:r>
              <w:rPr>
                <w:rFonts w:hint="eastAsia"/>
                <w:sz w:val="24"/>
              </w:rPr>
              <w:t>设备</w:t>
            </w:r>
            <w:r>
              <w:rPr>
                <w:rFonts w:hint="eastAsia"/>
                <w:color w:val="000000" w:themeColor="text1"/>
                <w:sz w:val="24"/>
                <w14:textFill>
                  <w14:solidFill>
                    <w14:schemeClr w14:val="tx1"/>
                  </w14:solidFill>
                </w14:textFill>
              </w:rPr>
              <w:t>基础减震措施，房间门窗均采用隔声效果良好的材料，根据监测结果，项目正常生产的情况下各厂界噪声可达到《工业企业厂界环境噪声排放标准》</w:t>
            </w:r>
            <w:r>
              <w:rPr>
                <w:color w:val="000000" w:themeColor="text1"/>
                <w:sz w:val="24"/>
                <w14:textFill>
                  <w14:solidFill>
                    <w14:schemeClr w14:val="tx1"/>
                  </w14:solidFill>
                </w14:textFill>
              </w:rPr>
              <w:t>(GB12348-2008)2</w:t>
            </w:r>
            <w:r>
              <w:rPr>
                <w:rFonts w:hint="eastAsia"/>
                <w:color w:val="000000" w:themeColor="text1"/>
                <w:sz w:val="24"/>
                <w14:textFill>
                  <w14:solidFill>
                    <w14:schemeClr w14:val="tx1"/>
                  </w14:solidFill>
                </w14:textFill>
              </w:rPr>
              <w:t>类区标准的要求。</w:t>
            </w:r>
          </w:p>
          <w:p w14:paraId="2331E908">
            <w:pPr>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监测结果如下表：</w:t>
            </w:r>
          </w:p>
          <w:p w14:paraId="0455A572">
            <w:pPr>
              <w:pStyle w:val="2"/>
              <w:ind w:firstLine="2741" w:firstLineChars="1300"/>
              <w:rPr>
                <w:b/>
                <w:color w:val="000000" w:themeColor="text1"/>
                <w:kern w:val="2"/>
                <w:sz w:val="21"/>
                <w:szCs w:val="21"/>
                <w14:textFill>
                  <w14:solidFill>
                    <w14:schemeClr w14:val="tx1"/>
                  </w14:solidFill>
                </w14:textFill>
              </w:rPr>
            </w:pPr>
          </w:p>
          <w:p w14:paraId="3E6881EC">
            <w:pPr>
              <w:pStyle w:val="2"/>
              <w:ind w:firstLine="2741" w:firstLineChars="1300"/>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表2-10 噪声监测结果一览表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805"/>
              <w:gridCol w:w="2638"/>
              <w:gridCol w:w="2639"/>
            </w:tblGrid>
            <w:tr w14:paraId="65BE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Merge w:val="restart"/>
                  <w:vAlign w:val="center"/>
                </w:tcPr>
                <w:p w14:paraId="2F288F8E">
                  <w:pPr>
                    <w:jc w:val="center"/>
                    <w:rPr>
                      <w:rFonts w:hint="eastAsia" w:ascii="宋体" w:hAnsi="宋体" w:cs="宋体"/>
                      <w:b/>
                      <w:szCs w:val="21"/>
                    </w:rPr>
                  </w:pPr>
                  <w:r>
                    <w:rPr>
                      <w:rFonts w:hint="eastAsia" w:ascii="宋体" w:hAnsi="宋体" w:cs="宋体"/>
                      <w:b/>
                      <w:szCs w:val="21"/>
                    </w:rPr>
                    <w:t>测点</w:t>
                  </w:r>
                </w:p>
                <w:p w14:paraId="42181480">
                  <w:pPr>
                    <w:jc w:val="center"/>
                    <w:rPr>
                      <w:rFonts w:hint="eastAsia" w:ascii="宋体" w:hAnsi="宋体" w:cs="宋体"/>
                      <w:b/>
                      <w:szCs w:val="21"/>
                    </w:rPr>
                  </w:pPr>
                  <w:r>
                    <w:rPr>
                      <w:rFonts w:hint="eastAsia" w:ascii="宋体" w:hAnsi="宋体" w:cs="宋体"/>
                      <w:b/>
                      <w:szCs w:val="21"/>
                    </w:rPr>
                    <w:t>序号</w:t>
                  </w:r>
                </w:p>
              </w:tc>
              <w:tc>
                <w:tcPr>
                  <w:tcW w:w="2805" w:type="dxa"/>
                  <w:vMerge w:val="restart"/>
                  <w:vAlign w:val="center"/>
                </w:tcPr>
                <w:p w14:paraId="30D74B24">
                  <w:pPr>
                    <w:jc w:val="center"/>
                    <w:rPr>
                      <w:rFonts w:hint="eastAsia" w:ascii="宋体" w:hAnsi="宋体" w:cs="宋体"/>
                      <w:b/>
                      <w:szCs w:val="21"/>
                    </w:rPr>
                  </w:pPr>
                  <w:r>
                    <w:rPr>
                      <w:rFonts w:hint="eastAsia" w:ascii="宋体" w:hAnsi="宋体" w:cs="宋体"/>
                      <w:b/>
                      <w:szCs w:val="21"/>
                    </w:rPr>
                    <w:t>监测点位</w:t>
                  </w:r>
                </w:p>
              </w:tc>
              <w:tc>
                <w:tcPr>
                  <w:tcW w:w="5277" w:type="dxa"/>
                  <w:gridSpan w:val="2"/>
                  <w:vAlign w:val="center"/>
                </w:tcPr>
                <w:p w14:paraId="4E6A7959">
                  <w:pPr>
                    <w:jc w:val="center"/>
                    <w:rPr>
                      <w:rFonts w:hint="eastAsia" w:ascii="宋体" w:hAnsi="宋体" w:cs="宋体"/>
                      <w:b/>
                      <w:szCs w:val="21"/>
                    </w:rPr>
                  </w:pPr>
                  <w:r>
                    <w:rPr>
                      <w:b/>
                      <w:szCs w:val="21"/>
                    </w:rPr>
                    <w:t>Leq</w:t>
                  </w:r>
                  <w:r>
                    <w:rPr>
                      <w:rFonts w:hint="eastAsia" w:ascii="宋体" w:hAnsi="宋体" w:cs="宋体"/>
                      <w:b/>
                      <w:szCs w:val="21"/>
                    </w:rPr>
                    <w:t>值（</w:t>
                  </w:r>
                  <w:r>
                    <w:rPr>
                      <w:b/>
                      <w:szCs w:val="21"/>
                    </w:rPr>
                    <w:t>dB(A)</w:t>
                  </w:r>
                  <w:r>
                    <w:rPr>
                      <w:rFonts w:hint="eastAsia" w:ascii="宋体" w:hAnsi="宋体" w:cs="宋体"/>
                      <w:b/>
                      <w:szCs w:val="21"/>
                    </w:rPr>
                    <w:t>）</w:t>
                  </w:r>
                </w:p>
              </w:tc>
            </w:tr>
            <w:tr w14:paraId="2AC7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Merge w:val="continue"/>
                  <w:vAlign w:val="center"/>
                </w:tcPr>
                <w:p w14:paraId="48F5AE0E">
                  <w:pPr>
                    <w:jc w:val="center"/>
                    <w:rPr>
                      <w:rFonts w:hint="eastAsia" w:ascii="宋体" w:hAnsi="宋体" w:cs="宋体"/>
                      <w:b/>
                      <w:szCs w:val="21"/>
                    </w:rPr>
                  </w:pPr>
                </w:p>
              </w:tc>
              <w:tc>
                <w:tcPr>
                  <w:tcW w:w="2805" w:type="dxa"/>
                  <w:vMerge w:val="continue"/>
                  <w:vAlign w:val="center"/>
                </w:tcPr>
                <w:p w14:paraId="14232CD3">
                  <w:pPr>
                    <w:jc w:val="center"/>
                    <w:rPr>
                      <w:rFonts w:hint="eastAsia" w:ascii="宋体" w:hAnsi="宋体" w:cs="宋体"/>
                      <w:b/>
                      <w:szCs w:val="21"/>
                    </w:rPr>
                  </w:pPr>
                </w:p>
              </w:tc>
              <w:tc>
                <w:tcPr>
                  <w:tcW w:w="5277" w:type="dxa"/>
                  <w:gridSpan w:val="2"/>
                  <w:vAlign w:val="center"/>
                </w:tcPr>
                <w:p w14:paraId="247B570C">
                  <w:pPr>
                    <w:jc w:val="center"/>
                    <w:rPr>
                      <w:rFonts w:hint="eastAsia" w:ascii="宋体" w:hAnsi="宋体" w:cs="宋体"/>
                      <w:b/>
                      <w:szCs w:val="21"/>
                    </w:rPr>
                  </w:pPr>
                  <w:r>
                    <w:rPr>
                      <w:rFonts w:hint="eastAsia" w:ascii="宋体" w:hAnsi="宋体" w:cs="宋体"/>
                      <w:b/>
                      <w:szCs w:val="21"/>
                    </w:rPr>
                    <w:t>昼间</w:t>
                  </w:r>
                </w:p>
              </w:tc>
            </w:tr>
            <w:tr w14:paraId="0522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Merge w:val="continue"/>
                  <w:vAlign w:val="center"/>
                </w:tcPr>
                <w:p w14:paraId="35AD7AC6">
                  <w:pPr>
                    <w:jc w:val="center"/>
                    <w:rPr>
                      <w:rFonts w:hint="eastAsia" w:ascii="宋体" w:hAnsi="宋体" w:cs="宋体"/>
                      <w:b/>
                      <w:szCs w:val="21"/>
                    </w:rPr>
                  </w:pPr>
                </w:p>
              </w:tc>
              <w:tc>
                <w:tcPr>
                  <w:tcW w:w="2805" w:type="dxa"/>
                  <w:vMerge w:val="continue"/>
                  <w:vAlign w:val="center"/>
                </w:tcPr>
                <w:p w14:paraId="5B4BD25F">
                  <w:pPr>
                    <w:jc w:val="center"/>
                    <w:rPr>
                      <w:rFonts w:hint="eastAsia" w:ascii="宋体" w:hAnsi="宋体" w:cs="宋体"/>
                      <w:b/>
                      <w:szCs w:val="21"/>
                    </w:rPr>
                  </w:pPr>
                </w:p>
              </w:tc>
              <w:tc>
                <w:tcPr>
                  <w:tcW w:w="2638" w:type="dxa"/>
                  <w:vAlign w:val="center"/>
                </w:tcPr>
                <w:p w14:paraId="06D27B8E">
                  <w:pPr>
                    <w:jc w:val="center"/>
                    <w:rPr>
                      <w:rFonts w:hint="eastAsia" w:ascii="宋体" w:hAnsi="宋体" w:cs="宋体"/>
                      <w:b/>
                      <w:szCs w:val="21"/>
                    </w:rPr>
                  </w:pPr>
                  <w:r>
                    <w:rPr>
                      <w:rFonts w:hint="eastAsia"/>
                      <w:b/>
                      <w:szCs w:val="21"/>
                    </w:rPr>
                    <w:t>05</w:t>
                  </w:r>
                  <w:r>
                    <w:rPr>
                      <w:rFonts w:hint="eastAsia" w:ascii="宋体" w:hAnsi="宋体" w:cs="宋体"/>
                      <w:b/>
                      <w:szCs w:val="21"/>
                    </w:rPr>
                    <w:t>月</w:t>
                  </w:r>
                  <w:r>
                    <w:rPr>
                      <w:rFonts w:hint="eastAsia"/>
                      <w:b/>
                      <w:szCs w:val="21"/>
                    </w:rPr>
                    <w:t>22</w:t>
                  </w:r>
                  <w:r>
                    <w:rPr>
                      <w:rFonts w:hint="eastAsia" w:ascii="宋体" w:hAnsi="宋体" w:cs="宋体"/>
                      <w:b/>
                      <w:szCs w:val="21"/>
                    </w:rPr>
                    <w:t>日</w:t>
                  </w:r>
                </w:p>
              </w:tc>
              <w:tc>
                <w:tcPr>
                  <w:tcW w:w="2639" w:type="dxa"/>
                  <w:vAlign w:val="center"/>
                </w:tcPr>
                <w:p w14:paraId="53DA9F6C">
                  <w:pPr>
                    <w:jc w:val="center"/>
                    <w:rPr>
                      <w:bCs/>
                      <w:szCs w:val="21"/>
                    </w:rPr>
                  </w:pPr>
                  <w:r>
                    <w:rPr>
                      <w:rFonts w:hint="eastAsia"/>
                      <w:b/>
                      <w:szCs w:val="21"/>
                    </w:rPr>
                    <w:t>05</w:t>
                  </w:r>
                  <w:r>
                    <w:rPr>
                      <w:rFonts w:hint="eastAsia" w:ascii="宋体" w:hAnsi="宋体" w:cs="宋体"/>
                      <w:b/>
                      <w:szCs w:val="21"/>
                    </w:rPr>
                    <w:t>月</w:t>
                  </w:r>
                  <w:r>
                    <w:rPr>
                      <w:rFonts w:hint="eastAsia"/>
                      <w:b/>
                      <w:szCs w:val="21"/>
                    </w:rPr>
                    <w:t>23</w:t>
                  </w:r>
                  <w:r>
                    <w:rPr>
                      <w:rFonts w:hint="eastAsia" w:ascii="宋体" w:hAnsi="宋体" w:cs="宋体"/>
                      <w:b/>
                      <w:szCs w:val="21"/>
                    </w:rPr>
                    <w:t>日</w:t>
                  </w:r>
                </w:p>
              </w:tc>
            </w:tr>
            <w:tr w14:paraId="5B28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Align w:val="center"/>
                </w:tcPr>
                <w:p w14:paraId="22F326F7">
                  <w:pPr>
                    <w:jc w:val="center"/>
                    <w:rPr>
                      <w:bCs/>
                      <w:szCs w:val="21"/>
                    </w:rPr>
                  </w:pPr>
                  <w:r>
                    <w:rPr>
                      <w:bCs/>
                      <w:szCs w:val="21"/>
                    </w:rPr>
                    <w:t>1</w:t>
                  </w:r>
                </w:p>
              </w:tc>
              <w:tc>
                <w:tcPr>
                  <w:tcW w:w="2805" w:type="dxa"/>
                  <w:vAlign w:val="center"/>
                </w:tcPr>
                <w:p w14:paraId="652A911E">
                  <w:pPr>
                    <w:jc w:val="center"/>
                    <w:rPr>
                      <w:bCs/>
                      <w:szCs w:val="21"/>
                    </w:rPr>
                  </w:pPr>
                  <w:r>
                    <w:rPr>
                      <w:szCs w:val="21"/>
                    </w:rPr>
                    <w:t>厂界外东侧1m处</w:t>
                  </w:r>
                </w:p>
              </w:tc>
              <w:tc>
                <w:tcPr>
                  <w:tcW w:w="2638" w:type="dxa"/>
                  <w:vAlign w:val="center"/>
                </w:tcPr>
                <w:p w14:paraId="2D0E1F5D">
                  <w:pPr>
                    <w:jc w:val="center"/>
                    <w:rPr>
                      <w:bCs/>
                      <w:szCs w:val="21"/>
                    </w:rPr>
                  </w:pPr>
                  <w:r>
                    <w:rPr>
                      <w:rFonts w:hint="eastAsia"/>
                      <w:bCs/>
                      <w:szCs w:val="21"/>
                    </w:rPr>
                    <w:t>57.8</w:t>
                  </w:r>
                </w:p>
              </w:tc>
              <w:tc>
                <w:tcPr>
                  <w:tcW w:w="2639" w:type="dxa"/>
                  <w:vAlign w:val="center"/>
                </w:tcPr>
                <w:p w14:paraId="11D6091B">
                  <w:pPr>
                    <w:jc w:val="center"/>
                    <w:rPr>
                      <w:bCs/>
                      <w:szCs w:val="21"/>
                    </w:rPr>
                  </w:pPr>
                  <w:r>
                    <w:rPr>
                      <w:rFonts w:hint="eastAsia"/>
                      <w:bCs/>
                      <w:szCs w:val="21"/>
                    </w:rPr>
                    <w:t>55.6</w:t>
                  </w:r>
                </w:p>
              </w:tc>
            </w:tr>
            <w:tr w14:paraId="4A4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Align w:val="center"/>
                </w:tcPr>
                <w:p w14:paraId="2AA925A4">
                  <w:pPr>
                    <w:jc w:val="center"/>
                    <w:rPr>
                      <w:bCs/>
                      <w:szCs w:val="21"/>
                    </w:rPr>
                  </w:pPr>
                  <w:r>
                    <w:rPr>
                      <w:bCs/>
                      <w:szCs w:val="21"/>
                    </w:rPr>
                    <w:t>2</w:t>
                  </w:r>
                </w:p>
              </w:tc>
              <w:tc>
                <w:tcPr>
                  <w:tcW w:w="2805" w:type="dxa"/>
                  <w:vAlign w:val="center"/>
                </w:tcPr>
                <w:p w14:paraId="3615C132">
                  <w:pPr>
                    <w:jc w:val="center"/>
                    <w:rPr>
                      <w:bCs/>
                      <w:szCs w:val="21"/>
                    </w:rPr>
                  </w:pPr>
                  <w:r>
                    <w:rPr>
                      <w:szCs w:val="21"/>
                    </w:rPr>
                    <w:t>厂界外南侧1m处</w:t>
                  </w:r>
                </w:p>
              </w:tc>
              <w:tc>
                <w:tcPr>
                  <w:tcW w:w="2638" w:type="dxa"/>
                  <w:vAlign w:val="center"/>
                </w:tcPr>
                <w:p w14:paraId="7BA172FA">
                  <w:pPr>
                    <w:jc w:val="center"/>
                    <w:rPr>
                      <w:bCs/>
                      <w:szCs w:val="21"/>
                    </w:rPr>
                  </w:pPr>
                  <w:r>
                    <w:rPr>
                      <w:rFonts w:hint="eastAsia"/>
                      <w:bCs/>
                      <w:szCs w:val="21"/>
                    </w:rPr>
                    <w:t>55.5</w:t>
                  </w:r>
                </w:p>
              </w:tc>
              <w:tc>
                <w:tcPr>
                  <w:tcW w:w="2639" w:type="dxa"/>
                  <w:vAlign w:val="center"/>
                </w:tcPr>
                <w:p w14:paraId="7BC4DC86">
                  <w:pPr>
                    <w:jc w:val="center"/>
                    <w:rPr>
                      <w:bCs/>
                      <w:szCs w:val="21"/>
                    </w:rPr>
                  </w:pPr>
                  <w:r>
                    <w:rPr>
                      <w:rFonts w:hint="eastAsia"/>
                      <w:bCs/>
                      <w:szCs w:val="21"/>
                    </w:rPr>
                    <w:t>55.4</w:t>
                  </w:r>
                </w:p>
              </w:tc>
            </w:tr>
            <w:tr w14:paraId="5F2C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Align w:val="center"/>
                </w:tcPr>
                <w:p w14:paraId="0686B718">
                  <w:pPr>
                    <w:jc w:val="center"/>
                    <w:rPr>
                      <w:bCs/>
                      <w:szCs w:val="21"/>
                    </w:rPr>
                  </w:pPr>
                  <w:r>
                    <w:rPr>
                      <w:bCs/>
                      <w:szCs w:val="21"/>
                    </w:rPr>
                    <w:t>3</w:t>
                  </w:r>
                </w:p>
              </w:tc>
              <w:tc>
                <w:tcPr>
                  <w:tcW w:w="2805" w:type="dxa"/>
                  <w:vAlign w:val="center"/>
                </w:tcPr>
                <w:p w14:paraId="792ACE4F">
                  <w:pPr>
                    <w:jc w:val="center"/>
                    <w:rPr>
                      <w:bCs/>
                      <w:szCs w:val="21"/>
                    </w:rPr>
                  </w:pPr>
                  <w:r>
                    <w:rPr>
                      <w:szCs w:val="21"/>
                    </w:rPr>
                    <w:t>厂界外西侧1m处</w:t>
                  </w:r>
                </w:p>
              </w:tc>
              <w:tc>
                <w:tcPr>
                  <w:tcW w:w="2638" w:type="dxa"/>
                  <w:vAlign w:val="center"/>
                </w:tcPr>
                <w:p w14:paraId="7A39AE8C">
                  <w:pPr>
                    <w:jc w:val="center"/>
                    <w:rPr>
                      <w:bCs/>
                      <w:szCs w:val="21"/>
                    </w:rPr>
                  </w:pPr>
                  <w:r>
                    <w:rPr>
                      <w:rFonts w:hint="eastAsia"/>
                      <w:bCs/>
                      <w:szCs w:val="21"/>
                    </w:rPr>
                    <w:t>55.9</w:t>
                  </w:r>
                </w:p>
              </w:tc>
              <w:tc>
                <w:tcPr>
                  <w:tcW w:w="2639" w:type="dxa"/>
                  <w:vAlign w:val="center"/>
                </w:tcPr>
                <w:p w14:paraId="11EA28D3">
                  <w:pPr>
                    <w:jc w:val="center"/>
                    <w:rPr>
                      <w:bCs/>
                      <w:szCs w:val="21"/>
                    </w:rPr>
                  </w:pPr>
                  <w:r>
                    <w:rPr>
                      <w:rFonts w:hint="eastAsia"/>
                      <w:bCs/>
                      <w:szCs w:val="21"/>
                    </w:rPr>
                    <w:t>58.8</w:t>
                  </w:r>
                </w:p>
              </w:tc>
            </w:tr>
            <w:tr w14:paraId="565A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Align w:val="center"/>
                </w:tcPr>
                <w:p w14:paraId="559F4255">
                  <w:pPr>
                    <w:jc w:val="center"/>
                    <w:rPr>
                      <w:bCs/>
                      <w:szCs w:val="21"/>
                    </w:rPr>
                  </w:pPr>
                  <w:r>
                    <w:rPr>
                      <w:bCs/>
                      <w:szCs w:val="21"/>
                    </w:rPr>
                    <w:t>4</w:t>
                  </w:r>
                </w:p>
              </w:tc>
              <w:tc>
                <w:tcPr>
                  <w:tcW w:w="2805" w:type="dxa"/>
                  <w:vAlign w:val="center"/>
                </w:tcPr>
                <w:p w14:paraId="59C0A47F">
                  <w:pPr>
                    <w:jc w:val="center"/>
                    <w:rPr>
                      <w:bCs/>
                      <w:szCs w:val="21"/>
                    </w:rPr>
                  </w:pPr>
                  <w:r>
                    <w:rPr>
                      <w:szCs w:val="21"/>
                    </w:rPr>
                    <w:t>厂界外北侧1m处</w:t>
                  </w:r>
                </w:p>
              </w:tc>
              <w:tc>
                <w:tcPr>
                  <w:tcW w:w="2638" w:type="dxa"/>
                  <w:vAlign w:val="center"/>
                </w:tcPr>
                <w:p w14:paraId="4E73925F">
                  <w:pPr>
                    <w:jc w:val="center"/>
                    <w:rPr>
                      <w:bCs/>
                      <w:szCs w:val="21"/>
                    </w:rPr>
                  </w:pPr>
                  <w:r>
                    <w:rPr>
                      <w:rFonts w:hint="eastAsia"/>
                      <w:bCs/>
                      <w:szCs w:val="21"/>
                    </w:rPr>
                    <w:t>55.5</w:t>
                  </w:r>
                </w:p>
              </w:tc>
              <w:tc>
                <w:tcPr>
                  <w:tcW w:w="2639" w:type="dxa"/>
                  <w:vAlign w:val="center"/>
                </w:tcPr>
                <w:p w14:paraId="42C3387A">
                  <w:pPr>
                    <w:jc w:val="center"/>
                    <w:rPr>
                      <w:bCs/>
                      <w:szCs w:val="21"/>
                    </w:rPr>
                  </w:pPr>
                  <w:r>
                    <w:rPr>
                      <w:rFonts w:hint="eastAsia"/>
                      <w:bCs/>
                      <w:szCs w:val="21"/>
                    </w:rPr>
                    <w:t>56.4</w:t>
                  </w:r>
                </w:p>
              </w:tc>
            </w:tr>
            <w:tr w14:paraId="1206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Align w:val="center"/>
                </w:tcPr>
                <w:p w14:paraId="69A29654">
                  <w:pPr>
                    <w:jc w:val="center"/>
                    <w:rPr>
                      <w:bCs/>
                      <w:szCs w:val="21"/>
                    </w:rPr>
                  </w:pPr>
                  <w:r>
                    <w:rPr>
                      <w:rFonts w:hint="eastAsia"/>
                      <w:bCs/>
                      <w:szCs w:val="21"/>
                    </w:rPr>
                    <w:t>5</w:t>
                  </w:r>
                </w:p>
              </w:tc>
              <w:tc>
                <w:tcPr>
                  <w:tcW w:w="2805" w:type="dxa"/>
                  <w:vAlign w:val="center"/>
                </w:tcPr>
                <w:p w14:paraId="1D6E0EA7">
                  <w:pPr>
                    <w:jc w:val="center"/>
                    <w:rPr>
                      <w:szCs w:val="21"/>
                    </w:rPr>
                  </w:pPr>
                  <w:r>
                    <w:rPr>
                      <w:rFonts w:hint="eastAsia"/>
                      <w:szCs w:val="21"/>
                    </w:rPr>
                    <w:t>北侧居民点N5</w:t>
                  </w:r>
                </w:p>
              </w:tc>
              <w:tc>
                <w:tcPr>
                  <w:tcW w:w="2638" w:type="dxa"/>
                  <w:vAlign w:val="center"/>
                </w:tcPr>
                <w:p w14:paraId="2234D2FE">
                  <w:pPr>
                    <w:jc w:val="center"/>
                    <w:rPr>
                      <w:bCs/>
                      <w:szCs w:val="21"/>
                    </w:rPr>
                  </w:pPr>
                  <w:r>
                    <w:rPr>
                      <w:rFonts w:hint="eastAsia"/>
                      <w:bCs/>
                      <w:szCs w:val="21"/>
                    </w:rPr>
                    <w:t>56.6</w:t>
                  </w:r>
                </w:p>
              </w:tc>
              <w:tc>
                <w:tcPr>
                  <w:tcW w:w="2639" w:type="dxa"/>
                  <w:vAlign w:val="center"/>
                </w:tcPr>
                <w:p w14:paraId="5F8F2832">
                  <w:pPr>
                    <w:jc w:val="center"/>
                    <w:rPr>
                      <w:bCs/>
                      <w:szCs w:val="21"/>
                    </w:rPr>
                  </w:pPr>
                  <w:r>
                    <w:rPr>
                      <w:rFonts w:hint="eastAsia"/>
                      <w:bCs/>
                      <w:szCs w:val="21"/>
                    </w:rPr>
                    <w:t>56.6</w:t>
                  </w:r>
                </w:p>
              </w:tc>
            </w:tr>
            <w:tr w14:paraId="1854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Align w:val="center"/>
                </w:tcPr>
                <w:p w14:paraId="0BA51C08">
                  <w:pPr>
                    <w:jc w:val="center"/>
                    <w:rPr>
                      <w:bCs/>
                      <w:szCs w:val="21"/>
                    </w:rPr>
                  </w:pPr>
                  <w:r>
                    <w:rPr>
                      <w:rFonts w:hint="eastAsia"/>
                      <w:bCs/>
                      <w:szCs w:val="21"/>
                    </w:rPr>
                    <w:t>6</w:t>
                  </w:r>
                </w:p>
              </w:tc>
              <w:tc>
                <w:tcPr>
                  <w:tcW w:w="2805" w:type="dxa"/>
                  <w:vAlign w:val="center"/>
                </w:tcPr>
                <w:p w14:paraId="583117ED">
                  <w:pPr>
                    <w:jc w:val="center"/>
                    <w:rPr>
                      <w:szCs w:val="21"/>
                    </w:rPr>
                  </w:pPr>
                  <w:r>
                    <w:rPr>
                      <w:rFonts w:hint="eastAsia"/>
                      <w:szCs w:val="21"/>
                    </w:rPr>
                    <w:t>南侧居民点N6</w:t>
                  </w:r>
                </w:p>
              </w:tc>
              <w:tc>
                <w:tcPr>
                  <w:tcW w:w="2638" w:type="dxa"/>
                  <w:vAlign w:val="center"/>
                </w:tcPr>
                <w:p w14:paraId="6E6FC1B3">
                  <w:pPr>
                    <w:jc w:val="center"/>
                    <w:rPr>
                      <w:bCs/>
                      <w:szCs w:val="21"/>
                    </w:rPr>
                  </w:pPr>
                  <w:r>
                    <w:rPr>
                      <w:rFonts w:hint="eastAsia"/>
                      <w:bCs/>
                      <w:szCs w:val="21"/>
                    </w:rPr>
                    <w:t>54.5</w:t>
                  </w:r>
                </w:p>
              </w:tc>
              <w:tc>
                <w:tcPr>
                  <w:tcW w:w="2639" w:type="dxa"/>
                  <w:vAlign w:val="center"/>
                </w:tcPr>
                <w:p w14:paraId="5066F1BA">
                  <w:pPr>
                    <w:jc w:val="center"/>
                    <w:rPr>
                      <w:bCs/>
                      <w:szCs w:val="21"/>
                    </w:rPr>
                  </w:pPr>
                  <w:r>
                    <w:rPr>
                      <w:rFonts w:hint="eastAsia"/>
                      <w:bCs/>
                      <w:szCs w:val="21"/>
                    </w:rPr>
                    <w:t>55.7</w:t>
                  </w:r>
                </w:p>
              </w:tc>
            </w:tr>
            <w:tr w14:paraId="5003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9" w:type="dxa"/>
                  <w:vAlign w:val="center"/>
                </w:tcPr>
                <w:p w14:paraId="768ADFE1">
                  <w:pPr>
                    <w:jc w:val="center"/>
                    <w:rPr>
                      <w:bCs/>
                      <w:szCs w:val="21"/>
                    </w:rPr>
                  </w:pPr>
                  <w:r>
                    <w:rPr>
                      <w:rFonts w:hint="eastAsia"/>
                      <w:bCs/>
                      <w:szCs w:val="21"/>
                    </w:rPr>
                    <w:t>7</w:t>
                  </w:r>
                </w:p>
              </w:tc>
              <w:tc>
                <w:tcPr>
                  <w:tcW w:w="2805" w:type="dxa"/>
                  <w:vAlign w:val="center"/>
                </w:tcPr>
                <w:p w14:paraId="48BBB2B3">
                  <w:pPr>
                    <w:jc w:val="center"/>
                    <w:rPr>
                      <w:szCs w:val="21"/>
                    </w:rPr>
                  </w:pPr>
                  <w:r>
                    <w:rPr>
                      <w:rFonts w:hint="eastAsia"/>
                      <w:szCs w:val="21"/>
                    </w:rPr>
                    <w:t>西南侧敬老院N7</w:t>
                  </w:r>
                </w:p>
              </w:tc>
              <w:tc>
                <w:tcPr>
                  <w:tcW w:w="2638" w:type="dxa"/>
                  <w:vAlign w:val="center"/>
                </w:tcPr>
                <w:p w14:paraId="63C34F86">
                  <w:pPr>
                    <w:jc w:val="center"/>
                    <w:rPr>
                      <w:bCs/>
                      <w:szCs w:val="21"/>
                    </w:rPr>
                  </w:pPr>
                  <w:r>
                    <w:rPr>
                      <w:rFonts w:hint="eastAsia"/>
                      <w:bCs/>
                      <w:szCs w:val="21"/>
                    </w:rPr>
                    <w:t>54.9</w:t>
                  </w:r>
                </w:p>
              </w:tc>
              <w:tc>
                <w:tcPr>
                  <w:tcW w:w="2639" w:type="dxa"/>
                  <w:vAlign w:val="center"/>
                </w:tcPr>
                <w:p w14:paraId="56CEA0FE">
                  <w:pPr>
                    <w:jc w:val="center"/>
                    <w:rPr>
                      <w:bCs/>
                      <w:szCs w:val="21"/>
                    </w:rPr>
                  </w:pPr>
                  <w:r>
                    <w:rPr>
                      <w:rFonts w:hint="eastAsia"/>
                      <w:bCs/>
                      <w:szCs w:val="21"/>
                    </w:rPr>
                    <w:t>54.8</w:t>
                  </w:r>
                </w:p>
              </w:tc>
            </w:tr>
          </w:tbl>
          <w:p w14:paraId="514069D2"/>
          <w:p w14:paraId="22449E3A">
            <w:pPr>
              <w:spacing w:line="360" w:lineRule="auto"/>
              <w:ind w:firstLine="44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综上，根据各污染物的监测结果，项目产生的废气、废水、噪声均能达标排放。</w:t>
            </w:r>
          </w:p>
          <w:p w14:paraId="154E5778">
            <w:pPr>
              <w:spacing w:line="360" w:lineRule="auto"/>
              <w:ind w:firstLine="44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本项目不存在与项目有关的原有环境污染问题。</w:t>
            </w:r>
          </w:p>
          <w:p w14:paraId="7F0E8DA3">
            <w:pPr>
              <w:pStyle w:val="2"/>
              <w:ind w:firstLine="480"/>
            </w:pPr>
          </w:p>
          <w:p w14:paraId="2E6B8F7A"/>
          <w:p w14:paraId="20691816">
            <w:pPr>
              <w:pStyle w:val="2"/>
              <w:ind w:firstLine="480"/>
            </w:pPr>
          </w:p>
          <w:p w14:paraId="43712C55"/>
          <w:p w14:paraId="13D8FC7C">
            <w:pPr>
              <w:pStyle w:val="2"/>
              <w:ind w:firstLine="480"/>
            </w:pPr>
          </w:p>
          <w:p w14:paraId="68FC034B"/>
          <w:p w14:paraId="4274AF74">
            <w:pPr>
              <w:pStyle w:val="2"/>
              <w:ind w:firstLine="480"/>
            </w:pPr>
          </w:p>
          <w:p w14:paraId="0FF9362B"/>
        </w:tc>
      </w:tr>
    </w:tbl>
    <w:p w14:paraId="1A572465">
      <w:pPr>
        <w:pStyle w:val="24"/>
        <w:jc w:val="center"/>
        <w:rPr>
          <w:rFonts w:hint="eastAsia" w:ascii="黑体" w:hAnsi="黑体" w:eastAsia="黑体"/>
          <w:snapToGrid w:val="0"/>
          <w:sz w:val="36"/>
          <w:szCs w:val="36"/>
        </w:rPr>
        <w:sectPr>
          <w:pgSz w:w="11906" w:h="16838"/>
          <w:pgMar w:top="1701" w:right="1531" w:bottom="1701" w:left="1531" w:header="851" w:footer="851" w:gutter="0"/>
          <w:cols w:space="720" w:num="1"/>
          <w:docGrid w:linePitch="312" w:charSpace="0"/>
        </w:sectPr>
      </w:pPr>
    </w:p>
    <w:p w14:paraId="1C1BF1AA">
      <w:pPr>
        <w:pStyle w:val="24"/>
        <w:adjustRightInd w:val="0"/>
        <w:snapToGrid w:val="0"/>
        <w:spacing w:before="0" w:beforeAutospacing="0" w:after="0" w:afterAutospacing="0" w:line="14" w:lineRule="auto"/>
        <w:jc w:val="center"/>
        <w:rPr>
          <w:rFonts w:hint="eastAsia" w:ascii="黑体" w:hAnsi="黑体" w:eastAsia="黑体"/>
          <w:snapToGrid w:val="0"/>
          <w:sz w:val="30"/>
          <w:szCs w:val="30"/>
        </w:rPr>
      </w:pPr>
    </w:p>
    <w:p w14:paraId="7712B85B">
      <w:pPr>
        <w:pStyle w:val="24"/>
        <w:jc w:val="center"/>
        <w:outlineLvl w:val="0"/>
        <w:rPr>
          <w:rFonts w:hint="eastAsia" w:ascii="黑体" w:hAnsi="黑体" w:eastAsia="黑体"/>
          <w:snapToGrid w:val="0"/>
          <w:sz w:val="30"/>
          <w:szCs w:val="30"/>
        </w:rPr>
      </w:pPr>
      <w:bookmarkStart w:id="4" w:name="_Toc26667"/>
      <w:r>
        <w:rPr>
          <w:rFonts w:hint="eastAsia" w:ascii="黑体" w:hAnsi="黑体" w:eastAsia="黑体"/>
          <w:snapToGrid w:val="0"/>
          <w:sz w:val="30"/>
          <w:szCs w:val="30"/>
        </w:rPr>
        <w:t>三、区域环境质量现状、环境保护目标及评价标准</w:t>
      </w:r>
      <w:bookmarkEnd w:id="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396"/>
      </w:tblGrid>
      <w:tr w14:paraId="296E1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243784B4">
            <w:pPr>
              <w:adjustRightInd w:val="0"/>
              <w:snapToGrid w:val="0"/>
              <w:jc w:val="center"/>
              <w:rPr>
                <w:kern w:val="0"/>
                <w:sz w:val="24"/>
              </w:rPr>
            </w:pPr>
            <w:r>
              <w:rPr>
                <w:kern w:val="0"/>
                <w:sz w:val="24"/>
              </w:rPr>
              <w:t>区域</w:t>
            </w:r>
          </w:p>
          <w:p w14:paraId="00EABACC">
            <w:pPr>
              <w:adjustRightInd w:val="0"/>
              <w:snapToGrid w:val="0"/>
              <w:jc w:val="center"/>
              <w:rPr>
                <w:kern w:val="0"/>
                <w:sz w:val="24"/>
              </w:rPr>
            </w:pPr>
            <w:r>
              <w:rPr>
                <w:kern w:val="0"/>
                <w:sz w:val="24"/>
              </w:rPr>
              <w:t>环境</w:t>
            </w:r>
          </w:p>
          <w:p w14:paraId="480CC993">
            <w:pPr>
              <w:adjustRightInd w:val="0"/>
              <w:snapToGrid w:val="0"/>
              <w:jc w:val="center"/>
              <w:rPr>
                <w:kern w:val="0"/>
                <w:sz w:val="24"/>
              </w:rPr>
            </w:pPr>
            <w:r>
              <w:rPr>
                <w:kern w:val="0"/>
                <w:sz w:val="24"/>
              </w:rPr>
              <w:t>质量</w:t>
            </w:r>
          </w:p>
          <w:p w14:paraId="2D9DDF5A">
            <w:pPr>
              <w:adjustRightInd w:val="0"/>
              <w:snapToGrid w:val="0"/>
              <w:jc w:val="center"/>
              <w:rPr>
                <w:kern w:val="0"/>
                <w:sz w:val="24"/>
              </w:rPr>
            </w:pPr>
            <w:r>
              <w:rPr>
                <w:kern w:val="0"/>
                <w:sz w:val="24"/>
              </w:rPr>
              <w:t>现状</w:t>
            </w:r>
          </w:p>
        </w:tc>
        <w:tc>
          <w:tcPr>
            <w:tcW w:w="8190" w:type="dxa"/>
            <w:vAlign w:val="center"/>
          </w:tcPr>
          <w:p w14:paraId="1C8E418F">
            <w:pPr>
              <w:pStyle w:val="56"/>
              <w:ind w:firstLine="482"/>
              <w:rPr>
                <w:b/>
                <w:bCs/>
              </w:rPr>
            </w:pPr>
            <w:r>
              <w:rPr>
                <w:b/>
                <w:bCs/>
              </w:rPr>
              <w:t>1、环境空气质量现状</w:t>
            </w:r>
          </w:p>
          <w:p w14:paraId="770E208E">
            <w:pPr>
              <w:spacing w:line="360" w:lineRule="auto"/>
              <w:ind w:firstLine="480" w:firstLineChars="200"/>
              <w:rPr>
                <w:kern w:val="0"/>
                <w:sz w:val="24"/>
              </w:rPr>
            </w:pPr>
            <w:r>
              <w:rPr>
                <w:sz w:val="24"/>
              </w:rPr>
              <w:t>按照《环境影响评价技术导则 大气环境》（HJ2.2-2018）要求，项目所在 区域达标判定，优先采用国家或地方生态环境部门公开发布的评价基准年环境质量公告或环境质量报告中的数据或结论。评价范围内没有环境质量监测网数据或公开发布的环境空气质量现状数据的，可选择符合 HJ664 规定，并且与评价范围地理位置邻近，地形、气候条件相近的环境空气质量城市点或区域点监测数据</w:t>
            </w:r>
            <w:r>
              <w:rPr>
                <w:rFonts w:hint="eastAsia"/>
                <w:sz w:val="24"/>
              </w:rPr>
              <w:t>。</w:t>
            </w:r>
          </w:p>
          <w:p w14:paraId="7DEBA927">
            <w:pPr>
              <w:spacing w:line="360" w:lineRule="auto"/>
              <w:ind w:firstLine="480" w:firstLineChars="200"/>
              <w:rPr>
                <w:kern w:val="0"/>
                <w:sz w:val="24"/>
                <w:szCs w:val="20"/>
              </w:rPr>
            </w:pPr>
            <w:r>
              <w:rPr>
                <w:rFonts w:hint="eastAsia"/>
                <w:kern w:val="0"/>
                <w:sz w:val="24"/>
                <w:szCs w:val="20"/>
              </w:rPr>
              <w:t>根据衡阳市监测站发布的《关于2024年12月及1~12月份全市环境质量状况的通报》，衡山县</w:t>
            </w:r>
            <w:r>
              <w:rPr>
                <w:kern w:val="0"/>
                <w:sz w:val="24"/>
                <w:szCs w:val="20"/>
              </w:rPr>
              <w:t>二氧化硫和二氧化氮年平均质量浓度、一氧化碳</w:t>
            </w:r>
            <w:r>
              <w:rPr>
                <w:rFonts w:hint="eastAsia"/>
                <w:kern w:val="0"/>
                <w:sz w:val="24"/>
                <w:szCs w:val="20"/>
              </w:rPr>
              <w:t>年</w:t>
            </w:r>
            <w:r>
              <w:rPr>
                <w:kern w:val="0"/>
                <w:sz w:val="24"/>
                <w:szCs w:val="20"/>
              </w:rPr>
              <w:t>评价浓度（第95百分位数）、臭氧年评价浓度（第90百分位数）</w:t>
            </w:r>
            <w:r>
              <w:rPr>
                <w:rFonts w:hint="eastAsia"/>
                <w:kern w:val="0"/>
                <w:sz w:val="24"/>
                <w:szCs w:val="20"/>
              </w:rPr>
              <w:t>、</w:t>
            </w:r>
            <w:r>
              <w:rPr>
                <w:kern w:val="0"/>
                <w:sz w:val="24"/>
                <w:szCs w:val="20"/>
              </w:rPr>
              <w:t>可吸入颗粒物（</w:t>
            </w:r>
            <w:r>
              <w:rPr>
                <w:rFonts w:hint="eastAsia"/>
                <w:kern w:val="0"/>
                <w:sz w:val="24"/>
                <w:szCs w:val="20"/>
              </w:rPr>
              <w:t>PM</w:t>
            </w:r>
            <w:r>
              <w:rPr>
                <w:rFonts w:hint="eastAsia"/>
                <w:kern w:val="0"/>
                <w:sz w:val="24"/>
                <w:szCs w:val="20"/>
                <w:vertAlign w:val="subscript"/>
              </w:rPr>
              <w:t>10</w:t>
            </w:r>
            <w:r>
              <w:rPr>
                <w:kern w:val="0"/>
                <w:sz w:val="24"/>
                <w:szCs w:val="20"/>
              </w:rPr>
              <w:t>）</w:t>
            </w:r>
            <w:r>
              <w:rPr>
                <w:rFonts w:hint="eastAsia"/>
                <w:kern w:val="0"/>
                <w:sz w:val="24"/>
                <w:szCs w:val="20"/>
              </w:rPr>
              <w:t>和</w:t>
            </w:r>
            <w:r>
              <w:rPr>
                <w:kern w:val="0"/>
                <w:sz w:val="24"/>
                <w:szCs w:val="20"/>
              </w:rPr>
              <w:t>细颗粒物（</w:t>
            </w:r>
            <w:r>
              <w:rPr>
                <w:rFonts w:hint="eastAsia"/>
                <w:kern w:val="0"/>
                <w:sz w:val="24"/>
                <w:szCs w:val="20"/>
              </w:rPr>
              <w:t>PM</w:t>
            </w:r>
            <w:r>
              <w:rPr>
                <w:rFonts w:hint="eastAsia"/>
                <w:kern w:val="0"/>
                <w:sz w:val="24"/>
                <w:szCs w:val="20"/>
                <w:vertAlign w:val="subscript"/>
              </w:rPr>
              <w:t>2.5</w:t>
            </w:r>
            <w:r>
              <w:rPr>
                <w:kern w:val="0"/>
                <w:sz w:val="24"/>
                <w:szCs w:val="20"/>
              </w:rPr>
              <w:t>）年平均质量</w:t>
            </w:r>
            <w:r>
              <w:rPr>
                <w:rFonts w:hint="eastAsia"/>
                <w:kern w:val="0"/>
                <w:sz w:val="24"/>
                <w:szCs w:val="20"/>
              </w:rPr>
              <w:t>浓度</w:t>
            </w:r>
            <w:r>
              <w:rPr>
                <w:kern w:val="0"/>
                <w:sz w:val="24"/>
                <w:szCs w:val="20"/>
              </w:rPr>
              <w:t>均达到《环境空气质量标准》（GB3095-2012）二级标准，具体见</w:t>
            </w:r>
            <w:r>
              <w:rPr>
                <w:rFonts w:hint="eastAsia"/>
                <w:kern w:val="0"/>
                <w:sz w:val="24"/>
                <w:szCs w:val="20"/>
              </w:rPr>
              <w:t>表3-1</w:t>
            </w:r>
            <w:r>
              <w:rPr>
                <w:kern w:val="0"/>
                <w:sz w:val="24"/>
                <w:szCs w:val="20"/>
              </w:rPr>
              <w:t>，项目所在区域为达标区。</w:t>
            </w:r>
          </w:p>
          <w:p w14:paraId="2BD64E05"/>
          <w:p w14:paraId="7BE5A16D">
            <w:pPr>
              <w:autoSpaceDE w:val="0"/>
              <w:autoSpaceDN w:val="0"/>
              <w:jc w:val="center"/>
              <w:rPr>
                <w:b/>
                <w:kern w:val="0"/>
                <w:szCs w:val="21"/>
              </w:rPr>
            </w:pPr>
            <w:bookmarkStart w:id="5" w:name="_Ref528415780"/>
            <w:r>
              <w:rPr>
                <w:b/>
                <w:kern w:val="0"/>
                <w:szCs w:val="21"/>
              </w:rPr>
              <w:t>表</w:t>
            </w:r>
            <w:bookmarkEnd w:id="5"/>
            <w:r>
              <w:rPr>
                <w:rFonts w:hint="eastAsia"/>
                <w:b/>
                <w:kern w:val="0"/>
                <w:szCs w:val="21"/>
              </w:rPr>
              <w:t xml:space="preserve">3-1 </w:t>
            </w:r>
            <w:r>
              <w:rPr>
                <w:b/>
                <w:kern w:val="0"/>
                <w:szCs w:val="21"/>
              </w:rPr>
              <w:t xml:space="preserve"> 区域空气质量现状评价表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384"/>
              <w:gridCol w:w="1799"/>
              <w:gridCol w:w="1541"/>
              <w:gridCol w:w="886"/>
              <w:gridCol w:w="824"/>
            </w:tblGrid>
            <w:tr w14:paraId="40F6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vAlign w:val="center"/>
                </w:tcPr>
                <w:p w14:paraId="336EC264">
                  <w:pPr>
                    <w:snapToGrid w:val="0"/>
                    <w:spacing w:line="0" w:lineRule="atLeast"/>
                    <w:jc w:val="center"/>
                    <w:rPr>
                      <w:b/>
                      <w:szCs w:val="21"/>
                    </w:rPr>
                  </w:pPr>
                  <w:r>
                    <w:rPr>
                      <w:b/>
                      <w:szCs w:val="21"/>
                    </w:rPr>
                    <w:t>污染物</w:t>
                  </w:r>
                </w:p>
              </w:tc>
              <w:tc>
                <w:tcPr>
                  <w:tcW w:w="1459" w:type="pct"/>
                  <w:vAlign w:val="center"/>
                </w:tcPr>
                <w:p w14:paraId="3B245078">
                  <w:pPr>
                    <w:snapToGrid w:val="0"/>
                    <w:spacing w:line="0" w:lineRule="atLeast"/>
                    <w:jc w:val="center"/>
                    <w:rPr>
                      <w:b/>
                      <w:szCs w:val="21"/>
                    </w:rPr>
                  </w:pPr>
                  <w:r>
                    <w:rPr>
                      <w:b/>
                      <w:szCs w:val="21"/>
                    </w:rPr>
                    <w:t>年评价指标</w:t>
                  </w:r>
                </w:p>
              </w:tc>
              <w:tc>
                <w:tcPr>
                  <w:tcW w:w="1101" w:type="pct"/>
                  <w:vAlign w:val="center"/>
                </w:tcPr>
                <w:p w14:paraId="7B2FD2C6">
                  <w:pPr>
                    <w:snapToGrid w:val="0"/>
                    <w:spacing w:line="0" w:lineRule="atLeast"/>
                    <w:jc w:val="center"/>
                    <w:rPr>
                      <w:b/>
                      <w:szCs w:val="21"/>
                    </w:rPr>
                  </w:pPr>
                  <w:r>
                    <w:rPr>
                      <w:b/>
                      <w:szCs w:val="21"/>
                    </w:rPr>
                    <w:t>现状浓度（</w:t>
                  </w:r>
                  <w:r>
                    <w:rPr>
                      <w:b/>
                      <w:szCs w:val="20"/>
                    </w:rPr>
                    <w:t>µg/m</w:t>
                  </w:r>
                  <w:r>
                    <w:rPr>
                      <w:b/>
                      <w:szCs w:val="20"/>
                      <w:vertAlign w:val="superscript"/>
                    </w:rPr>
                    <w:t>3</w:t>
                  </w:r>
                  <w:r>
                    <w:rPr>
                      <w:b/>
                      <w:szCs w:val="21"/>
                    </w:rPr>
                    <w:t>）</w:t>
                  </w:r>
                </w:p>
              </w:tc>
              <w:tc>
                <w:tcPr>
                  <w:tcW w:w="943" w:type="pct"/>
                  <w:vAlign w:val="center"/>
                </w:tcPr>
                <w:p w14:paraId="74B5E532">
                  <w:pPr>
                    <w:snapToGrid w:val="0"/>
                    <w:spacing w:line="0" w:lineRule="atLeast"/>
                    <w:jc w:val="center"/>
                    <w:rPr>
                      <w:b/>
                      <w:szCs w:val="21"/>
                    </w:rPr>
                  </w:pPr>
                  <w:r>
                    <w:rPr>
                      <w:b/>
                      <w:szCs w:val="21"/>
                    </w:rPr>
                    <w:t>标准值（</w:t>
                  </w:r>
                  <w:r>
                    <w:rPr>
                      <w:b/>
                      <w:szCs w:val="20"/>
                    </w:rPr>
                    <w:t>µg/m</w:t>
                  </w:r>
                  <w:r>
                    <w:rPr>
                      <w:b/>
                      <w:szCs w:val="20"/>
                      <w:vertAlign w:val="superscript"/>
                    </w:rPr>
                    <w:t>3</w:t>
                  </w:r>
                  <w:r>
                    <w:rPr>
                      <w:b/>
                      <w:szCs w:val="21"/>
                    </w:rPr>
                    <w:t>）</w:t>
                  </w:r>
                </w:p>
              </w:tc>
              <w:tc>
                <w:tcPr>
                  <w:tcW w:w="542" w:type="pct"/>
                  <w:vAlign w:val="center"/>
                </w:tcPr>
                <w:p w14:paraId="0126A555">
                  <w:pPr>
                    <w:snapToGrid w:val="0"/>
                    <w:spacing w:line="0" w:lineRule="atLeast"/>
                    <w:jc w:val="center"/>
                    <w:rPr>
                      <w:b/>
                      <w:szCs w:val="21"/>
                    </w:rPr>
                  </w:pPr>
                  <w:r>
                    <w:rPr>
                      <w:b/>
                      <w:szCs w:val="21"/>
                    </w:rPr>
                    <w:t>占标率%</w:t>
                  </w:r>
                </w:p>
              </w:tc>
              <w:tc>
                <w:tcPr>
                  <w:tcW w:w="505" w:type="pct"/>
                  <w:vAlign w:val="center"/>
                </w:tcPr>
                <w:p w14:paraId="42A14C3A">
                  <w:pPr>
                    <w:snapToGrid w:val="0"/>
                    <w:spacing w:line="0" w:lineRule="atLeast"/>
                    <w:jc w:val="center"/>
                    <w:rPr>
                      <w:b/>
                      <w:szCs w:val="21"/>
                    </w:rPr>
                  </w:pPr>
                  <w:r>
                    <w:rPr>
                      <w:b/>
                      <w:szCs w:val="21"/>
                    </w:rPr>
                    <w:t>达标情况</w:t>
                  </w:r>
                </w:p>
              </w:tc>
            </w:tr>
            <w:tr w14:paraId="04A8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vAlign w:val="center"/>
                </w:tcPr>
                <w:p w14:paraId="3BBE929F">
                  <w:pPr>
                    <w:snapToGrid w:val="0"/>
                    <w:spacing w:line="0" w:lineRule="atLeast"/>
                    <w:jc w:val="center"/>
                    <w:rPr>
                      <w:szCs w:val="21"/>
                    </w:rPr>
                  </w:pPr>
                  <w:r>
                    <w:rPr>
                      <w:szCs w:val="21"/>
                    </w:rPr>
                    <w:t>SO</w:t>
                  </w:r>
                  <w:r>
                    <w:rPr>
                      <w:szCs w:val="21"/>
                      <w:vertAlign w:val="subscript"/>
                    </w:rPr>
                    <w:t>2</w:t>
                  </w:r>
                </w:p>
              </w:tc>
              <w:tc>
                <w:tcPr>
                  <w:tcW w:w="1459" w:type="pct"/>
                  <w:vAlign w:val="center"/>
                </w:tcPr>
                <w:p w14:paraId="190BAD6A">
                  <w:pPr>
                    <w:jc w:val="center"/>
                    <w:rPr>
                      <w:bCs/>
                      <w:szCs w:val="21"/>
                    </w:rPr>
                  </w:pPr>
                  <w:r>
                    <w:rPr>
                      <w:bCs/>
                      <w:szCs w:val="21"/>
                    </w:rPr>
                    <w:t>年平均质量浓度</w:t>
                  </w:r>
                </w:p>
              </w:tc>
              <w:tc>
                <w:tcPr>
                  <w:tcW w:w="1101" w:type="pct"/>
                  <w:vAlign w:val="center"/>
                </w:tcPr>
                <w:p w14:paraId="70087234">
                  <w:pPr>
                    <w:jc w:val="center"/>
                    <w:rPr>
                      <w:bCs/>
                      <w:szCs w:val="21"/>
                    </w:rPr>
                  </w:pPr>
                  <w:r>
                    <w:rPr>
                      <w:rFonts w:hint="eastAsia"/>
                      <w:bCs/>
                      <w:szCs w:val="21"/>
                    </w:rPr>
                    <w:t>8</w:t>
                  </w:r>
                </w:p>
              </w:tc>
              <w:tc>
                <w:tcPr>
                  <w:tcW w:w="943" w:type="pct"/>
                  <w:vAlign w:val="center"/>
                </w:tcPr>
                <w:p w14:paraId="0F1225A9">
                  <w:pPr>
                    <w:jc w:val="center"/>
                    <w:rPr>
                      <w:bCs/>
                      <w:szCs w:val="21"/>
                    </w:rPr>
                  </w:pPr>
                  <w:r>
                    <w:rPr>
                      <w:bCs/>
                      <w:szCs w:val="21"/>
                    </w:rPr>
                    <w:t>60</w:t>
                  </w:r>
                </w:p>
              </w:tc>
              <w:tc>
                <w:tcPr>
                  <w:tcW w:w="542" w:type="pct"/>
                  <w:vAlign w:val="center"/>
                </w:tcPr>
                <w:p w14:paraId="463B861B">
                  <w:pPr>
                    <w:jc w:val="center"/>
                    <w:rPr>
                      <w:bCs/>
                      <w:szCs w:val="21"/>
                    </w:rPr>
                  </w:pPr>
                  <w:r>
                    <w:rPr>
                      <w:rFonts w:hint="eastAsia"/>
                      <w:bCs/>
                      <w:szCs w:val="21"/>
                    </w:rPr>
                    <w:t>13.3</w:t>
                  </w:r>
                </w:p>
              </w:tc>
              <w:tc>
                <w:tcPr>
                  <w:tcW w:w="505" w:type="pct"/>
                  <w:vAlign w:val="center"/>
                </w:tcPr>
                <w:p w14:paraId="74949F1C">
                  <w:pPr>
                    <w:jc w:val="center"/>
                    <w:rPr>
                      <w:bCs/>
                      <w:szCs w:val="21"/>
                    </w:rPr>
                  </w:pPr>
                  <w:r>
                    <w:rPr>
                      <w:bCs/>
                      <w:szCs w:val="21"/>
                    </w:rPr>
                    <w:t>达标</w:t>
                  </w:r>
                </w:p>
              </w:tc>
            </w:tr>
            <w:tr w14:paraId="155F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vAlign w:val="center"/>
                </w:tcPr>
                <w:p w14:paraId="5E6D518E">
                  <w:pPr>
                    <w:snapToGrid w:val="0"/>
                    <w:spacing w:line="0" w:lineRule="atLeast"/>
                    <w:jc w:val="center"/>
                    <w:rPr>
                      <w:szCs w:val="21"/>
                    </w:rPr>
                  </w:pPr>
                  <w:r>
                    <w:rPr>
                      <w:szCs w:val="21"/>
                    </w:rPr>
                    <w:t>NO</w:t>
                  </w:r>
                  <w:r>
                    <w:rPr>
                      <w:szCs w:val="21"/>
                      <w:vertAlign w:val="subscript"/>
                    </w:rPr>
                    <w:t>2</w:t>
                  </w:r>
                </w:p>
              </w:tc>
              <w:tc>
                <w:tcPr>
                  <w:tcW w:w="1459" w:type="pct"/>
                  <w:vAlign w:val="center"/>
                </w:tcPr>
                <w:p w14:paraId="22DE9CBD">
                  <w:pPr>
                    <w:jc w:val="center"/>
                    <w:rPr>
                      <w:bCs/>
                      <w:szCs w:val="21"/>
                    </w:rPr>
                  </w:pPr>
                  <w:r>
                    <w:rPr>
                      <w:bCs/>
                      <w:szCs w:val="21"/>
                    </w:rPr>
                    <w:t>年平均质量浓度</w:t>
                  </w:r>
                </w:p>
              </w:tc>
              <w:tc>
                <w:tcPr>
                  <w:tcW w:w="1101" w:type="pct"/>
                  <w:vAlign w:val="center"/>
                </w:tcPr>
                <w:p w14:paraId="512FC491">
                  <w:pPr>
                    <w:jc w:val="center"/>
                    <w:rPr>
                      <w:bCs/>
                      <w:szCs w:val="21"/>
                    </w:rPr>
                  </w:pPr>
                  <w:r>
                    <w:rPr>
                      <w:rFonts w:hint="eastAsia"/>
                      <w:bCs/>
                      <w:szCs w:val="21"/>
                    </w:rPr>
                    <w:t>15</w:t>
                  </w:r>
                </w:p>
              </w:tc>
              <w:tc>
                <w:tcPr>
                  <w:tcW w:w="943" w:type="pct"/>
                  <w:vAlign w:val="center"/>
                </w:tcPr>
                <w:p w14:paraId="3094DA93">
                  <w:pPr>
                    <w:jc w:val="center"/>
                    <w:rPr>
                      <w:bCs/>
                      <w:szCs w:val="21"/>
                    </w:rPr>
                  </w:pPr>
                  <w:r>
                    <w:rPr>
                      <w:bCs/>
                      <w:szCs w:val="21"/>
                    </w:rPr>
                    <w:t>40</w:t>
                  </w:r>
                </w:p>
              </w:tc>
              <w:tc>
                <w:tcPr>
                  <w:tcW w:w="542" w:type="pct"/>
                  <w:vAlign w:val="center"/>
                </w:tcPr>
                <w:p w14:paraId="59920275">
                  <w:pPr>
                    <w:jc w:val="center"/>
                    <w:rPr>
                      <w:bCs/>
                      <w:szCs w:val="21"/>
                    </w:rPr>
                  </w:pPr>
                  <w:r>
                    <w:rPr>
                      <w:rFonts w:hint="eastAsia"/>
                      <w:bCs/>
                      <w:szCs w:val="21"/>
                    </w:rPr>
                    <w:t>37.5</w:t>
                  </w:r>
                </w:p>
              </w:tc>
              <w:tc>
                <w:tcPr>
                  <w:tcW w:w="505" w:type="pct"/>
                  <w:vAlign w:val="center"/>
                </w:tcPr>
                <w:p w14:paraId="5175202A">
                  <w:pPr>
                    <w:jc w:val="center"/>
                    <w:rPr>
                      <w:bCs/>
                      <w:szCs w:val="21"/>
                    </w:rPr>
                  </w:pPr>
                  <w:r>
                    <w:rPr>
                      <w:bCs/>
                      <w:szCs w:val="21"/>
                    </w:rPr>
                    <w:t>达标</w:t>
                  </w:r>
                </w:p>
              </w:tc>
            </w:tr>
            <w:tr w14:paraId="55B5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vAlign w:val="center"/>
                </w:tcPr>
                <w:p w14:paraId="1663DE65">
                  <w:pPr>
                    <w:snapToGrid w:val="0"/>
                    <w:spacing w:line="0" w:lineRule="atLeast"/>
                    <w:jc w:val="center"/>
                    <w:rPr>
                      <w:szCs w:val="21"/>
                    </w:rPr>
                  </w:pPr>
                  <w:r>
                    <w:rPr>
                      <w:szCs w:val="21"/>
                    </w:rPr>
                    <w:t>CO</w:t>
                  </w:r>
                </w:p>
              </w:tc>
              <w:tc>
                <w:tcPr>
                  <w:tcW w:w="1459" w:type="pct"/>
                  <w:vAlign w:val="center"/>
                </w:tcPr>
                <w:p w14:paraId="105783AA">
                  <w:pPr>
                    <w:jc w:val="center"/>
                    <w:rPr>
                      <w:szCs w:val="21"/>
                    </w:rPr>
                  </w:pPr>
                  <w:r>
                    <w:rPr>
                      <w:szCs w:val="21"/>
                    </w:rPr>
                    <w:t>百分位数日平均质量浓度</w:t>
                  </w:r>
                </w:p>
              </w:tc>
              <w:tc>
                <w:tcPr>
                  <w:tcW w:w="1101" w:type="pct"/>
                  <w:vAlign w:val="center"/>
                </w:tcPr>
                <w:p w14:paraId="0862C25D">
                  <w:pPr>
                    <w:jc w:val="center"/>
                    <w:rPr>
                      <w:szCs w:val="21"/>
                      <w:highlight w:val="yellow"/>
                    </w:rPr>
                  </w:pPr>
                  <w:r>
                    <w:rPr>
                      <w:szCs w:val="21"/>
                    </w:rPr>
                    <w:t>1000</w:t>
                  </w:r>
                </w:p>
              </w:tc>
              <w:tc>
                <w:tcPr>
                  <w:tcW w:w="943" w:type="pct"/>
                  <w:vAlign w:val="center"/>
                </w:tcPr>
                <w:p w14:paraId="4FC726B4">
                  <w:pPr>
                    <w:jc w:val="center"/>
                    <w:rPr>
                      <w:szCs w:val="21"/>
                    </w:rPr>
                  </w:pPr>
                  <w:r>
                    <w:rPr>
                      <w:szCs w:val="21"/>
                    </w:rPr>
                    <w:t>4000</w:t>
                  </w:r>
                </w:p>
              </w:tc>
              <w:tc>
                <w:tcPr>
                  <w:tcW w:w="542" w:type="pct"/>
                  <w:vAlign w:val="center"/>
                </w:tcPr>
                <w:p w14:paraId="262494B8">
                  <w:pPr>
                    <w:jc w:val="center"/>
                    <w:rPr>
                      <w:szCs w:val="21"/>
                    </w:rPr>
                  </w:pPr>
                  <w:r>
                    <w:rPr>
                      <w:rFonts w:hint="eastAsia"/>
                      <w:szCs w:val="21"/>
                    </w:rPr>
                    <w:t>25</w:t>
                  </w:r>
                </w:p>
              </w:tc>
              <w:tc>
                <w:tcPr>
                  <w:tcW w:w="505" w:type="pct"/>
                  <w:vAlign w:val="center"/>
                </w:tcPr>
                <w:p w14:paraId="646A1BB3">
                  <w:pPr>
                    <w:jc w:val="center"/>
                    <w:rPr>
                      <w:szCs w:val="21"/>
                    </w:rPr>
                  </w:pPr>
                  <w:r>
                    <w:rPr>
                      <w:bCs/>
                      <w:szCs w:val="21"/>
                    </w:rPr>
                    <w:t>达标</w:t>
                  </w:r>
                </w:p>
              </w:tc>
            </w:tr>
            <w:tr w14:paraId="296F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vAlign w:val="center"/>
                </w:tcPr>
                <w:p w14:paraId="33B327E4">
                  <w:pPr>
                    <w:snapToGrid w:val="0"/>
                    <w:spacing w:line="0" w:lineRule="atLeast"/>
                    <w:jc w:val="center"/>
                    <w:rPr>
                      <w:szCs w:val="21"/>
                    </w:rPr>
                  </w:pPr>
                  <w:r>
                    <w:rPr>
                      <w:szCs w:val="21"/>
                    </w:rPr>
                    <w:t>O</w:t>
                  </w:r>
                  <w:r>
                    <w:rPr>
                      <w:szCs w:val="21"/>
                      <w:vertAlign w:val="subscript"/>
                    </w:rPr>
                    <w:t>3</w:t>
                  </w:r>
                </w:p>
              </w:tc>
              <w:tc>
                <w:tcPr>
                  <w:tcW w:w="1459" w:type="pct"/>
                  <w:vAlign w:val="center"/>
                </w:tcPr>
                <w:p w14:paraId="7B0E2E3D">
                  <w:pPr>
                    <w:jc w:val="center"/>
                    <w:rPr>
                      <w:szCs w:val="21"/>
                    </w:rPr>
                  </w:pPr>
                  <w:r>
                    <w:rPr>
                      <w:szCs w:val="21"/>
                    </w:rPr>
                    <w:t>百分位数8h平均质量浓度</w:t>
                  </w:r>
                </w:p>
              </w:tc>
              <w:tc>
                <w:tcPr>
                  <w:tcW w:w="1101" w:type="pct"/>
                  <w:vAlign w:val="center"/>
                </w:tcPr>
                <w:p w14:paraId="6A10E73F">
                  <w:pPr>
                    <w:jc w:val="center"/>
                    <w:rPr>
                      <w:szCs w:val="21"/>
                    </w:rPr>
                  </w:pPr>
                  <w:r>
                    <w:rPr>
                      <w:rFonts w:hint="eastAsia"/>
                      <w:szCs w:val="21"/>
                    </w:rPr>
                    <w:t>130</w:t>
                  </w:r>
                </w:p>
              </w:tc>
              <w:tc>
                <w:tcPr>
                  <w:tcW w:w="943" w:type="pct"/>
                  <w:vAlign w:val="center"/>
                </w:tcPr>
                <w:p w14:paraId="25845D4A">
                  <w:pPr>
                    <w:jc w:val="center"/>
                    <w:rPr>
                      <w:szCs w:val="21"/>
                    </w:rPr>
                  </w:pPr>
                  <w:r>
                    <w:rPr>
                      <w:szCs w:val="21"/>
                    </w:rPr>
                    <w:t>160</w:t>
                  </w:r>
                </w:p>
              </w:tc>
              <w:tc>
                <w:tcPr>
                  <w:tcW w:w="542" w:type="pct"/>
                  <w:vAlign w:val="center"/>
                </w:tcPr>
                <w:p w14:paraId="61FBADF5">
                  <w:pPr>
                    <w:jc w:val="center"/>
                    <w:rPr>
                      <w:szCs w:val="21"/>
                    </w:rPr>
                  </w:pPr>
                  <w:r>
                    <w:rPr>
                      <w:rFonts w:hint="eastAsia"/>
                      <w:szCs w:val="21"/>
                    </w:rPr>
                    <w:t>81.3</w:t>
                  </w:r>
                </w:p>
              </w:tc>
              <w:tc>
                <w:tcPr>
                  <w:tcW w:w="505" w:type="pct"/>
                  <w:vAlign w:val="center"/>
                </w:tcPr>
                <w:p w14:paraId="0F4D7430">
                  <w:pPr>
                    <w:jc w:val="center"/>
                    <w:rPr>
                      <w:szCs w:val="21"/>
                    </w:rPr>
                  </w:pPr>
                  <w:r>
                    <w:rPr>
                      <w:bCs/>
                      <w:szCs w:val="21"/>
                    </w:rPr>
                    <w:t>达标</w:t>
                  </w:r>
                </w:p>
              </w:tc>
            </w:tr>
            <w:tr w14:paraId="7534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vAlign w:val="center"/>
                </w:tcPr>
                <w:p w14:paraId="22DE3462">
                  <w:pPr>
                    <w:snapToGrid w:val="0"/>
                    <w:spacing w:line="0" w:lineRule="atLeast"/>
                    <w:jc w:val="center"/>
                    <w:rPr>
                      <w:szCs w:val="21"/>
                      <w:vertAlign w:val="subscript"/>
                    </w:rPr>
                  </w:pPr>
                  <w:r>
                    <w:rPr>
                      <w:szCs w:val="21"/>
                    </w:rPr>
                    <w:t>PM</w:t>
                  </w:r>
                  <w:r>
                    <w:rPr>
                      <w:szCs w:val="21"/>
                      <w:vertAlign w:val="subscript"/>
                    </w:rPr>
                    <w:t>10</w:t>
                  </w:r>
                </w:p>
              </w:tc>
              <w:tc>
                <w:tcPr>
                  <w:tcW w:w="1459" w:type="pct"/>
                  <w:vAlign w:val="center"/>
                </w:tcPr>
                <w:p w14:paraId="418C48CD">
                  <w:pPr>
                    <w:jc w:val="center"/>
                    <w:rPr>
                      <w:szCs w:val="21"/>
                    </w:rPr>
                  </w:pPr>
                  <w:r>
                    <w:rPr>
                      <w:bCs/>
                      <w:szCs w:val="21"/>
                    </w:rPr>
                    <w:t>年平均质量浓度</w:t>
                  </w:r>
                </w:p>
              </w:tc>
              <w:tc>
                <w:tcPr>
                  <w:tcW w:w="1101" w:type="pct"/>
                  <w:vAlign w:val="center"/>
                </w:tcPr>
                <w:p w14:paraId="3DD1B8F7">
                  <w:pPr>
                    <w:jc w:val="center"/>
                    <w:rPr>
                      <w:szCs w:val="21"/>
                    </w:rPr>
                  </w:pPr>
                  <w:r>
                    <w:rPr>
                      <w:rFonts w:hint="eastAsia"/>
                      <w:szCs w:val="21"/>
                    </w:rPr>
                    <w:t>48</w:t>
                  </w:r>
                </w:p>
              </w:tc>
              <w:tc>
                <w:tcPr>
                  <w:tcW w:w="943" w:type="pct"/>
                  <w:vAlign w:val="center"/>
                </w:tcPr>
                <w:p w14:paraId="31B1A310">
                  <w:pPr>
                    <w:jc w:val="center"/>
                    <w:rPr>
                      <w:szCs w:val="21"/>
                    </w:rPr>
                  </w:pPr>
                  <w:r>
                    <w:rPr>
                      <w:szCs w:val="21"/>
                    </w:rPr>
                    <w:t>70</w:t>
                  </w:r>
                </w:p>
              </w:tc>
              <w:tc>
                <w:tcPr>
                  <w:tcW w:w="542" w:type="pct"/>
                  <w:vAlign w:val="center"/>
                </w:tcPr>
                <w:p w14:paraId="06C973A9">
                  <w:pPr>
                    <w:jc w:val="center"/>
                    <w:rPr>
                      <w:szCs w:val="21"/>
                    </w:rPr>
                  </w:pPr>
                  <w:r>
                    <w:rPr>
                      <w:rFonts w:hint="eastAsia"/>
                      <w:szCs w:val="21"/>
                    </w:rPr>
                    <w:t>68.6</w:t>
                  </w:r>
                </w:p>
              </w:tc>
              <w:tc>
                <w:tcPr>
                  <w:tcW w:w="505" w:type="pct"/>
                  <w:vAlign w:val="center"/>
                </w:tcPr>
                <w:p w14:paraId="7966BB82">
                  <w:pPr>
                    <w:jc w:val="center"/>
                    <w:rPr>
                      <w:szCs w:val="21"/>
                    </w:rPr>
                  </w:pPr>
                  <w:r>
                    <w:rPr>
                      <w:rFonts w:hint="eastAsia"/>
                      <w:szCs w:val="21"/>
                    </w:rPr>
                    <w:t>达</w:t>
                  </w:r>
                  <w:r>
                    <w:rPr>
                      <w:szCs w:val="21"/>
                    </w:rPr>
                    <w:t>标</w:t>
                  </w:r>
                </w:p>
              </w:tc>
            </w:tr>
            <w:tr w14:paraId="7A3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vAlign w:val="center"/>
                </w:tcPr>
                <w:p w14:paraId="78877CD3">
                  <w:pPr>
                    <w:snapToGrid w:val="0"/>
                    <w:spacing w:line="0" w:lineRule="atLeast"/>
                    <w:jc w:val="center"/>
                    <w:rPr>
                      <w:szCs w:val="21"/>
                      <w:vertAlign w:val="subscript"/>
                    </w:rPr>
                  </w:pPr>
                  <w:r>
                    <w:rPr>
                      <w:szCs w:val="21"/>
                    </w:rPr>
                    <w:t>PM</w:t>
                  </w:r>
                  <w:r>
                    <w:rPr>
                      <w:szCs w:val="21"/>
                      <w:vertAlign w:val="subscript"/>
                    </w:rPr>
                    <w:t>2.5</w:t>
                  </w:r>
                </w:p>
              </w:tc>
              <w:tc>
                <w:tcPr>
                  <w:tcW w:w="1459" w:type="pct"/>
                  <w:vAlign w:val="center"/>
                </w:tcPr>
                <w:p w14:paraId="00CC973A">
                  <w:pPr>
                    <w:snapToGrid w:val="0"/>
                    <w:spacing w:line="0" w:lineRule="atLeast"/>
                    <w:jc w:val="center"/>
                    <w:rPr>
                      <w:szCs w:val="21"/>
                      <w:vertAlign w:val="subscript"/>
                    </w:rPr>
                  </w:pPr>
                  <w:r>
                    <w:rPr>
                      <w:bCs/>
                      <w:szCs w:val="21"/>
                    </w:rPr>
                    <w:t>年平均质量浓度</w:t>
                  </w:r>
                </w:p>
              </w:tc>
              <w:tc>
                <w:tcPr>
                  <w:tcW w:w="1101" w:type="pct"/>
                  <w:vAlign w:val="center"/>
                </w:tcPr>
                <w:p w14:paraId="43D24730">
                  <w:pPr>
                    <w:jc w:val="center"/>
                    <w:rPr>
                      <w:szCs w:val="21"/>
                    </w:rPr>
                  </w:pPr>
                  <w:r>
                    <w:rPr>
                      <w:rFonts w:hint="eastAsia"/>
                      <w:szCs w:val="21"/>
                    </w:rPr>
                    <w:t>31</w:t>
                  </w:r>
                </w:p>
              </w:tc>
              <w:tc>
                <w:tcPr>
                  <w:tcW w:w="943" w:type="pct"/>
                  <w:vAlign w:val="center"/>
                </w:tcPr>
                <w:p w14:paraId="7501E257">
                  <w:pPr>
                    <w:jc w:val="center"/>
                    <w:rPr>
                      <w:szCs w:val="21"/>
                    </w:rPr>
                  </w:pPr>
                  <w:r>
                    <w:rPr>
                      <w:szCs w:val="21"/>
                    </w:rPr>
                    <w:t>35</w:t>
                  </w:r>
                </w:p>
              </w:tc>
              <w:tc>
                <w:tcPr>
                  <w:tcW w:w="542" w:type="pct"/>
                  <w:vAlign w:val="center"/>
                </w:tcPr>
                <w:p w14:paraId="64550A1B">
                  <w:pPr>
                    <w:jc w:val="center"/>
                    <w:rPr>
                      <w:szCs w:val="21"/>
                    </w:rPr>
                  </w:pPr>
                  <w:r>
                    <w:rPr>
                      <w:rFonts w:hint="eastAsia"/>
                      <w:szCs w:val="21"/>
                    </w:rPr>
                    <w:t>85.7</w:t>
                  </w:r>
                </w:p>
              </w:tc>
              <w:tc>
                <w:tcPr>
                  <w:tcW w:w="505" w:type="pct"/>
                  <w:vAlign w:val="center"/>
                </w:tcPr>
                <w:p w14:paraId="2D719A3B">
                  <w:pPr>
                    <w:jc w:val="center"/>
                    <w:rPr>
                      <w:szCs w:val="21"/>
                    </w:rPr>
                  </w:pPr>
                  <w:r>
                    <w:rPr>
                      <w:rFonts w:hint="eastAsia"/>
                      <w:szCs w:val="21"/>
                    </w:rPr>
                    <w:t>达</w:t>
                  </w:r>
                  <w:r>
                    <w:rPr>
                      <w:szCs w:val="21"/>
                    </w:rPr>
                    <w:t>标</w:t>
                  </w:r>
                </w:p>
              </w:tc>
            </w:tr>
          </w:tbl>
          <w:p w14:paraId="06A4AA9E">
            <w:pPr>
              <w:pStyle w:val="32"/>
              <w:spacing w:line="360" w:lineRule="auto"/>
              <w:ind w:firstLine="480" w:firstLineChars="200"/>
              <w:rPr>
                <w:rFonts w:ascii="Times New Roman" w:cs="Times New Roman"/>
              </w:rPr>
            </w:pPr>
          </w:p>
          <w:p w14:paraId="1C2E3119">
            <w:pPr>
              <w:pStyle w:val="32"/>
              <w:spacing w:line="360" w:lineRule="auto"/>
              <w:ind w:firstLine="480" w:firstLineChars="200"/>
              <w:rPr>
                <w:rFonts w:ascii="Times New Roman" w:cs="Times New Roman"/>
              </w:rPr>
            </w:pPr>
            <w:r>
              <w:rPr>
                <w:rFonts w:hint="eastAsia" w:ascii="Times New Roman" w:cs="Times New Roman"/>
              </w:rPr>
              <w:t>（2）特征因子补充监测</w:t>
            </w:r>
          </w:p>
          <w:p w14:paraId="331E4434">
            <w:pPr>
              <w:pStyle w:val="32"/>
              <w:spacing w:line="360" w:lineRule="auto"/>
              <w:ind w:firstLine="480" w:firstLineChars="200"/>
              <w:rPr>
                <w:rFonts w:ascii="Times New Roman" w:cs="Times New Roman"/>
              </w:rPr>
            </w:pPr>
            <w:r>
              <w:rPr>
                <w:rFonts w:hint="eastAsia" w:ascii="Times New Roman" w:cs="Times New Roman"/>
              </w:rPr>
              <w:t>本项目主要特征大气污染物为颗粒物，</w:t>
            </w:r>
            <w:r>
              <w:rPr>
                <w:rFonts w:hint="eastAsia"/>
              </w:rPr>
              <w:t>为了解厂界周围的</w:t>
            </w:r>
            <w:r>
              <w:rPr>
                <w:rFonts w:ascii="Times New Roman" w:cs="Times New Roman"/>
              </w:rPr>
              <w:t>TSP环境质量现状，企业委托</w:t>
            </w:r>
            <w:r>
              <w:rPr>
                <w:rFonts w:ascii="Times New Roman" w:cs="Times New Roman"/>
                <w:color w:val="000000" w:themeColor="text1"/>
                <w14:textFill>
                  <w14:solidFill>
                    <w14:schemeClr w14:val="tx1"/>
                  </w14:solidFill>
                </w14:textFill>
              </w:rPr>
              <w:t>湖南紫素环保科技有限公司</w:t>
            </w:r>
            <w:r>
              <w:rPr>
                <w:rFonts w:ascii="Times New Roman" w:cs="Times New Roman"/>
              </w:rPr>
              <w:t>于2025年5月22日-5月2</w:t>
            </w:r>
            <w:r>
              <w:rPr>
                <w:rFonts w:hint="eastAsia" w:ascii="Times New Roman" w:cs="Times New Roman"/>
              </w:rPr>
              <w:t>4</w:t>
            </w:r>
            <w:r>
              <w:rPr>
                <w:rFonts w:ascii="Times New Roman" w:cs="Times New Roman"/>
              </w:rPr>
              <w:t>日</w:t>
            </w:r>
            <w:r>
              <w:rPr>
                <w:rFonts w:hint="eastAsia" w:ascii="Times New Roman" w:cs="Times New Roman"/>
              </w:rPr>
              <w:t>，对项目所在区域的TSP进行补充监测数据。</w:t>
            </w:r>
          </w:p>
          <w:p w14:paraId="2B2B5A9B">
            <w:pPr>
              <w:autoSpaceDE w:val="0"/>
              <w:autoSpaceDN w:val="0"/>
              <w:adjustRightInd w:val="0"/>
              <w:snapToGrid w:val="0"/>
              <w:spacing w:line="360" w:lineRule="auto"/>
              <w:ind w:firstLine="360" w:firstLineChars="150"/>
              <w:textAlignment w:val="baseline"/>
              <w:rPr>
                <w:kern w:val="0"/>
                <w:sz w:val="24"/>
              </w:rPr>
            </w:pPr>
            <w:r>
              <w:rPr>
                <w:kern w:val="0"/>
                <w:sz w:val="24"/>
              </w:rPr>
              <w:t>（1）监测布点：</w:t>
            </w:r>
            <w:r>
              <w:rPr>
                <w:rFonts w:hint="eastAsia"/>
                <w:kern w:val="0"/>
                <w:sz w:val="24"/>
              </w:rPr>
              <w:t>厂区下风向西南侧</w:t>
            </w:r>
            <w:r>
              <w:rPr>
                <w:kern w:val="0"/>
                <w:sz w:val="24"/>
              </w:rPr>
              <w:t>；</w:t>
            </w:r>
          </w:p>
          <w:p w14:paraId="393FAC5F">
            <w:pPr>
              <w:autoSpaceDE w:val="0"/>
              <w:autoSpaceDN w:val="0"/>
              <w:adjustRightInd w:val="0"/>
              <w:snapToGrid w:val="0"/>
              <w:spacing w:line="360" w:lineRule="auto"/>
              <w:ind w:firstLine="360" w:firstLineChars="150"/>
              <w:textAlignment w:val="baseline"/>
              <w:rPr>
                <w:kern w:val="0"/>
                <w:sz w:val="24"/>
              </w:rPr>
            </w:pPr>
            <w:r>
              <w:rPr>
                <w:kern w:val="0"/>
                <w:sz w:val="24"/>
              </w:rPr>
              <w:t>（2）监测因子：</w:t>
            </w:r>
            <w:r>
              <w:rPr>
                <w:bCs/>
                <w:kern w:val="0"/>
                <w:sz w:val="24"/>
              </w:rPr>
              <w:t>颗粒物</w:t>
            </w:r>
            <w:r>
              <w:rPr>
                <w:kern w:val="0"/>
                <w:sz w:val="24"/>
              </w:rPr>
              <w:t>；</w:t>
            </w:r>
          </w:p>
          <w:p w14:paraId="5AC49DF7">
            <w:pPr>
              <w:autoSpaceDE w:val="0"/>
              <w:autoSpaceDN w:val="0"/>
              <w:adjustRightInd w:val="0"/>
              <w:snapToGrid w:val="0"/>
              <w:spacing w:line="360" w:lineRule="auto"/>
              <w:ind w:firstLine="360" w:firstLineChars="150"/>
              <w:textAlignment w:val="baseline"/>
              <w:rPr>
                <w:kern w:val="0"/>
                <w:sz w:val="24"/>
              </w:rPr>
            </w:pPr>
            <w:r>
              <w:rPr>
                <w:kern w:val="0"/>
                <w:sz w:val="24"/>
              </w:rPr>
              <w:t>（3）监测频次：</w:t>
            </w:r>
            <w:r>
              <w:rPr>
                <w:bCs/>
                <w:kern w:val="0"/>
                <w:sz w:val="24"/>
              </w:rPr>
              <w:t>连续监测</w:t>
            </w:r>
            <w:r>
              <w:rPr>
                <w:rFonts w:hint="eastAsia"/>
                <w:bCs/>
                <w:kern w:val="0"/>
                <w:sz w:val="24"/>
              </w:rPr>
              <w:t>3</w:t>
            </w:r>
            <w:r>
              <w:rPr>
                <w:bCs/>
                <w:kern w:val="0"/>
                <w:sz w:val="24"/>
              </w:rPr>
              <w:t>天，</w:t>
            </w:r>
            <w:r>
              <w:rPr>
                <w:rFonts w:hint="eastAsia"/>
                <w:bCs/>
                <w:kern w:val="0"/>
                <w:sz w:val="24"/>
              </w:rPr>
              <w:t>颗粒物监测日均值</w:t>
            </w:r>
            <w:r>
              <w:rPr>
                <w:bCs/>
                <w:kern w:val="0"/>
                <w:sz w:val="24"/>
              </w:rPr>
              <w:t>；</w:t>
            </w:r>
          </w:p>
          <w:p w14:paraId="43ECE452">
            <w:pPr>
              <w:autoSpaceDE w:val="0"/>
              <w:autoSpaceDN w:val="0"/>
              <w:adjustRightInd w:val="0"/>
              <w:snapToGrid w:val="0"/>
              <w:spacing w:line="360" w:lineRule="auto"/>
              <w:ind w:firstLine="360" w:firstLineChars="150"/>
              <w:textAlignment w:val="baseline"/>
              <w:rPr>
                <w:kern w:val="0"/>
                <w:sz w:val="24"/>
              </w:rPr>
            </w:pPr>
            <w:r>
              <w:rPr>
                <w:kern w:val="0"/>
                <w:sz w:val="24"/>
              </w:rPr>
              <w:t>（4）评价标准：颗粒物执行《环境空气质量标准》（GB 3095-2012）表2中二级标准限值。</w:t>
            </w:r>
          </w:p>
          <w:p w14:paraId="72000497">
            <w:pPr>
              <w:adjustRightInd w:val="0"/>
              <w:snapToGrid w:val="0"/>
              <w:spacing w:line="360" w:lineRule="auto"/>
              <w:ind w:firstLine="360" w:firstLineChars="150"/>
              <w:textAlignment w:val="baseline"/>
              <w:rPr>
                <w:sz w:val="24"/>
              </w:rPr>
            </w:pPr>
            <w:r>
              <w:rPr>
                <w:sz w:val="24"/>
              </w:rPr>
              <w:t>（5）监测结果如下表3-2。</w:t>
            </w:r>
          </w:p>
          <w:p w14:paraId="05BCF6CA">
            <w:pPr>
              <w:widowControl/>
              <w:jc w:val="center"/>
              <w:rPr>
                <w:b/>
                <w:szCs w:val="21"/>
              </w:rPr>
            </w:pPr>
            <w:r>
              <w:rPr>
                <w:b/>
                <w:szCs w:val="21"/>
              </w:rPr>
              <w:t>表3-2  其他污染物补充监测点位基本信息</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165"/>
              <w:gridCol w:w="1168"/>
              <w:gridCol w:w="1166"/>
              <w:gridCol w:w="1166"/>
              <w:gridCol w:w="1168"/>
              <w:gridCol w:w="1168"/>
            </w:tblGrid>
            <w:tr w14:paraId="20CA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vAlign w:val="center"/>
                </w:tcPr>
                <w:p w14:paraId="3D546672">
                  <w:pPr>
                    <w:widowControl/>
                    <w:jc w:val="center"/>
                    <w:rPr>
                      <w:b/>
                      <w:szCs w:val="21"/>
                    </w:rPr>
                  </w:pPr>
                  <w:r>
                    <w:rPr>
                      <w:b/>
                      <w:szCs w:val="21"/>
                    </w:rPr>
                    <w:t>监测点</w:t>
                  </w:r>
                  <w:r>
                    <w:rPr>
                      <w:rFonts w:hint="eastAsia"/>
                      <w:b/>
                      <w:szCs w:val="21"/>
                    </w:rPr>
                    <w:t>名</w:t>
                  </w:r>
                  <w:r>
                    <w:rPr>
                      <w:b/>
                      <w:szCs w:val="21"/>
                    </w:rPr>
                    <w:t>称</w:t>
                  </w:r>
                </w:p>
              </w:tc>
              <w:tc>
                <w:tcPr>
                  <w:tcW w:w="1428" w:type="pct"/>
                  <w:gridSpan w:val="2"/>
                  <w:vAlign w:val="center"/>
                </w:tcPr>
                <w:p w14:paraId="69EAECB1">
                  <w:pPr>
                    <w:widowControl/>
                    <w:jc w:val="center"/>
                    <w:rPr>
                      <w:b/>
                      <w:szCs w:val="21"/>
                    </w:rPr>
                  </w:pPr>
                  <w:r>
                    <w:rPr>
                      <w:b/>
                      <w:szCs w:val="21"/>
                    </w:rPr>
                    <w:t>监测点坐标/m</w:t>
                  </w:r>
                </w:p>
              </w:tc>
              <w:tc>
                <w:tcPr>
                  <w:tcW w:w="714" w:type="pct"/>
                  <w:vMerge w:val="restart"/>
                  <w:vAlign w:val="center"/>
                </w:tcPr>
                <w:p w14:paraId="748734DD">
                  <w:pPr>
                    <w:widowControl/>
                    <w:jc w:val="center"/>
                    <w:rPr>
                      <w:b/>
                      <w:szCs w:val="21"/>
                    </w:rPr>
                  </w:pPr>
                  <w:r>
                    <w:rPr>
                      <w:b/>
                      <w:szCs w:val="21"/>
                    </w:rPr>
                    <w:t>监测因子</w:t>
                  </w:r>
                </w:p>
              </w:tc>
              <w:tc>
                <w:tcPr>
                  <w:tcW w:w="714" w:type="pct"/>
                  <w:vMerge w:val="restart"/>
                  <w:vAlign w:val="center"/>
                </w:tcPr>
                <w:p w14:paraId="0203F814">
                  <w:pPr>
                    <w:widowControl/>
                    <w:jc w:val="center"/>
                    <w:rPr>
                      <w:b/>
                      <w:szCs w:val="21"/>
                    </w:rPr>
                  </w:pPr>
                  <w:r>
                    <w:rPr>
                      <w:b/>
                      <w:szCs w:val="21"/>
                    </w:rPr>
                    <w:t>监测时段</w:t>
                  </w:r>
                </w:p>
              </w:tc>
              <w:tc>
                <w:tcPr>
                  <w:tcW w:w="715" w:type="pct"/>
                  <w:vMerge w:val="restart"/>
                  <w:vAlign w:val="center"/>
                </w:tcPr>
                <w:p w14:paraId="6D50B90E">
                  <w:pPr>
                    <w:widowControl/>
                    <w:jc w:val="center"/>
                    <w:rPr>
                      <w:b/>
                      <w:szCs w:val="21"/>
                    </w:rPr>
                  </w:pPr>
                  <w:r>
                    <w:rPr>
                      <w:b/>
                      <w:szCs w:val="21"/>
                    </w:rPr>
                    <w:t>相对厂址方位</w:t>
                  </w:r>
                </w:p>
              </w:tc>
              <w:tc>
                <w:tcPr>
                  <w:tcW w:w="715" w:type="pct"/>
                  <w:vMerge w:val="restart"/>
                  <w:vAlign w:val="center"/>
                </w:tcPr>
                <w:p w14:paraId="4CD84B38">
                  <w:pPr>
                    <w:widowControl/>
                    <w:jc w:val="center"/>
                    <w:rPr>
                      <w:b/>
                      <w:szCs w:val="21"/>
                    </w:rPr>
                  </w:pPr>
                  <w:r>
                    <w:rPr>
                      <w:b/>
                      <w:szCs w:val="21"/>
                    </w:rPr>
                    <w:t>相对厂界距离/m</w:t>
                  </w:r>
                </w:p>
              </w:tc>
            </w:tr>
            <w:tr w14:paraId="4FBB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vAlign w:val="center"/>
                </w:tcPr>
                <w:p w14:paraId="12DB09A1">
                  <w:pPr>
                    <w:widowControl/>
                    <w:jc w:val="center"/>
                    <w:rPr>
                      <w:b/>
                      <w:szCs w:val="21"/>
                    </w:rPr>
                  </w:pPr>
                </w:p>
              </w:tc>
              <w:tc>
                <w:tcPr>
                  <w:tcW w:w="713" w:type="pct"/>
                  <w:vAlign w:val="center"/>
                </w:tcPr>
                <w:p w14:paraId="780D210E">
                  <w:pPr>
                    <w:widowControl/>
                    <w:jc w:val="center"/>
                    <w:rPr>
                      <w:b/>
                      <w:szCs w:val="21"/>
                    </w:rPr>
                  </w:pPr>
                  <w:r>
                    <w:rPr>
                      <w:b/>
                      <w:szCs w:val="21"/>
                    </w:rPr>
                    <w:t>X</w:t>
                  </w:r>
                </w:p>
              </w:tc>
              <w:tc>
                <w:tcPr>
                  <w:tcW w:w="714" w:type="pct"/>
                  <w:vAlign w:val="center"/>
                </w:tcPr>
                <w:p w14:paraId="2AB9FF70">
                  <w:pPr>
                    <w:widowControl/>
                    <w:jc w:val="center"/>
                    <w:rPr>
                      <w:b/>
                      <w:szCs w:val="21"/>
                    </w:rPr>
                  </w:pPr>
                  <w:r>
                    <w:rPr>
                      <w:b/>
                      <w:szCs w:val="21"/>
                    </w:rPr>
                    <w:t>Y</w:t>
                  </w:r>
                </w:p>
              </w:tc>
              <w:tc>
                <w:tcPr>
                  <w:tcW w:w="714" w:type="pct"/>
                  <w:vMerge w:val="continue"/>
                  <w:vAlign w:val="center"/>
                </w:tcPr>
                <w:p w14:paraId="3C892E26">
                  <w:pPr>
                    <w:widowControl/>
                    <w:jc w:val="center"/>
                    <w:rPr>
                      <w:b/>
                      <w:szCs w:val="21"/>
                    </w:rPr>
                  </w:pPr>
                </w:p>
              </w:tc>
              <w:tc>
                <w:tcPr>
                  <w:tcW w:w="714" w:type="pct"/>
                  <w:vMerge w:val="continue"/>
                  <w:vAlign w:val="center"/>
                </w:tcPr>
                <w:p w14:paraId="75BC4610">
                  <w:pPr>
                    <w:widowControl/>
                    <w:jc w:val="center"/>
                    <w:rPr>
                      <w:b/>
                      <w:szCs w:val="21"/>
                    </w:rPr>
                  </w:pPr>
                </w:p>
              </w:tc>
              <w:tc>
                <w:tcPr>
                  <w:tcW w:w="715" w:type="pct"/>
                  <w:vMerge w:val="continue"/>
                  <w:vAlign w:val="center"/>
                </w:tcPr>
                <w:p w14:paraId="52D8C0FB">
                  <w:pPr>
                    <w:widowControl/>
                    <w:jc w:val="center"/>
                    <w:rPr>
                      <w:b/>
                      <w:szCs w:val="21"/>
                    </w:rPr>
                  </w:pPr>
                </w:p>
              </w:tc>
              <w:tc>
                <w:tcPr>
                  <w:tcW w:w="715" w:type="pct"/>
                  <w:vMerge w:val="continue"/>
                  <w:vAlign w:val="center"/>
                </w:tcPr>
                <w:p w14:paraId="6070500C">
                  <w:pPr>
                    <w:widowControl/>
                    <w:jc w:val="center"/>
                    <w:rPr>
                      <w:b/>
                      <w:szCs w:val="21"/>
                    </w:rPr>
                  </w:pPr>
                </w:p>
              </w:tc>
            </w:tr>
            <w:tr w14:paraId="02E8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71E75610">
                  <w:pPr>
                    <w:widowControl/>
                    <w:jc w:val="center"/>
                    <w:rPr>
                      <w:bCs/>
                      <w:szCs w:val="21"/>
                    </w:rPr>
                  </w:pPr>
                  <w:r>
                    <w:rPr>
                      <w:rFonts w:hint="eastAsia"/>
                      <w:bCs/>
                      <w:szCs w:val="21"/>
                    </w:rPr>
                    <w:t>厂区下风向西南侧</w:t>
                  </w:r>
                </w:p>
              </w:tc>
              <w:tc>
                <w:tcPr>
                  <w:tcW w:w="713" w:type="pct"/>
                  <w:vAlign w:val="center"/>
                </w:tcPr>
                <w:p w14:paraId="52DDA271">
                  <w:pPr>
                    <w:widowControl/>
                    <w:jc w:val="center"/>
                    <w:rPr>
                      <w:bCs/>
                      <w:szCs w:val="21"/>
                    </w:rPr>
                  </w:pPr>
                  <w:r>
                    <w:rPr>
                      <w:rFonts w:hint="eastAsia"/>
                      <w:bCs/>
                      <w:szCs w:val="21"/>
                    </w:rPr>
                    <w:t>-45</w:t>
                  </w:r>
                </w:p>
              </w:tc>
              <w:tc>
                <w:tcPr>
                  <w:tcW w:w="714" w:type="pct"/>
                  <w:vAlign w:val="center"/>
                </w:tcPr>
                <w:p w14:paraId="1BADA1FE">
                  <w:pPr>
                    <w:widowControl/>
                    <w:jc w:val="center"/>
                    <w:rPr>
                      <w:bCs/>
                      <w:szCs w:val="21"/>
                    </w:rPr>
                  </w:pPr>
                  <w:r>
                    <w:rPr>
                      <w:rFonts w:hint="eastAsia"/>
                      <w:bCs/>
                      <w:szCs w:val="21"/>
                    </w:rPr>
                    <w:t>-19</w:t>
                  </w:r>
                </w:p>
              </w:tc>
              <w:tc>
                <w:tcPr>
                  <w:tcW w:w="714" w:type="pct"/>
                  <w:vAlign w:val="center"/>
                </w:tcPr>
                <w:p w14:paraId="6F2C580D">
                  <w:pPr>
                    <w:widowControl/>
                    <w:jc w:val="center"/>
                    <w:rPr>
                      <w:bCs/>
                      <w:szCs w:val="21"/>
                    </w:rPr>
                  </w:pPr>
                  <w:r>
                    <w:rPr>
                      <w:bCs/>
                      <w:szCs w:val="21"/>
                    </w:rPr>
                    <w:t>颗粒物</w:t>
                  </w:r>
                </w:p>
              </w:tc>
              <w:tc>
                <w:tcPr>
                  <w:tcW w:w="714" w:type="pct"/>
                  <w:vAlign w:val="center"/>
                </w:tcPr>
                <w:p w14:paraId="522BC7B2">
                  <w:pPr>
                    <w:widowControl/>
                    <w:jc w:val="center"/>
                    <w:rPr>
                      <w:bCs/>
                      <w:szCs w:val="21"/>
                    </w:rPr>
                  </w:pPr>
                  <w:r>
                    <w:rPr>
                      <w:szCs w:val="21"/>
                    </w:rPr>
                    <w:t>2025年5月22日-5月2</w:t>
                  </w:r>
                  <w:r>
                    <w:rPr>
                      <w:rFonts w:hint="eastAsia"/>
                      <w:szCs w:val="21"/>
                    </w:rPr>
                    <w:t>4</w:t>
                  </w:r>
                  <w:r>
                    <w:rPr>
                      <w:szCs w:val="21"/>
                    </w:rPr>
                    <w:t>日</w:t>
                  </w:r>
                </w:p>
              </w:tc>
              <w:tc>
                <w:tcPr>
                  <w:tcW w:w="715" w:type="pct"/>
                  <w:vAlign w:val="center"/>
                </w:tcPr>
                <w:p w14:paraId="7498CE47">
                  <w:pPr>
                    <w:widowControl/>
                    <w:jc w:val="center"/>
                    <w:rPr>
                      <w:bCs/>
                      <w:szCs w:val="21"/>
                    </w:rPr>
                  </w:pPr>
                  <w:r>
                    <w:rPr>
                      <w:rFonts w:hint="eastAsia"/>
                      <w:bCs/>
                      <w:szCs w:val="21"/>
                    </w:rPr>
                    <w:t>西南</w:t>
                  </w:r>
                </w:p>
              </w:tc>
              <w:tc>
                <w:tcPr>
                  <w:tcW w:w="715" w:type="pct"/>
                  <w:vAlign w:val="center"/>
                </w:tcPr>
                <w:p w14:paraId="252E7919">
                  <w:pPr>
                    <w:widowControl/>
                    <w:jc w:val="center"/>
                    <w:rPr>
                      <w:bCs/>
                      <w:szCs w:val="21"/>
                    </w:rPr>
                  </w:pPr>
                  <w:r>
                    <w:rPr>
                      <w:rFonts w:hint="eastAsia"/>
                      <w:bCs/>
                      <w:szCs w:val="21"/>
                    </w:rPr>
                    <w:t>35</w:t>
                  </w:r>
                </w:p>
              </w:tc>
            </w:tr>
          </w:tbl>
          <w:p w14:paraId="203195F0">
            <w:pPr>
              <w:widowControl/>
              <w:jc w:val="center"/>
              <w:rPr>
                <w:b/>
                <w:szCs w:val="21"/>
              </w:rPr>
            </w:pPr>
          </w:p>
          <w:p w14:paraId="4540A4ED">
            <w:pPr>
              <w:widowControl/>
              <w:jc w:val="center"/>
              <w:rPr>
                <w:b/>
                <w:szCs w:val="21"/>
              </w:rPr>
            </w:pPr>
          </w:p>
          <w:p w14:paraId="2C5A8246">
            <w:pPr>
              <w:widowControl/>
              <w:jc w:val="center"/>
              <w:rPr>
                <w:b/>
                <w:szCs w:val="21"/>
              </w:rPr>
            </w:pPr>
            <w:r>
              <w:rPr>
                <w:b/>
                <w:szCs w:val="21"/>
              </w:rPr>
              <w:t>表3-3  其他污染物环境质量现状（监测结果）</w:t>
            </w: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660"/>
              <w:gridCol w:w="665"/>
              <w:gridCol w:w="807"/>
              <w:gridCol w:w="668"/>
              <w:gridCol w:w="1196"/>
              <w:gridCol w:w="1201"/>
              <w:gridCol w:w="707"/>
              <w:gridCol w:w="648"/>
              <w:gridCol w:w="671"/>
            </w:tblGrid>
            <w:tr w14:paraId="76B9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restart"/>
                  <w:vAlign w:val="center"/>
                </w:tcPr>
                <w:p w14:paraId="27447D0B">
                  <w:pPr>
                    <w:widowControl/>
                    <w:jc w:val="center"/>
                    <w:rPr>
                      <w:b/>
                      <w:szCs w:val="21"/>
                    </w:rPr>
                  </w:pPr>
                  <w:r>
                    <w:rPr>
                      <w:b/>
                      <w:szCs w:val="21"/>
                    </w:rPr>
                    <w:t>监测点位</w:t>
                  </w:r>
                </w:p>
              </w:tc>
              <w:tc>
                <w:tcPr>
                  <w:tcW w:w="811" w:type="pct"/>
                  <w:gridSpan w:val="2"/>
                  <w:vAlign w:val="center"/>
                </w:tcPr>
                <w:p w14:paraId="097DCFAA">
                  <w:pPr>
                    <w:widowControl/>
                    <w:jc w:val="center"/>
                    <w:rPr>
                      <w:b/>
                      <w:szCs w:val="21"/>
                    </w:rPr>
                  </w:pPr>
                  <w:r>
                    <w:rPr>
                      <w:b/>
                      <w:szCs w:val="21"/>
                    </w:rPr>
                    <w:t>监测点坐标/m</w:t>
                  </w:r>
                </w:p>
              </w:tc>
              <w:tc>
                <w:tcPr>
                  <w:tcW w:w="494" w:type="pct"/>
                  <w:vMerge w:val="restart"/>
                  <w:vAlign w:val="center"/>
                </w:tcPr>
                <w:p w14:paraId="3A9456DE">
                  <w:pPr>
                    <w:widowControl/>
                    <w:jc w:val="center"/>
                    <w:rPr>
                      <w:b/>
                      <w:szCs w:val="21"/>
                    </w:rPr>
                  </w:pPr>
                  <w:r>
                    <w:rPr>
                      <w:b/>
                      <w:szCs w:val="21"/>
                    </w:rPr>
                    <w:t>污染物</w:t>
                  </w:r>
                </w:p>
              </w:tc>
              <w:tc>
                <w:tcPr>
                  <w:tcW w:w="409" w:type="pct"/>
                  <w:vMerge w:val="restart"/>
                  <w:vAlign w:val="center"/>
                </w:tcPr>
                <w:p w14:paraId="67D55FA2">
                  <w:pPr>
                    <w:widowControl/>
                    <w:jc w:val="center"/>
                    <w:rPr>
                      <w:b/>
                      <w:szCs w:val="21"/>
                    </w:rPr>
                  </w:pPr>
                  <w:r>
                    <w:rPr>
                      <w:b/>
                      <w:szCs w:val="21"/>
                    </w:rPr>
                    <w:t>平均时间</w:t>
                  </w:r>
                </w:p>
              </w:tc>
              <w:tc>
                <w:tcPr>
                  <w:tcW w:w="732" w:type="pct"/>
                  <w:vMerge w:val="restart"/>
                  <w:vAlign w:val="center"/>
                </w:tcPr>
                <w:p w14:paraId="7FC2B3A6">
                  <w:pPr>
                    <w:widowControl/>
                    <w:jc w:val="center"/>
                    <w:rPr>
                      <w:b/>
                      <w:szCs w:val="21"/>
                    </w:rPr>
                  </w:pPr>
                  <w:r>
                    <w:rPr>
                      <w:b/>
                      <w:szCs w:val="21"/>
                    </w:rPr>
                    <w:t>评价标准/（µg/m</w:t>
                  </w:r>
                  <w:r>
                    <w:rPr>
                      <w:b/>
                      <w:szCs w:val="21"/>
                      <w:vertAlign w:val="superscript"/>
                    </w:rPr>
                    <w:t>3</w:t>
                  </w:r>
                  <w:r>
                    <w:rPr>
                      <w:b/>
                      <w:szCs w:val="21"/>
                    </w:rPr>
                    <w:t>）</w:t>
                  </w:r>
                </w:p>
              </w:tc>
              <w:tc>
                <w:tcPr>
                  <w:tcW w:w="735" w:type="pct"/>
                  <w:vMerge w:val="restart"/>
                  <w:vAlign w:val="center"/>
                </w:tcPr>
                <w:p w14:paraId="6B72D36D">
                  <w:pPr>
                    <w:widowControl/>
                    <w:jc w:val="center"/>
                    <w:rPr>
                      <w:b/>
                      <w:szCs w:val="21"/>
                    </w:rPr>
                  </w:pPr>
                  <w:r>
                    <w:rPr>
                      <w:b/>
                      <w:szCs w:val="21"/>
                    </w:rPr>
                    <w:t>监测浓度范围/（µg/m</w:t>
                  </w:r>
                  <w:r>
                    <w:rPr>
                      <w:b/>
                      <w:szCs w:val="21"/>
                      <w:vertAlign w:val="superscript"/>
                    </w:rPr>
                    <w:t>3</w:t>
                  </w:r>
                  <w:r>
                    <w:rPr>
                      <w:b/>
                      <w:szCs w:val="21"/>
                    </w:rPr>
                    <w:t>）</w:t>
                  </w:r>
                </w:p>
              </w:tc>
              <w:tc>
                <w:tcPr>
                  <w:tcW w:w="433" w:type="pct"/>
                  <w:vMerge w:val="restart"/>
                  <w:vAlign w:val="center"/>
                </w:tcPr>
                <w:p w14:paraId="2F25DAA2">
                  <w:pPr>
                    <w:widowControl/>
                    <w:jc w:val="center"/>
                    <w:rPr>
                      <w:b/>
                      <w:szCs w:val="21"/>
                    </w:rPr>
                  </w:pPr>
                  <w:r>
                    <w:rPr>
                      <w:b/>
                      <w:szCs w:val="21"/>
                    </w:rPr>
                    <w:t>最大浓度占标率/%</w:t>
                  </w:r>
                </w:p>
              </w:tc>
              <w:tc>
                <w:tcPr>
                  <w:tcW w:w="397" w:type="pct"/>
                  <w:vMerge w:val="restart"/>
                  <w:vAlign w:val="center"/>
                </w:tcPr>
                <w:p w14:paraId="5A415131">
                  <w:pPr>
                    <w:widowControl/>
                    <w:jc w:val="center"/>
                    <w:rPr>
                      <w:b/>
                      <w:szCs w:val="21"/>
                    </w:rPr>
                  </w:pPr>
                  <w:r>
                    <w:rPr>
                      <w:b/>
                      <w:szCs w:val="21"/>
                    </w:rPr>
                    <w:t>超标率/%</w:t>
                  </w:r>
                </w:p>
              </w:tc>
              <w:tc>
                <w:tcPr>
                  <w:tcW w:w="411" w:type="pct"/>
                  <w:vMerge w:val="restart"/>
                  <w:vAlign w:val="center"/>
                </w:tcPr>
                <w:p w14:paraId="16D4A490">
                  <w:pPr>
                    <w:widowControl/>
                    <w:jc w:val="center"/>
                    <w:rPr>
                      <w:b/>
                      <w:szCs w:val="21"/>
                    </w:rPr>
                  </w:pPr>
                  <w:r>
                    <w:rPr>
                      <w:b/>
                      <w:szCs w:val="21"/>
                    </w:rPr>
                    <w:t>达标情况</w:t>
                  </w:r>
                </w:p>
              </w:tc>
            </w:tr>
            <w:tr w14:paraId="08F4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vAlign w:val="center"/>
                </w:tcPr>
                <w:p w14:paraId="53FADD00">
                  <w:pPr>
                    <w:widowControl/>
                    <w:jc w:val="center"/>
                    <w:rPr>
                      <w:b/>
                      <w:szCs w:val="21"/>
                    </w:rPr>
                  </w:pPr>
                </w:p>
              </w:tc>
              <w:tc>
                <w:tcPr>
                  <w:tcW w:w="404" w:type="pct"/>
                  <w:vAlign w:val="center"/>
                </w:tcPr>
                <w:p w14:paraId="59FD34D2">
                  <w:pPr>
                    <w:widowControl/>
                    <w:jc w:val="center"/>
                    <w:rPr>
                      <w:b/>
                      <w:szCs w:val="21"/>
                    </w:rPr>
                  </w:pPr>
                  <w:r>
                    <w:rPr>
                      <w:b/>
                      <w:szCs w:val="21"/>
                    </w:rPr>
                    <w:t>X</w:t>
                  </w:r>
                </w:p>
              </w:tc>
              <w:tc>
                <w:tcPr>
                  <w:tcW w:w="406" w:type="pct"/>
                  <w:vAlign w:val="center"/>
                </w:tcPr>
                <w:p w14:paraId="61E044BD">
                  <w:pPr>
                    <w:widowControl/>
                    <w:jc w:val="center"/>
                    <w:rPr>
                      <w:b/>
                      <w:szCs w:val="21"/>
                    </w:rPr>
                  </w:pPr>
                  <w:r>
                    <w:rPr>
                      <w:b/>
                      <w:szCs w:val="21"/>
                    </w:rPr>
                    <w:t>Y</w:t>
                  </w:r>
                </w:p>
              </w:tc>
              <w:tc>
                <w:tcPr>
                  <w:tcW w:w="494" w:type="pct"/>
                  <w:vMerge w:val="continue"/>
                  <w:vAlign w:val="center"/>
                </w:tcPr>
                <w:p w14:paraId="73B9E870">
                  <w:pPr>
                    <w:widowControl/>
                    <w:jc w:val="center"/>
                    <w:rPr>
                      <w:b/>
                      <w:szCs w:val="21"/>
                    </w:rPr>
                  </w:pPr>
                </w:p>
              </w:tc>
              <w:tc>
                <w:tcPr>
                  <w:tcW w:w="409" w:type="pct"/>
                  <w:vMerge w:val="continue"/>
                  <w:vAlign w:val="center"/>
                </w:tcPr>
                <w:p w14:paraId="3E171277">
                  <w:pPr>
                    <w:widowControl/>
                    <w:jc w:val="center"/>
                    <w:rPr>
                      <w:b/>
                      <w:szCs w:val="21"/>
                    </w:rPr>
                  </w:pPr>
                </w:p>
              </w:tc>
              <w:tc>
                <w:tcPr>
                  <w:tcW w:w="732" w:type="pct"/>
                  <w:vMerge w:val="continue"/>
                  <w:vAlign w:val="center"/>
                </w:tcPr>
                <w:p w14:paraId="162C29C9">
                  <w:pPr>
                    <w:widowControl/>
                    <w:jc w:val="center"/>
                    <w:rPr>
                      <w:b/>
                      <w:szCs w:val="21"/>
                    </w:rPr>
                  </w:pPr>
                </w:p>
              </w:tc>
              <w:tc>
                <w:tcPr>
                  <w:tcW w:w="735" w:type="pct"/>
                  <w:vMerge w:val="continue"/>
                  <w:vAlign w:val="center"/>
                </w:tcPr>
                <w:p w14:paraId="374BD398">
                  <w:pPr>
                    <w:widowControl/>
                    <w:jc w:val="center"/>
                    <w:rPr>
                      <w:b/>
                      <w:szCs w:val="21"/>
                    </w:rPr>
                  </w:pPr>
                </w:p>
              </w:tc>
              <w:tc>
                <w:tcPr>
                  <w:tcW w:w="433" w:type="pct"/>
                  <w:vMerge w:val="continue"/>
                  <w:vAlign w:val="center"/>
                </w:tcPr>
                <w:p w14:paraId="7301444F">
                  <w:pPr>
                    <w:widowControl/>
                    <w:jc w:val="center"/>
                    <w:rPr>
                      <w:b/>
                      <w:szCs w:val="21"/>
                    </w:rPr>
                  </w:pPr>
                </w:p>
              </w:tc>
              <w:tc>
                <w:tcPr>
                  <w:tcW w:w="397" w:type="pct"/>
                  <w:vMerge w:val="continue"/>
                  <w:vAlign w:val="center"/>
                </w:tcPr>
                <w:p w14:paraId="12A67F97">
                  <w:pPr>
                    <w:widowControl/>
                    <w:jc w:val="center"/>
                    <w:rPr>
                      <w:b/>
                      <w:szCs w:val="21"/>
                    </w:rPr>
                  </w:pPr>
                </w:p>
              </w:tc>
              <w:tc>
                <w:tcPr>
                  <w:tcW w:w="411" w:type="pct"/>
                  <w:vMerge w:val="continue"/>
                  <w:vAlign w:val="center"/>
                </w:tcPr>
                <w:p w14:paraId="1879851F">
                  <w:pPr>
                    <w:widowControl/>
                    <w:jc w:val="center"/>
                    <w:rPr>
                      <w:b/>
                      <w:szCs w:val="21"/>
                    </w:rPr>
                  </w:pPr>
                </w:p>
              </w:tc>
            </w:tr>
            <w:tr w14:paraId="4E94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2E541B7F">
                  <w:pPr>
                    <w:widowControl/>
                    <w:jc w:val="center"/>
                    <w:rPr>
                      <w:bCs/>
                      <w:szCs w:val="21"/>
                    </w:rPr>
                  </w:pPr>
                  <w:r>
                    <w:rPr>
                      <w:rFonts w:hint="eastAsia"/>
                      <w:bCs/>
                      <w:szCs w:val="21"/>
                    </w:rPr>
                    <w:t>厂区下风向西南侧</w:t>
                  </w:r>
                </w:p>
              </w:tc>
              <w:tc>
                <w:tcPr>
                  <w:tcW w:w="677" w:type="dxa"/>
                  <w:vAlign w:val="center"/>
                </w:tcPr>
                <w:p w14:paraId="6BAF9D91">
                  <w:pPr>
                    <w:widowControl/>
                    <w:jc w:val="center"/>
                    <w:rPr>
                      <w:bCs/>
                      <w:szCs w:val="21"/>
                    </w:rPr>
                  </w:pPr>
                  <w:r>
                    <w:rPr>
                      <w:rFonts w:hint="eastAsia"/>
                      <w:bCs/>
                      <w:szCs w:val="21"/>
                    </w:rPr>
                    <w:t>-45</w:t>
                  </w:r>
                </w:p>
              </w:tc>
              <w:tc>
                <w:tcPr>
                  <w:tcW w:w="682" w:type="dxa"/>
                  <w:vAlign w:val="center"/>
                </w:tcPr>
                <w:p w14:paraId="4B3CB9FD">
                  <w:pPr>
                    <w:widowControl/>
                    <w:jc w:val="center"/>
                    <w:rPr>
                      <w:bCs/>
                      <w:szCs w:val="21"/>
                    </w:rPr>
                  </w:pPr>
                  <w:r>
                    <w:rPr>
                      <w:rFonts w:hint="eastAsia"/>
                      <w:bCs/>
                      <w:szCs w:val="21"/>
                    </w:rPr>
                    <w:t>-19</w:t>
                  </w:r>
                </w:p>
              </w:tc>
              <w:tc>
                <w:tcPr>
                  <w:tcW w:w="494" w:type="pct"/>
                  <w:vAlign w:val="center"/>
                </w:tcPr>
                <w:p w14:paraId="73B7F18E">
                  <w:pPr>
                    <w:widowControl/>
                    <w:jc w:val="center"/>
                    <w:rPr>
                      <w:bCs/>
                      <w:szCs w:val="21"/>
                    </w:rPr>
                  </w:pPr>
                  <w:r>
                    <w:rPr>
                      <w:bCs/>
                      <w:szCs w:val="21"/>
                    </w:rPr>
                    <w:t>颗粒物</w:t>
                  </w:r>
                </w:p>
              </w:tc>
              <w:tc>
                <w:tcPr>
                  <w:tcW w:w="409" w:type="pct"/>
                  <w:vAlign w:val="center"/>
                </w:tcPr>
                <w:p w14:paraId="72BABBD6">
                  <w:pPr>
                    <w:widowControl/>
                    <w:jc w:val="center"/>
                    <w:rPr>
                      <w:bCs/>
                      <w:szCs w:val="21"/>
                    </w:rPr>
                  </w:pPr>
                  <w:r>
                    <w:rPr>
                      <w:bCs/>
                      <w:szCs w:val="21"/>
                    </w:rPr>
                    <w:t>1天</w:t>
                  </w:r>
                </w:p>
              </w:tc>
              <w:tc>
                <w:tcPr>
                  <w:tcW w:w="732" w:type="pct"/>
                  <w:vAlign w:val="center"/>
                </w:tcPr>
                <w:p w14:paraId="00C4E646">
                  <w:pPr>
                    <w:widowControl/>
                    <w:jc w:val="center"/>
                    <w:rPr>
                      <w:bCs/>
                      <w:szCs w:val="21"/>
                    </w:rPr>
                  </w:pPr>
                  <w:r>
                    <w:rPr>
                      <w:bCs/>
                      <w:szCs w:val="21"/>
                    </w:rPr>
                    <w:t>300</w:t>
                  </w:r>
                </w:p>
              </w:tc>
              <w:tc>
                <w:tcPr>
                  <w:tcW w:w="735" w:type="pct"/>
                  <w:vAlign w:val="center"/>
                </w:tcPr>
                <w:p w14:paraId="1CC2C3B4">
                  <w:pPr>
                    <w:widowControl/>
                    <w:jc w:val="center"/>
                    <w:rPr>
                      <w:bCs/>
                      <w:szCs w:val="21"/>
                    </w:rPr>
                  </w:pPr>
                  <w:r>
                    <w:rPr>
                      <w:rFonts w:hint="eastAsia"/>
                      <w:bCs/>
                      <w:szCs w:val="21"/>
                    </w:rPr>
                    <w:t>122-128</w:t>
                  </w:r>
                </w:p>
              </w:tc>
              <w:tc>
                <w:tcPr>
                  <w:tcW w:w="433" w:type="pct"/>
                  <w:vAlign w:val="center"/>
                </w:tcPr>
                <w:p w14:paraId="76DA93AD">
                  <w:pPr>
                    <w:widowControl/>
                    <w:jc w:val="center"/>
                    <w:rPr>
                      <w:bCs/>
                      <w:szCs w:val="21"/>
                    </w:rPr>
                  </w:pPr>
                  <w:r>
                    <w:rPr>
                      <w:rFonts w:hint="eastAsia"/>
                      <w:bCs/>
                      <w:szCs w:val="21"/>
                    </w:rPr>
                    <w:t>42</w:t>
                  </w:r>
                  <w:r>
                    <w:rPr>
                      <w:bCs/>
                      <w:szCs w:val="21"/>
                    </w:rPr>
                    <w:t>.7</w:t>
                  </w:r>
                </w:p>
              </w:tc>
              <w:tc>
                <w:tcPr>
                  <w:tcW w:w="397" w:type="pct"/>
                  <w:vAlign w:val="center"/>
                </w:tcPr>
                <w:p w14:paraId="3A603D89">
                  <w:pPr>
                    <w:widowControl/>
                    <w:jc w:val="center"/>
                    <w:rPr>
                      <w:bCs/>
                      <w:szCs w:val="21"/>
                    </w:rPr>
                  </w:pPr>
                  <w:r>
                    <w:rPr>
                      <w:rFonts w:hint="eastAsia"/>
                      <w:bCs/>
                      <w:szCs w:val="21"/>
                    </w:rPr>
                    <w:t>0</w:t>
                  </w:r>
                </w:p>
              </w:tc>
              <w:tc>
                <w:tcPr>
                  <w:tcW w:w="411" w:type="pct"/>
                  <w:vAlign w:val="center"/>
                </w:tcPr>
                <w:p w14:paraId="19257F5F">
                  <w:pPr>
                    <w:widowControl/>
                    <w:jc w:val="center"/>
                    <w:rPr>
                      <w:bCs/>
                      <w:szCs w:val="21"/>
                    </w:rPr>
                  </w:pPr>
                  <w:r>
                    <w:rPr>
                      <w:bCs/>
                      <w:szCs w:val="21"/>
                    </w:rPr>
                    <w:t>达标</w:t>
                  </w:r>
                </w:p>
              </w:tc>
            </w:tr>
          </w:tbl>
          <w:p w14:paraId="24C581C3">
            <w:pPr>
              <w:adjustRightInd w:val="0"/>
              <w:snapToGrid w:val="0"/>
              <w:spacing w:line="360" w:lineRule="auto"/>
              <w:ind w:firstLine="480" w:firstLineChars="200"/>
              <w:textAlignment w:val="baseline"/>
            </w:pPr>
            <w:r>
              <w:rPr>
                <w:kern w:val="0"/>
                <w:sz w:val="24"/>
              </w:rPr>
              <w:t>监测结果表明，颗粒物可满足《环境空气质量标准》（GB 3095-2012）表2中二级标准限值。</w:t>
            </w:r>
          </w:p>
          <w:p w14:paraId="480FD23B">
            <w:pPr>
              <w:pStyle w:val="55"/>
              <w:widowControl/>
              <w:adjustRightInd w:val="0"/>
              <w:snapToGrid w:val="0"/>
              <w:ind w:firstLine="482" w:firstLineChars="200"/>
              <w:rPr>
                <w:b/>
              </w:rPr>
            </w:pPr>
            <w:r>
              <w:rPr>
                <w:b/>
              </w:rPr>
              <w:t>2、地表水环境质量现状</w:t>
            </w:r>
          </w:p>
          <w:p w14:paraId="22010AB6">
            <w:pPr>
              <w:spacing w:line="360" w:lineRule="auto"/>
              <w:ind w:firstLine="480" w:firstLineChars="200"/>
              <w:rPr>
                <w:sz w:val="24"/>
                <w:szCs w:val="20"/>
              </w:rPr>
            </w:pPr>
            <w:r>
              <w:rPr>
                <w:sz w:val="24"/>
                <w:szCs w:val="20"/>
              </w:rPr>
              <w:t>项目运营期生活污水</w:t>
            </w:r>
            <w:r>
              <w:rPr>
                <w:rFonts w:hint="eastAsia"/>
                <w:sz w:val="24"/>
                <w:szCs w:val="20"/>
              </w:rPr>
              <w:t>经化粪池预处理；生产废水经厂区二级沉淀池预处理后均排入衡山国祯水处理有限公司，污水厂进一步处理后尾水排入湘江。</w:t>
            </w:r>
          </w:p>
          <w:p w14:paraId="1D04A376">
            <w:pPr>
              <w:spacing w:line="360" w:lineRule="auto"/>
              <w:ind w:firstLine="480" w:firstLineChars="200"/>
              <w:rPr>
                <w:sz w:val="24"/>
                <w:szCs w:val="20"/>
              </w:rPr>
            </w:pPr>
            <w:r>
              <w:rPr>
                <w:sz w:val="24"/>
                <w:szCs w:val="20"/>
              </w:rPr>
              <w:t>结合《环境影响评价技术导则地表水环境》（HJ2.3-2018）：</w:t>
            </w:r>
            <w:r>
              <w:rPr>
                <w:rFonts w:hint="eastAsia"/>
                <w:sz w:val="24"/>
                <w:szCs w:val="20"/>
              </w:rPr>
              <w:t>“</w:t>
            </w:r>
            <w:r>
              <w:rPr>
                <w:sz w:val="24"/>
                <w:szCs w:val="20"/>
              </w:rPr>
              <w:t>6.6.3.2环境现状调查与评价应优先采用国务院生态环境保护主管部门统一发布的水环境状况信息</w:t>
            </w:r>
            <w:r>
              <w:rPr>
                <w:rFonts w:hint="eastAsia"/>
                <w:sz w:val="24"/>
                <w:szCs w:val="20"/>
              </w:rPr>
              <w:t>”</w:t>
            </w:r>
            <w:r>
              <w:rPr>
                <w:sz w:val="24"/>
                <w:szCs w:val="20"/>
              </w:rPr>
              <w:t>。本次地表水环境质量现状评价引用</w:t>
            </w:r>
            <w:r>
              <w:rPr>
                <w:rFonts w:hint="eastAsia"/>
                <w:sz w:val="24"/>
                <w:szCs w:val="20"/>
              </w:rPr>
              <w:t>衡阳市生态环境局《关于20</w:t>
            </w:r>
            <w:r>
              <w:rPr>
                <w:sz w:val="24"/>
                <w:szCs w:val="20"/>
              </w:rPr>
              <w:t>2</w:t>
            </w:r>
            <w:r>
              <w:rPr>
                <w:rFonts w:hint="eastAsia"/>
                <w:sz w:val="24"/>
                <w:szCs w:val="20"/>
              </w:rPr>
              <w:t>4年12月份及1~12月份全市环境质量状况的通报》</w:t>
            </w:r>
            <w:r>
              <w:rPr>
                <w:sz w:val="24"/>
                <w:szCs w:val="20"/>
              </w:rPr>
              <w:t>中结论。</w:t>
            </w:r>
          </w:p>
          <w:p w14:paraId="55FFBA4F">
            <w:pPr>
              <w:spacing w:line="360" w:lineRule="auto"/>
              <w:ind w:firstLine="480" w:firstLineChars="200"/>
              <w:rPr>
                <w:sz w:val="24"/>
                <w:szCs w:val="20"/>
              </w:rPr>
            </w:pPr>
            <w:r>
              <w:rPr>
                <w:sz w:val="24"/>
                <w:szCs w:val="20"/>
              </w:rPr>
              <w:t>公报中湘江流域湘江共设置</w:t>
            </w:r>
            <w:r>
              <w:rPr>
                <w:rFonts w:hint="eastAsia"/>
                <w:sz w:val="24"/>
                <w:szCs w:val="20"/>
              </w:rPr>
              <w:t>12</w:t>
            </w:r>
            <w:r>
              <w:rPr>
                <w:sz w:val="24"/>
                <w:szCs w:val="20"/>
              </w:rPr>
              <w:t>个监测断面，分别为管山村断面、松柏断面、云集水厂断面、新塘铺断面、江东水厂断面、城南水厂断面、城北水厂断面、鱼石村断面、大浦镇下游断面、熬洲断面和朱亭断面。</w:t>
            </w:r>
            <w:r>
              <w:rPr>
                <w:rFonts w:hint="eastAsia"/>
                <w:sz w:val="24"/>
                <w:szCs w:val="20"/>
              </w:rPr>
              <w:t>12</w:t>
            </w:r>
            <w:r>
              <w:rPr>
                <w:sz w:val="24"/>
                <w:szCs w:val="20"/>
              </w:rPr>
              <w:t>个断面水质均满足《地表水环境质量标准》（GB3838-2002）</w:t>
            </w:r>
            <w:r>
              <w:rPr>
                <w:rFonts w:hint="eastAsia"/>
                <w:sz w:val="24"/>
                <w:szCs w:val="20"/>
              </w:rPr>
              <w:t>II</w:t>
            </w:r>
            <w:r>
              <w:rPr>
                <w:sz w:val="24"/>
                <w:szCs w:val="20"/>
              </w:rPr>
              <w:t>类水质标准，水质状况为良好。</w:t>
            </w:r>
          </w:p>
          <w:p w14:paraId="59BFDC63">
            <w:pPr>
              <w:ind w:firstLine="422" w:firstLineChars="200"/>
              <w:jc w:val="center"/>
              <w:rPr>
                <w:rFonts w:eastAsiaTheme="minorEastAsia"/>
                <w:b/>
                <w:bCs/>
                <w:szCs w:val="21"/>
              </w:rPr>
            </w:pPr>
          </w:p>
          <w:p w14:paraId="4E9B5DBD">
            <w:pPr>
              <w:ind w:firstLine="422" w:firstLineChars="200"/>
              <w:jc w:val="center"/>
              <w:rPr>
                <w:rFonts w:eastAsiaTheme="minorEastAsia"/>
                <w:b/>
                <w:bCs/>
                <w:szCs w:val="21"/>
              </w:rPr>
            </w:pPr>
            <w:r>
              <w:rPr>
                <w:rFonts w:eastAsiaTheme="minorEastAsia"/>
                <w:b/>
                <w:bCs/>
                <w:szCs w:val="21"/>
              </w:rPr>
              <w:t>表3-4  20</w:t>
            </w:r>
            <w:r>
              <w:rPr>
                <w:rFonts w:hint="eastAsia" w:eastAsiaTheme="minorEastAsia"/>
                <w:b/>
                <w:bCs/>
                <w:szCs w:val="21"/>
              </w:rPr>
              <w:t>24</w:t>
            </w:r>
            <w:r>
              <w:rPr>
                <w:rFonts w:eastAsiaTheme="minorEastAsia"/>
                <w:b/>
                <w:bCs/>
                <w:szCs w:val="21"/>
              </w:rPr>
              <w:t>年1-12月衡山县地表水水质情况</w:t>
            </w:r>
          </w:p>
          <w:tbl>
            <w:tblPr>
              <w:tblStyle w:val="26"/>
              <w:tblW w:w="4997"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403"/>
              <w:gridCol w:w="1316"/>
              <w:gridCol w:w="1316"/>
              <w:gridCol w:w="942"/>
              <w:gridCol w:w="2253"/>
              <w:gridCol w:w="576"/>
              <w:gridCol w:w="488"/>
              <w:gridCol w:w="866"/>
            </w:tblGrid>
            <w:tr w14:paraId="1588B2A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247" w:type="pct"/>
                  <w:vMerge w:val="restart"/>
                  <w:tcBorders>
                    <w:top w:val="outset" w:color="000000" w:sz="6" w:space="0"/>
                    <w:left w:val="outset" w:color="000000" w:sz="6" w:space="0"/>
                    <w:right w:val="outset" w:color="000000" w:sz="6" w:space="0"/>
                  </w:tcBorders>
                  <w:vAlign w:val="center"/>
                </w:tcPr>
                <w:p w14:paraId="3967EADC">
                  <w:pPr>
                    <w:widowControl/>
                    <w:jc w:val="center"/>
                    <w:rPr>
                      <w:rFonts w:eastAsiaTheme="minorEastAsia"/>
                      <w:bCs/>
                      <w:color w:val="454545"/>
                      <w:kern w:val="0"/>
                      <w:szCs w:val="21"/>
                    </w:rPr>
                  </w:pPr>
                  <w:r>
                    <w:rPr>
                      <w:rFonts w:eastAsiaTheme="minorEastAsia"/>
                      <w:bCs/>
                      <w:color w:val="454545"/>
                      <w:kern w:val="0"/>
                      <w:szCs w:val="21"/>
                    </w:rPr>
                    <w:t>序号</w:t>
                  </w:r>
                </w:p>
              </w:tc>
              <w:tc>
                <w:tcPr>
                  <w:tcW w:w="806" w:type="pct"/>
                  <w:vMerge w:val="restart"/>
                  <w:tcBorders>
                    <w:top w:val="outset" w:color="000000" w:sz="6" w:space="0"/>
                    <w:left w:val="outset" w:color="000000" w:sz="6" w:space="0"/>
                    <w:right w:val="outset" w:color="000000" w:sz="6" w:space="0"/>
                  </w:tcBorders>
                  <w:vAlign w:val="center"/>
                </w:tcPr>
                <w:p w14:paraId="62A9D389">
                  <w:pPr>
                    <w:widowControl/>
                    <w:jc w:val="center"/>
                    <w:rPr>
                      <w:rFonts w:eastAsiaTheme="minorEastAsia"/>
                      <w:bCs/>
                      <w:color w:val="454545"/>
                      <w:kern w:val="0"/>
                      <w:szCs w:val="21"/>
                    </w:rPr>
                  </w:pPr>
                  <w:r>
                    <w:rPr>
                      <w:rFonts w:eastAsiaTheme="minorEastAsia"/>
                      <w:bCs/>
                      <w:color w:val="454545"/>
                      <w:kern w:val="0"/>
                      <w:szCs w:val="21"/>
                    </w:rPr>
                    <w:t>断面名称</w:t>
                  </w:r>
                </w:p>
              </w:tc>
              <w:tc>
                <w:tcPr>
                  <w:tcW w:w="806" w:type="pct"/>
                  <w:vMerge w:val="restart"/>
                  <w:tcBorders>
                    <w:top w:val="outset" w:color="000000" w:sz="6" w:space="0"/>
                    <w:left w:val="outset" w:color="000000" w:sz="6" w:space="0"/>
                    <w:right w:val="outset" w:color="000000" w:sz="6" w:space="0"/>
                  </w:tcBorders>
                  <w:vAlign w:val="center"/>
                </w:tcPr>
                <w:p w14:paraId="282511E7">
                  <w:pPr>
                    <w:widowControl/>
                    <w:jc w:val="center"/>
                    <w:rPr>
                      <w:rFonts w:eastAsiaTheme="minorEastAsia"/>
                      <w:bCs/>
                      <w:color w:val="454545"/>
                      <w:kern w:val="0"/>
                      <w:szCs w:val="21"/>
                    </w:rPr>
                  </w:pPr>
                  <w:r>
                    <w:rPr>
                      <w:rFonts w:eastAsiaTheme="minorEastAsia"/>
                      <w:bCs/>
                      <w:color w:val="454545"/>
                      <w:kern w:val="0"/>
                      <w:szCs w:val="21"/>
                    </w:rPr>
                    <w:t>考核</w:t>
                  </w:r>
                </w:p>
                <w:p w14:paraId="312C8A4F">
                  <w:pPr>
                    <w:widowControl/>
                    <w:jc w:val="center"/>
                    <w:rPr>
                      <w:rFonts w:eastAsiaTheme="minorEastAsia"/>
                      <w:bCs/>
                      <w:color w:val="454545"/>
                      <w:kern w:val="0"/>
                      <w:szCs w:val="21"/>
                    </w:rPr>
                  </w:pPr>
                  <w:r>
                    <w:rPr>
                      <w:rFonts w:eastAsiaTheme="minorEastAsia"/>
                      <w:bCs/>
                      <w:color w:val="454545"/>
                      <w:kern w:val="0"/>
                      <w:szCs w:val="21"/>
                    </w:rPr>
                    <w:t>县市区</w:t>
                  </w:r>
                </w:p>
              </w:tc>
              <w:tc>
                <w:tcPr>
                  <w:tcW w:w="577" w:type="pct"/>
                  <w:vMerge w:val="restart"/>
                  <w:tcBorders>
                    <w:top w:val="outset" w:color="000000" w:sz="6" w:space="0"/>
                    <w:left w:val="outset" w:color="000000" w:sz="6" w:space="0"/>
                    <w:right w:val="outset" w:color="000000" w:sz="6" w:space="0"/>
                  </w:tcBorders>
                  <w:vAlign w:val="center"/>
                </w:tcPr>
                <w:p w14:paraId="14C2C5CE">
                  <w:pPr>
                    <w:widowControl/>
                    <w:jc w:val="center"/>
                    <w:rPr>
                      <w:rFonts w:eastAsiaTheme="minorEastAsia"/>
                      <w:bCs/>
                      <w:color w:val="454545"/>
                      <w:kern w:val="0"/>
                      <w:szCs w:val="21"/>
                    </w:rPr>
                  </w:pPr>
                  <w:r>
                    <w:rPr>
                      <w:rFonts w:eastAsiaTheme="minorEastAsia"/>
                      <w:bCs/>
                      <w:color w:val="454545"/>
                      <w:kern w:val="0"/>
                      <w:szCs w:val="21"/>
                    </w:rPr>
                    <w:t>所在河流</w:t>
                  </w:r>
                </w:p>
              </w:tc>
              <w:tc>
                <w:tcPr>
                  <w:tcW w:w="1380" w:type="pct"/>
                  <w:vMerge w:val="restart"/>
                  <w:tcBorders>
                    <w:top w:val="outset" w:color="000000" w:sz="6" w:space="0"/>
                    <w:left w:val="outset" w:color="000000" w:sz="6" w:space="0"/>
                    <w:right w:val="outset" w:color="000000" w:sz="6" w:space="0"/>
                  </w:tcBorders>
                  <w:vAlign w:val="center"/>
                </w:tcPr>
                <w:p w14:paraId="0F2B1FCB">
                  <w:pPr>
                    <w:widowControl/>
                    <w:jc w:val="center"/>
                    <w:rPr>
                      <w:rFonts w:eastAsiaTheme="minorEastAsia"/>
                      <w:bCs/>
                      <w:color w:val="454545"/>
                      <w:kern w:val="0"/>
                      <w:szCs w:val="21"/>
                    </w:rPr>
                  </w:pPr>
                  <w:r>
                    <w:rPr>
                      <w:rFonts w:eastAsiaTheme="minorEastAsia"/>
                      <w:bCs/>
                      <w:color w:val="454545"/>
                      <w:kern w:val="0"/>
                      <w:szCs w:val="21"/>
                    </w:rPr>
                    <w:t>断面属性</w:t>
                  </w:r>
                </w:p>
              </w:tc>
              <w:tc>
                <w:tcPr>
                  <w:tcW w:w="353" w:type="pct"/>
                  <w:vMerge w:val="restart"/>
                  <w:tcBorders>
                    <w:top w:val="outset" w:color="000000" w:sz="6" w:space="0"/>
                    <w:left w:val="outset" w:color="000000" w:sz="6" w:space="0"/>
                    <w:right w:val="outset" w:color="000000" w:sz="6" w:space="0"/>
                  </w:tcBorders>
                  <w:vAlign w:val="center"/>
                </w:tcPr>
                <w:p w14:paraId="046F6BD1">
                  <w:pPr>
                    <w:widowControl/>
                    <w:jc w:val="center"/>
                    <w:rPr>
                      <w:rFonts w:eastAsiaTheme="minorEastAsia"/>
                      <w:bCs/>
                      <w:color w:val="454545"/>
                      <w:kern w:val="0"/>
                      <w:szCs w:val="21"/>
                    </w:rPr>
                  </w:pPr>
                  <w:r>
                    <w:rPr>
                      <w:rFonts w:eastAsiaTheme="minorEastAsia"/>
                      <w:bCs/>
                      <w:color w:val="454545"/>
                      <w:kern w:val="0"/>
                      <w:szCs w:val="21"/>
                    </w:rPr>
                    <w:t>上年同期类别</w:t>
                  </w:r>
                </w:p>
              </w:tc>
              <w:tc>
                <w:tcPr>
                  <w:tcW w:w="829" w:type="pct"/>
                  <w:gridSpan w:val="2"/>
                  <w:tcBorders>
                    <w:top w:val="outset" w:color="000000" w:sz="6" w:space="0"/>
                    <w:left w:val="outset" w:color="000000" w:sz="6" w:space="0"/>
                    <w:bottom w:val="outset" w:color="000000" w:sz="6" w:space="0"/>
                    <w:right w:val="outset" w:color="000000" w:sz="6" w:space="0"/>
                  </w:tcBorders>
                  <w:vAlign w:val="center"/>
                </w:tcPr>
                <w:p w14:paraId="4187E5D3">
                  <w:pPr>
                    <w:widowControl/>
                    <w:jc w:val="center"/>
                    <w:rPr>
                      <w:rFonts w:eastAsiaTheme="minorEastAsia"/>
                      <w:bCs/>
                      <w:color w:val="454545"/>
                      <w:kern w:val="0"/>
                      <w:szCs w:val="21"/>
                    </w:rPr>
                  </w:pPr>
                  <w:r>
                    <w:rPr>
                      <w:rFonts w:eastAsiaTheme="minorEastAsia"/>
                      <w:bCs/>
                      <w:color w:val="454545"/>
                      <w:kern w:val="0"/>
                      <w:szCs w:val="21"/>
                    </w:rPr>
                    <w:t>202</w:t>
                  </w:r>
                  <w:r>
                    <w:rPr>
                      <w:rFonts w:hint="eastAsia" w:eastAsiaTheme="minorEastAsia"/>
                      <w:bCs/>
                      <w:color w:val="454545"/>
                      <w:kern w:val="0"/>
                      <w:szCs w:val="21"/>
                    </w:rPr>
                    <w:t>4</w:t>
                  </w:r>
                  <w:r>
                    <w:rPr>
                      <w:rFonts w:eastAsiaTheme="minorEastAsia"/>
                      <w:bCs/>
                      <w:color w:val="454545"/>
                      <w:kern w:val="0"/>
                      <w:szCs w:val="21"/>
                    </w:rPr>
                    <w:t>年1-12月</w:t>
                  </w:r>
                </w:p>
              </w:tc>
            </w:tr>
            <w:tr w14:paraId="622B19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312" w:hRule="atLeast"/>
                <w:jc w:val="center"/>
              </w:trPr>
              <w:tc>
                <w:tcPr>
                  <w:tcW w:w="247" w:type="pct"/>
                  <w:vMerge w:val="continue"/>
                  <w:tcBorders>
                    <w:left w:val="outset" w:color="000000" w:sz="6" w:space="0"/>
                    <w:right w:val="outset" w:color="000000" w:sz="6" w:space="0"/>
                  </w:tcBorders>
                  <w:vAlign w:val="center"/>
                </w:tcPr>
                <w:p w14:paraId="3839C8AB">
                  <w:pPr>
                    <w:widowControl/>
                    <w:jc w:val="center"/>
                    <w:rPr>
                      <w:rFonts w:eastAsiaTheme="minorEastAsia"/>
                      <w:bCs/>
                      <w:color w:val="454545"/>
                      <w:kern w:val="0"/>
                      <w:szCs w:val="21"/>
                    </w:rPr>
                  </w:pPr>
                </w:p>
              </w:tc>
              <w:tc>
                <w:tcPr>
                  <w:tcW w:w="806" w:type="pct"/>
                  <w:vMerge w:val="continue"/>
                  <w:tcBorders>
                    <w:left w:val="outset" w:color="000000" w:sz="6" w:space="0"/>
                    <w:right w:val="outset" w:color="000000" w:sz="6" w:space="0"/>
                  </w:tcBorders>
                  <w:vAlign w:val="center"/>
                </w:tcPr>
                <w:p w14:paraId="1BD41D78">
                  <w:pPr>
                    <w:widowControl/>
                    <w:jc w:val="center"/>
                    <w:rPr>
                      <w:rFonts w:eastAsiaTheme="minorEastAsia"/>
                      <w:bCs/>
                      <w:color w:val="454545"/>
                      <w:kern w:val="0"/>
                      <w:szCs w:val="21"/>
                    </w:rPr>
                  </w:pPr>
                </w:p>
              </w:tc>
              <w:tc>
                <w:tcPr>
                  <w:tcW w:w="806" w:type="pct"/>
                  <w:vMerge w:val="continue"/>
                  <w:tcBorders>
                    <w:left w:val="outset" w:color="000000" w:sz="6" w:space="0"/>
                    <w:right w:val="outset" w:color="000000" w:sz="6" w:space="0"/>
                  </w:tcBorders>
                  <w:vAlign w:val="center"/>
                </w:tcPr>
                <w:p w14:paraId="337B33CD">
                  <w:pPr>
                    <w:widowControl/>
                    <w:jc w:val="center"/>
                    <w:rPr>
                      <w:rFonts w:eastAsiaTheme="minorEastAsia"/>
                      <w:bCs/>
                      <w:color w:val="454545"/>
                      <w:kern w:val="0"/>
                      <w:szCs w:val="21"/>
                    </w:rPr>
                  </w:pPr>
                </w:p>
              </w:tc>
              <w:tc>
                <w:tcPr>
                  <w:tcW w:w="577" w:type="pct"/>
                  <w:vMerge w:val="continue"/>
                  <w:tcBorders>
                    <w:left w:val="outset" w:color="000000" w:sz="6" w:space="0"/>
                    <w:right w:val="outset" w:color="000000" w:sz="6" w:space="0"/>
                  </w:tcBorders>
                  <w:vAlign w:val="center"/>
                </w:tcPr>
                <w:p w14:paraId="187F0396">
                  <w:pPr>
                    <w:widowControl/>
                    <w:jc w:val="center"/>
                    <w:rPr>
                      <w:rFonts w:eastAsiaTheme="minorEastAsia"/>
                      <w:bCs/>
                      <w:color w:val="454545"/>
                      <w:kern w:val="0"/>
                      <w:szCs w:val="21"/>
                    </w:rPr>
                  </w:pPr>
                </w:p>
              </w:tc>
              <w:tc>
                <w:tcPr>
                  <w:tcW w:w="1380" w:type="pct"/>
                  <w:vMerge w:val="continue"/>
                  <w:tcBorders>
                    <w:left w:val="outset" w:color="000000" w:sz="6" w:space="0"/>
                    <w:right w:val="outset" w:color="000000" w:sz="6" w:space="0"/>
                  </w:tcBorders>
                  <w:vAlign w:val="center"/>
                </w:tcPr>
                <w:p w14:paraId="5BB9493D">
                  <w:pPr>
                    <w:widowControl/>
                    <w:jc w:val="center"/>
                    <w:rPr>
                      <w:rFonts w:eastAsiaTheme="minorEastAsia"/>
                      <w:bCs/>
                      <w:color w:val="454545"/>
                      <w:kern w:val="0"/>
                      <w:szCs w:val="21"/>
                    </w:rPr>
                  </w:pPr>
                </w:p>
              </w:tc>
              <w:tc>
                <w:tcPr>
                  <w:tcW w:w="353" w:type="pct"/>
                  <w:vMerge w:val="continue"/>
                  <w:tcBorders>
                    <w:left w:val="outset" w:color="000000" w:sz="6" w:space="0"/>
                    <w:right w:val="outset" w:color="000000" w:sz="6" w:space="0"/>
                  </w:tcBorders>
                  <w:vAlign w:val="center"/>
                </w:tcPr>
                <w:p w14:paraId="6E3B8864">
                  <w:pPr>
                    <w:widowControl/>
                    <w:jc w:val="center"/>
                    <w:rPr>
                      <w:rFonts w:eastAsiaTheme="minorEastAsia"/>
                      <w:bCs/>
                      <w:color w:val="454545"/>
                      <w:kern w:val="0"/>
                      <w:szCs w:val="21"/>
                    </w:rPr>
                  </w:pPr>
                </w:p>
              </w:tc>
              <w:tc>
                <w:tcPr>
                  <w:tcW w:w="299" w:type="pct"/>
                  <w:vMerge w:val="restart"/>
                  <w:tcBorders>
                    <w:top w:val="outset" w:color="000000" w:sz="6" w:space="0"/>
                    <w:left w:val="outset" w:color="000000" w:sz="6" w:space="0"/>
                    <w:right w:val="outset" w:color="000000" w:sz="6" w:space="0"/>
                  </w:tcBorders>
                  <w:vAlign w:val="center"/>
                </w:tcPr>
                <w:p w14:paraId="7CEC5F5B">
                  <w:pPr>
                    <w:widowControl/>
                    <w:jc w:val="center"/>
                    <w:rPr>
                      <w:rFonts w:eastAsiaTheme="minorEastAsia"/>
                      <w:bCs/>
                      <w:color w:val="454545"/>
                      <w:kern w:val="0"/>
                      <w:szCs w:val="21"/>
                    </w:rPr>
                  </w:pPr>
                  <w:r>
                    <w:rPr>
                      <w:rFonts w:eastAsiaTheme="minorEastAsia"/>
                      <w:bCs/>
                      <w:color w:val="454545"/>
                      <w:kern w:val="0"/>
                      <w:szCs w:val="21"/>
                    </w:rPr>
                    <w:t>水质类别</w:t>
                  </w:r>
                </w:p>
              </w:tc>
              <w:tc>
                <w:tcPr>
                  <w:tcW w:w="530" w:type="pct"/>
                  <w:vMerge w:val="restart"/>
                  <w:tcBorders>
                    <w:top w:val="outset" w:color="000000" w:sz="6" w:space="0"/>
                    <w:left w:val="outset" w:color="000000" w:sz="6" w:space="0"/>
                    <w:right w:val="outset" w:color="000000" w:sz="6" w:space="0"/>
                  </w:tcBorders>
                  <w:vAlign w:val="center"/>
                </w:tcPr>
                <w:p w14:paraId="13133028">
                  <w:pPr>
                    <w:widowControl/>
                    <w:jc w:val="center"/>
                    <w:rPr>
                      <w:rFonts w:eastAsiaTheme="minorEastAsia"/>
                      <w:bCs/>
                      <w:color w:val="454545"/>
                      <w:kern w:val="0"/>
                      <w:szCs w:val="21"/>
                    </w:rPr>
                  </w:pPr>
                  <w:r>
                    <w:rPr>
                      <w:rFonts w:eastAsiaTheme="minorEastAsia"/>
                      <w:bCs/>
                      <w:color w:val="454545"/>
                      <w:kern w:val="0"/>
                      <w:szCs w:val="21"/>
                    </w:rPr>
                    <w:t>超Ⅲ类标准的指标(超标倍数)</w:t>
                  </w:r>
                </w:p>
              </w:tc>
            </w:tr>
            <w:tr w14:paraId="5A85E70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735" w:hRule="atLeast"/>
                <w:jc w:val="center"/>
              </w:trPr>
              <w:tc>
                <w:tcPr>
                  <w:tcW w:w="247" w:type="pct"/>
                  <w:vMerge w:val="continue"/>
                  <w:tcBorders>
                    <w:left w:val="outset" w:color="000000" w:sz="6" w:space="0"/>
                    <w:bottom w:val="outset" w:color="000000" w:sz="6" w:space="0"/>
                    <w:right w:val="outset" w:color="000000" w:sz="6" w:space="0"/>
                  </w:tcBorders>
                  <w:vAlign w:val="center"/>
                </w:tcPr>
                <w:p w14:paraId="2A6B87EB">
                  <w:pPr>
                    <w:widowControl/>
                    <w:jc w:val="center"/>
                    <w:rPr>
                      <w:rFonts w:eastAsiaTheme="minorEastAsia"/>
                      <w:bCs/>
                      <w:color w:val="454545"/>
                      <w:kern w:val="0"/>
                      <w:szCs w:val="21"/>
                    </w:rPr>
                  </w:pPr>
                </w:p>
              </w:tc>
              <w:tc>
                <w:tcPr>
                  <w:tcW w:w="806" w:type="pct"/>
                  <w:vMerge w:val="continue"/>
                  <w:tcBorders>
                    <w:left w:val="outset" w:color="000000" w:sz="6" w:space="0"/>
                    <w:bottom w:val="outset" w:color="000000" w:sz="6" w:space="0"/>
                    <w:right w:val="outset" w:color="000000" w:sz="6" w:space="0"/>
                  </w:tcBorders>
                  <w:vAlign w:val="center"/>
                </w:tcPr>
                <w:p w14:paraId="7A4A1790">
                  <w:pPr>
                    <w:widowControl/>
                    <w:jc w:val="center"/>
                    <w:rPr>
                      <w:rFonts w:eastAsiaTheme="minorEastAsia"/>
                      <w:bCs/>
                      <w:color w:val="454545"/>
                      <w:kern w:val="0"/>
                      <w:szCs w:val="21"/>
                    </w:rPr>
                  </w:pPr>
                </w:p>
              </w:tc>
              <w:tc>
                <w:tcPr>
                  <w:tcW w:w="806" w:type="pct"/>
                  <w:vMerge w:val="continue"/>
                  <w:tcBorders>
                    <w:left w:val="outset" w:color="000000" w:sz="6" w:space="0"/>
                    <w:bottom w:val="outset" w:color="000000" w:sz="6" w:space="0"/>
                    <w:right w:val="outset" w:color="000000" w:sz="6" w:space="0"/>
                  </w:tcBorders>
                  <w:vAlign w:val="center"/>
                </w:tcPr>
                <w:p w14:paraId="0776DD50">
                  <w:pPr>
                    <w:widowControl/>
                    <w:jc w:val="center"/>
                    <w:rPr>
                      <w:rFonts w:eastAsiaTheme="minorEastAsia"/>
                      <w:bCs/>
                      <w:color w:val="454545"/>
                      <w:kern w:val="0"/>
                      <w:szCs w:val="21"/>
                    </w:rPr>
                  </w:pPr>
                </w:p>
              </w:tc>
              <w:tc>
                <w:tcPr>
                  <w:tcW w:w="577" w:type="pct"/>
                  <w:vMerge w:val="continue"/>
                  <w:tcBorders>
                    <w:left w:val="outset" w:color="000000" w:sz="6" w:space="0"/>
                    <w:bottom w:val="outset" w:color="000000" w:sz="6" w:space="0"/>
                    <w:right w:val="outset" w:color="000000" w:sz="6" w:space="0"/>
                  </w:tcBorders>
                  <w:vAlign w:val="center"/>
                </w:tcPr>
                <w:p w14:paraId="7614EC0C">
                  <w:pPr>
                    <w:widowControl/>
                    <w:jc w:val="center"/>
                    <w:rPr>
                      <w:rFonts w:eastAsiaTheme="minorEastAsia"/>
                      <w:bCs/>
                      <w:color w:val="454545"/>
                      <w:kern w:val="0"/>
                      <w:szCs w:val="21"/>
                    </w:rPr>
                  </w:pPr>
                </w:p>
              </w:tc>
              <w:tc>
                <w:tcPr>
                  <w:tcW w:w="1380" w:type="pct"/>
                  <w:vMerge w:val="continue"/>
                  <w:tcBorders>
                    <w:left w:val="outset" w:color="000000" w:sz="6" w:space="0"/>
                    <w:bottom w:val="outset" w:color="000000" w:sz="6" w:space="0"/>
                    <w:right w:val="outset" w:color="000000" w:sz="6" w:space="0"/>
                  </w:tcBorders>
                  <w:vAlign w:val="center"/>
                </w:tcPr>
                <w:p w14:paraId="1BB08C16">
                  <w:pPr>
                    <w:widowControl/>
                    <w:jc w:val="center"/>
                    <w:rPr>
                      <w:rFonts w:eastAsiaTheme="minorEastAsia"/>
                      <w:bCs/>
                      <w:color w:val="454545"/>
                      <w:kern w:val="0"/>
                      <w:szCs w:val="21"/>
                    </w:rPr>
                  </w:pPr>
                </w:p>
              </w:tc>
              <w:tc>
                <w:tcPr>
                  <w:tcW w:w="353" w:type="pct"/>
                  <w:vMerge w:val="continue"/>
                  <w:tcBorders>
                    <w:left w:val="outset" w:color="000000" w:sz="6" w:space="0"/>
                    <w:bottom w:val="outset" w:color="000000" w:sz="6" w:space="0"/>
                    <w:right w:val="outset" w:color="000000" w:sz="6" w:space="0"/>
                  </w:tcBorders>
                  <w:vAlign w:val="center"/>
                </w:tcPr>
                <w:p w14:paraId="5EFAE80E">
                  <w:pPr>
                    <w:widowControl/>
                    <w:jc w:val="center"/>
                    <w:rPr>
                      <w:rFonts w:eastAsiaTheme="minorEastAsia"/>
                      <w:bCs/>
                      <w:color w:val="454545"/>
                      <w:kern w:val="0"/>
                      <w:szCs w:val="21"/>
                    </w:rPr>
                  </w:pPr>
                </w:p>
              </w:tc>
              <w:tc>
                <w:tcPr>
                  <w:tcW w:w="299" w:type="pct"/>
                  <w:vMerge w:val="continue"/>
                  <w:tcBorders>
                    <w:left w:val="outset" w:color="000000" w:sz="6" w:space="0"/>
                    <w:bottom w:val="outset" w:color="000000" w:sz="6" w:space="0"/>
                    <w:right w:val="outset" w:color="000000" w:sz="6" w:space="0"/>
                  </w:tcBorders>
                  <w:vAlign w:val="center"/>
                </w:tcPr>
                <w:p w14:paraId="5AA5468A">
                  <w:pPr>
                    <w:widowControl/>
                    <w:jc w:val="center"/>
                    <w:rPr>
                      <w:rFonts w:eastAsiaTheme="minorEastAsia"/>
                      <w:bCs/>
                      <w:color w:val="454545"/>
                      <w:kern w:val="0"/>
                      <w:szCs w:val="21"/>
                    </w:rPr>
                  </w:pPr>
                </w:p>
              </w:tc>
              <w:tc>
                <w:tcPr>
                  <w:tcW w:w="530" w:type="pct"/>
                  <w:vMerge w:val="continue"/>
                  <w:tcBorders>
                    <w:left w:val="outset" w:color="000000" w:sz="6" w:space="0"/>
                    <w:bottom w:val="outset" w:color="000000" w:sz="6" w:space="0"/>
                    <w:right w:val="outset" w:color="000000" w:sz="6" w:space="0"/>
                  </w:tcBorders>
                  <w:vAlign w:val="center"/>
                </w:tcPr>
                <w:p w14:paraId="118FF3BA">
                  <w:pPr>
                    <w:widowControl/>
                    <w:jc w:val="center"/>
                    <w:rPr>
                      <w:rFonts w:eastAsiaTheme="minorEastAsia"/>
                      <w:bCs/>
                      <w:color w:val="454545"/>
                      <w:kern w:val="0"/>
                      <w:szCs w:val="21"/>
                    </w:rPr>
                  </w:pPr>
                </w:p>
              </w:tc>
            </w:tr>
            <w:tr w14:paraId="29FE1AC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5DFC19A8">
                  <w:pPr>
                    <w:widowControl/>
                    <w:jc w:val="center"/>
                    <w:rPr>
                      <w:rFonts w:eastAsiaTheme="minorEastAsia"/>
                      <w:bCs/>
                      <w:color w:val="454545"/>
                      <w:kern w:val="0"/>
                      <w:szCs w:val="21"/>
                    </w:rPr>
                  </w:pPr>
                  <w:r>
                    <w:rPr>
                      <w:rFonts w:eastAsiaTheme="minorEastAsia"/>
                      <w:bCs/>
                      <w:color w:val="454545"/>
                      <w:kern w:val="0"/>
                      <w:szCs w:val="21"/>
                    </w:rPr>
                    <w:t>1</w:t>
                  </w:r>
                </w:p>
              </w:tc>
              <w:tc>
                <w:tcPr>
                  <w:tcW w:w="806" w:type="pct"/>
                  <w:tcBorders>
                    <w:top w:val="outset" w:color="000000" w:sz="6" w:space="0"/>
                    <w:left w:val="outset" w:color="000000" w:sz="6" w:space="0"/>
                    <w:bottom w:val="outset" w:color="000000" w:sz="6" w:space="0"/>
                    <w:right w:val="outset" w:color="000000" w:sz="6" w:space="0"/>
                  </w:tcBorders>
                  <w:vAlign w:val="center"/>
                </w:tcPr>
                <w:p w14:paraId="2B712B62">
                  <w:pPr>
                    <w:widowControl/>
                    <w:jc w:val="center"/>
                    <w:rPr>
                      <w:rFonts w:eastAsiaTheme="minorEastAsia"/>
                      <w:bCs/>
                      <w:color w:val="454545"/>
                      <w:kern w:val="0"/>
                      <w:szCs w:val="21"/>
                    </w:rPr>
                  </w:pPr>
                  <w:r>
                    <w:rPr>
                      <w:rFonts w:eastAsiaTheme="minorEastAsia"/>
                      <w:bCs/>
                      <w:color w:val="454545"/>
                      <w:kern w:val="0"/>
                      <w:szCs w:val="21"/>
                    </w:rPr>
                    <w:t>衡山自来水厂</w:t>
                  </w:r>
                </w:p>
              </w:tc>
              <w:tc>
                <w:tcPr>
                  <w:tcW w:w="806" w:type="pct"/>
                  <w:tcBorders>
                    <w:top w:val="outset" w:color="000000" w:sz="6" w:space="0"/>
                    <w:left w:val="outset" w:color="000000" w:sz="6" w:space="0"/>
                    <w:bottom w:val="outset" w:color="000000" w:sz="6" w:space="0"/>
                    <w:right w:val="outset" w:color="000000" w:sz="6" w:space="0"/>
                  </w:tcBorders>
                  <w:vAlign w:val="center"/>
                </w:tcPr>
                <w:p w14:paraId="2F9A10EA">
                  <w:pPr>
                    <w:widowControl/>
                    <w:jc w:val="center"/>
                    <w:rPr>
                      <w:rFonts w:eastAsiaTheme="minorEastAsia"/>
                      <w:bCs/>
                      <w:color w:val="454545"/>
                      <w:kern w:val="0"/>
                      <w:szCs w:val="21"/>
                    </w:rPr>
                  </w:pPr>
                  <w:r>
                    <w:rPr>
                      <w:rFonts w:eastAsiaTheme="minorEastAsia"/>
                      <w:bCs/>
                      <w:color w:val="454545"/>
                      <w:kern w:val="0"/>
                      <w:szCs w:val="21"/>
                    </w:rPr>
                    <w:t>衡山县</w:t>
                  </w:r>
                </w:p>
              </w:tc>
              <w:tc>
                <w:tcPr>
                  <w:tcW w:w="577" w:type="pct"/>
                  <w:tcBorders>
                    <w:top w:val="outset" w:color="000000" w:sz="6" w:space="0"/>
                    <w:left w:val="outset" w:color="000000" w:sz="6" w:space="0"/>
                    <w:bottom w:val="outset" w:color="000000" w:sz="6" w:space="0"/>
                    <w:right w:val="outset" w:color="000000" w:sz="6" w:space="0"/>
                  </w:tcBorders>
                  <w:vAlign w:val="center"/>
                </w:tcPr>
                <w:p w14:paraId="4487B155">
                  <w:pPr>
                    <w:widowControl/>
                    <w:jc w:val="center"/>
                    <w:rPr>
                      <w:rFonts w:eastAsiaTheme="minorEastAsia"/>
                      <w:bCs/>
                      <w:color w:val="454545"/>
                      <w:kern w:val="0"/>
                      <w:szCs w:val="21"/>
                    </w:rPr>
                  </w:pPr>
                  <w:r>
                    <w:rPr>
                      <w:rFonts w:eastAsiaTheme="minorEastAsia"/>
                      <w:bCs/>
                      <w:color w:val="454545"/>
                      <w:kern w:val="0"/>
                      <w:szCs w:val="21"/>
                    </w:rPr>
                    <w:t>湘江</w:t>
                  </w:r>
                </w:p>
              </w:tc>
              <w:tc>
                <w:tcPr>
                  <w:tcW w:w="1380" w:type="pct"/>
                  <w:tcBorders>
                    <w:top w:val="outset" w:color="000000" w:sz="6" w:space="0"/>
                    <w:left w:val="outset" w:color="000000" w:sz="6" w:space="0"/>
                    <w:bottom w:val="outset" w:color="000000" w:sz="6" w:space="0"/>
                    <w:right w:val="outset" w:color="000000" w:sz="6" w:space="0"/>
                  </w:tcBorders>
                  <w:vAlign w:val="center"/>
                </w:tcPr>
                <w:p w14:paraId="24AAD8EE">
                  <w:pPr>
                    <w:widowControl/>
                    <w:jc w:val="center"/>
                    <w:rPr>
                      <w:rFonts w:eastAsiaTheme="minorEastAsia"/>
                      <w:bCs/>
                      <w:color w:val="454545"/>
                      <w:kern w:val="0"/>
                      <w:szCs w:val="21"/>
                    </w:rPr>
                  </w:pPr>
                  <w:r>
                    <w:rPr>
                      <w:rFonts w:eastAsiaTheme="minorEastAsia"/>
                      <w:bCs/>
                      <w:color w:val="454545"/>
                      <w:kern w:val="0"/>
                      <w:szCs w:val="21"/>
                    </w:rPr>
                    <w:t>饮用水</w:t>
                  </w:r>
                </w:p>
              </w:tc>
              <w:tc>
                <w:tcPr>
                  <w:tcW w:w="353" w:type="pct"/>
                  <w:tcBorders>
                    <w:top w:val="outset" w:color="000000" w:sz="6" w:space="0"/>
                    <w:left w:val="outset" w:color="000000" w:sz="6" w:space="0"/>
                    <w:bottom w:val="outset" w:color="000000" w:sz="6" w:space="0"/>
                    <w:right w:val="outset" w:color="000000" w:sz="6" w:space="0"/>
                  </w:tcBorders>
                  <w:vAlign w:val="center"/>
                </w:tcPr>
                <w:p w14:paraId="4950EE23">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6" w:space="0"/>
                    <w:right w:val="outset" w:color="000000" w:sz="6" w:space="0"/>
                  </w:tcBorders>
                  <w:vAlign w:val="center"/>
                </w:tcPr>
                <w:p w14:paraId="40CCA016">
                  <w:pPr>
                    <w:jc w:val="center"/>
                    <w:rPr>
                      <w:rFonts w:eastAsiaTheme="minorEastAsia"/>
                      <w:bCs/>
                      <w:kern w:val="0"/>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6" w:space="0"/>
                    <w:right w:val="outset" w:color="000000" w:sz="6" w:space="0"/>
                  </w:tcBorders>
                  <w:vAlign w:val="center"/>
                </w:tcPr>
                <w:p w14:paraId="05265100">
                  <w:pPr>
                    <w:widowControl/>
                    <w:jc w:val="center"/>
                    <w:rPr>
                      <w:rFonts w:eastAsiaTheme="minorEastAsia"/>
                      <w:bCs/>
                      <w:kern w:val="0"/>
                      <w:szCs w:val="21"/>
                    </w:rPr>
                  </w:pPr>
                  <w:r>
                    <w:rPr>
                      <w:rFonts w:eastAsiaTheme="minorEastAsia"/>
                      <w:bCs/>
                      <w:kern w:val="0"/>
                      <w:szCs w:val="21"/>
                    </w:rPr>
                    <w:t>/</w:t>
                  </w:r>
                </w:p>
              </w:tc>
            </w:tr>
            <w:tr w14:paraId="4CD8F6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145643D3">
                  <w:pPr>
                    <w:widowControl/>
                    <w:jc w:val="center"/>
                    <w:rPr>
                      <w:rFonts w:eastAsiaTheme="minorEastAsia"/>
                      <w:bCs/>
                      <w:color w:val="454545"/>
                      <w:kern w:val="0"/>
                      <w:szCs w:val="21"/>
                    </w:rPr>
                  </w:pPr>
                  <w:r>
                    <w:rPr>
                      <w:rFonts w:eastAsiaTheme="minorEastAsia"/>
                      <w:bCs/>
                      <w:color w:val="454545"/>
                      <w:kern w:val="0"/>
                      <w:szCs w:val="21"/>
                    </w:rPr>
                    <w:t>2</w:t>
                  </w:r>
                </w:p>
              </w:tc>
              <w:tc>
                <w:tcPr>
                  <w:tcW w:w="806" w:type="pct"/>
                  <w:tcBorders>
                    <w:top w:val="outset" w:color="000000" w:sz="6" w:space="0"/>
                    <w:left w:val="outset" w:color="000000" w:sz="6" w:space="0"/>
                    <w:bottom w:val="outset" w:color="000000" w:sz="6" w:space="0"/>
                    <w:right w:val="outset" w:color="000000" w:sz="6" w:space="0"/>
                  </w:tcBorders>
                  <w:vAlign w:val="center"/>
                </w:tcPr>
                <w:p w14:paraId="4C74AEF9">
                  <w:pPr>
                    <w:widowControl/>
                    <w:jc w:val="center"/>
                    <w:rPr>
                      <w:rFonts w:eastAsiaTheme="minorEastAsia"/>
                      <w:bCs/>
                      <w:color w:val="454545"/>
                      <w:kern w:val="0"/>
                      <w:szCs w:val="21"/>
                    </w:rPr>
                  </w:pPr>
                  <w:r>
                    <w:rPr>
                      <w:rFonts w:eastAsiaTheme="minorEastAsia"/>
                      <w:bCs/>
                      <w:color w:val="454545"/>
                      <w:kern w:val="0"/>
                      <w:szCs w:val="21"/>
                    </w:rPr>
                    <w:t>熬洲</w:t>
                  </w:r>
                </w:p>
              </w:tc>
              <w:tc>
                <w:tcPr>
                  <w:tcW w:w="806" w:type="pct"/>
                  <w:tcBorders>
                    <w:top w:val="outset" w:color="000000" w:sz="6" w:space="0"/>
                    <w:left w:val="outset" w:color="000000" w:sz="6" w:space="0"/>
                    <w:bottom w:val="outset" w:color="000000" w:sz="6" w:space="0"/>
                    <w:right w:val="outset" w:color="000000" w:sz="6" w:space="0"/>
                  </w:tcBorders>
                  <w:vAlign w:val="center"/>
                </w:tcPr>
                <w:p w14:paraId="33695E93">
                  <w:pPr>
                    <w:widowControl/>
                    <w:jc w:val="center"/>
                    <w:rPr>
                      <w:rFonts w:eastAsiaTheme="minorEastAsia"/>
                      <w:bCs/>
                      <w:color w:val="454545"/>
                      <w:kern w:val="0"/>
                      <w:szCs w:val="21"/>
                    </w:rPr>
                  </w:pPr>
                  <w:r>
                    <w:rPr>
                      <w:rFonts w:eastAsiaTheme="minorEastAsia"/>
                      <w:bCs/>
                      <w:color w:val="454545"/>
                      <w:kern w:val="0"/>
                      <w:szCs w:val="21"/>
                    </w:rPr>
                    <w:t>衡山县、衡东县</w:t>
                  </w:r>
                </w:p>
              </w:tc>
              <w:tc>
                <w:tcPr>
                  <w:tcW w:w="577" w:type="pct"/>
                  <w:tcBorders>
                    <w:top w:val="outset" w:color="000000" w:sz="6" w:space="0"/>
                    <w:left w:val="outset" w:color="000000" w:sz="6" w:space="0"/>
                    <w:bottom w:val="outset" w:color="000000" w:sz="6" w:space="0"/>
                    <w:right w:val="outset" w:color="000000" w:sz="6" w:space="0"/>
                  </w:tcBorders>
                  <w:vAlign w:val="center"/>
                </w:tcPr>
                <w:p w14:paraId="6C5DF841">
                  <w:pPr>
                    <w:widowControl/>
                    <w:jc w:val="center"/>
                    <w:rPr>
                      <w:rFonts w:eastAsiaTheme="minorEastAsia"/>
                      <w:bCs/>
                      <w:color w:val="454545"/>
                      <w:kern w:val="0"/>
                      <w:szCs w:val="21"/>
                    </w:rPr>
                  </w:pPr>
                  <w:r>
                    <w:rPr>
                      <w:rFonts w:eastAsiaTheme="minorEastAsia"/>
                      <w:bCs/>
                      <w:color w:val="454545"/>
                      <w:kern w:val="0"/>
                      <w:szCs w:val="21"/>
                    </w:rPr>
                    <w:t>湘江</w:t>
                  </w:r>
                </w:p>
              </w:tc>
              <w:tc>
                <w:tcPr>
                  <w:tcW w:w="1380" w:type="pct"/>
                  <w:tcBorders>
                    <w:top w:val="outset" w:color="000000" w:sz="6" w:space="0"/>
                    <w:left w:val="outset" w:color="000000" w:sz="6" w:space="0"/>
                    <w:bottom w:val="outset" w:color="000000" w:sz="6" w:space="0"/>
                    <w:right w:val="outset" w:color="000000" w:sz="6" w:space="0"/>
                  </w:tcBorders>
                  <w:vAlign w:val="center"/>
                </w:tcPr>
                <w:p w14:paraId="6C09C10F">
                  <w:pPr>
                    <w:widowControl/>
                    <w:jc w:val="center"/>
                    <w:rPr>
                      <w:rFonts w:eastAsiaTheme="minorEastAsia"/>
                      <w:bCs/>
                      <w:color w:val="454545"/>
                      <w:kern w:val="0"/>
                      <w:szCs w:val="21"/>
                    </w:rPr>
                  </w:pPr>
                  <w:r>
                    <w:rPr>
                      <w:rFonts w:eastAsiaTheme="minorEastAsia"/>
                      <w:bCs/>
                      <w:color w:val="454545"/>
                      <w:kern w:val="0"/>
                      <w:szCs w:val="21"/>
                    </w:rPr>
                    <w:t>控制*</w:t>
                  </w:r>
                </w:p>
              </w:tc>
              <w:tc>
                <w:tcPr>
                  <w:tcW w:w="353" w:type="pct"/>
                  <w:tcBorders>
                    <w:top w:val="outset" w:color="000000" w:sz="6" w:space="0"/>
                    <w:left w:val="outset" w:color="000000" w:sz="6" w:space="0"/>
                    <w:bottom w:val="outset" w:color="000000" w:sz="6" w:space="0"/>
                    <w:right w:val="outset" w:color="000000" w:sz="6" w:space="0"/>
                  </w:tcBorders>
                  <w:vAlign w:val="center"/>
                </w:tcPr>
                <w:p w14:paraId="4D404892">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6" w:space="0"/>
                    <w:right w:val="outset" w:color="000000" w:sz="6" w:space="0"/>
                  </w:tcBorders>
                  <w:vAlign w:val="center"/>
                </w:tcPr>
                <w:p w14:paraId="362CE713">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6" w:space="0"/>
                    <w:right w:val="outset" w:color="000000" w:sz="6" w:space="0"/>
                  </w:tcBorders>
                  <w:vAlign w:val="center"/>
                </w:tcPr>
                <w:p w14:paraId="73A99C2A">
                  <w:pPr>
                    <w:widowControl/>
                    <w:jc w:val="center"/>
                    <w:rPr>
                      <w:rFonts w:eastAsiaTheme="minorEastAsia"/>
                      <w:bCs/>
                      <w:kern w:val="0"/>
                      <w:szCs w:val="21"/>
                    </w:rPr>
                  </w:pPr>
                  <w:r>
                    <w:rPr>
                      <w:rFonts w:eastAsiaTheme="minorEastAsia"/>
                      <w:bCs/>
                      <w:kern w:val="0"/>
                      <w:szCs w:val="21"/>
                    </w:rPr>
                    <w:t>/</w:t>
                  </w:r>
                </w:p>
              </w:tc>
            </w:tr>
            <w:tr w14:paraId="29E6F07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3A71FD6D">
                  <w:pPr>
                    <w:widowControl/>
                    <w:jc w:val="center"/>
                    <w:rPr>
                      <w:rFonts w:eastAsiaTheme="minorEastAsia"/>
                      <w:bCs/>
                      <w:color w:val="454545"/>
                      <w:kern w:val="0"/>
                      <w:szCs w:val="21"/>
                    </w:rPr>
                  </w:pPr>
                  <w:r>
                    <w:rPr>
                      <w:rFonts w:eastAsiaTheme="minorEastAsia"/>
                      <w:bCs/>
                      <w:color w:val="454545"/>
                      <w:kern w:val="0"/>
                      <w:szCs w:val="21"/>
                    </w:rPr>
                    <w:t>3</w:t>
                  </w:r>
                </w:p>
              </w:tc>
              <w:tc>
                <w:tcPr>
                  <w:tcW w:w="806" w:type="pct"/>
                  <w:tcBorders>
                    <w:top w:val="outset" w:color="000000" w:sz="6" w:space="0"/>
                    <w:left w:val="outset" w:color="000000" w:sz="6" w:space="0"/>
                    <w:bottom w:val="outset" w:color="000000" w:sz="6" w:space="0"/>
                    <w:right w:val="outset" w:color="000000" w:sz="6" w:space="0"/>
                  </w:tcBorders>
                  <w:vAlign w:val="center"/>
                </w:tcPr>
                <w:p w14:paraId="42140BED">
                  <w:pPr>
                    <w:widowControl/>
                    <w:jc w:val="center"/>
                    <w:rPr>
                      <w:rFonts w:eastAsiaTheme="minorEastAsia"/>
                      <w:bCs/>
                      <w:color w:val="454545"/>
                      <w:kern w:val="0"/>
                      <w:szCs w:val="21"/>
                    </w:rPr>
                  </w:pPr>
                  <w:r>
                    <w:rPr>
                      <w:rFonts w:eastAsiaTheme="minorEastAsia"/>
                      <w:bCs/>
                      <w:color w:val="454545"/>
                      <w:kern w:val="0"/>
                      <w:szCs w:val="21"/>
                    </w:rPr>
                    <w:t>和平村</w:t>
                  </w:r>
                </w:p>
              </w:tc>
              <w:tc>
                <w:tcPr>
                  <w:tcW w:w="806" w:type="pct"/>
                  <w:tcBorders>
                    <w:top w:val="outset" w:color="000000" w:sz="6" w:space="0"/>
                    <w:left w:val="outset" w:color="000000" w:sz="6" w:space="0"/>
                    <w:bottom w:val="outset" w:color="000000" w:sz="6" w:space="0"/>
                    <w:right w:val="outset" w:color="000000" w:sz="6" w:space="0"/>
                  </w:tcBorders>
                  <w:vAlign w:val="center"/>
                </w:tcPr>
                <w:p w14:paraId="161A47F6">
                  <w:pPr>
                    <w:widowControl/>
                    <w:jc w:val="center"/>
                    <w:rPr>
                      <w:rFonts w:eastAsiaTheme="minorEastAsia"/>
                      <w:bCs/>
                      <w:color w:val="454545"/>
                      <w:kern w:val="0"/>
                      <w:szCs w:val="21"/>
                    </w:rPr>
                  </w:pPr>
                  <w:r>
                    <w:rPr>
                      <w:rFonts w:eastAsiaTheme="minorEastAsia"/>
                      <w:bCs/>
                      <w:color w:val="454545"/>
                      <w:kern w:val="0"/>
                      <w:szCs w:val="21"/>
                    </w:rPr>
                    <w:t>衡山县</w:t>
                  </w:r>
                </w:p>
              </w:tc>
              <w:tc>
                <w:tcPr>
                  <w:tcW w:w="577" w:type="pct"/>
                  <w:tcBorders>
                    <w:top w:val="outset" w:color="000000" w:sz="6" w:space="0"/>
                    <w:left w:val="outset" w:color="000000" w:sz="6" w:space="0"/>
                    <w:bottom w:val="outset" w:color="000000" w:sz="6" w:space="0"/>
                    <w:right w:val="outset" w:color="000000" w:sz="6" w:space="0"/>
                  </w:tcBorders>
                  <w:vAlign w:val="center"/>
                </w:tcPr>
                <w:p w14:paraId="09475913">
                  <w:pPr>
                    <w:widowControl/>
                    <w:jc w:val="center"/>
                    <w:rPr>
                      <w:rFonts w:eastAsiaTheme="minorEastAsia"/>
                      <w:bCs/>
                      <w:color w:val="454545"/>
                      <w:kern w:val="0"/>
                      <w:szCs w:val="21"/>
                    </w:rPr>
                  </w:pPr>
                  <w:r>
                    <w:rPr>
                      <w:rFonts w:eastAsiaTheme="minorEastAsia"/>
                      <w:bCs/>
                      <w:color w:val="454545"/>
                      <w:kern w:val="0"/>
                      <w:szCs w:val="21"/>
                    </w:rPr>
                    <w:t>湘江涓水</w:t>
                  </w:r>
                </w:p>
              </w:tc>
              <w:tc>
                <w:tcPr>
                  <w:tcW w:w="1380" w:type="pct"/>
                  <w:tcBorders>
                    <w:top w:val="outset" w:color="000000" w:sz="6" w:space="0"/>
                    <w:left w:val="outset" w:color="000000" w:sz="6" w:space="0"/>
                    <w:bottom w:val="outset" w:color="000000" w:sz="6" w:space="0"/>
                    <w:right w:val="outset" w:color="000000" w:sz="6" w:space="0"/>
                  </w:tcBorders>
                  <w:vAlign w:val="center"/>
                </w:tcPr>
                <w:p w14:paraId="1130E3EE">
                  <w:pPr>
                    <w:widowControl/>
                    <w:jc w:val="center"/>
                    <w:rPr>
                      <w:rFonts w:eastAsiaTheme="minorEastAsia"/>
                      <w:bCs/>
                      <w:color w:val="454545"/>
                      <w:kern w:val="0"/>
                      <w:szCs w:val="21"/>
                    </w:rPr>
                  </w:pPr>
                  <w:r>
                    <w:rPr>
                      <w:rFonts w:eastAsiaTheme="minorEastAsia"/>
                      <w:bCs/>
                      <w:color w:val="454545"/>
                      <w:kern w:val="0"/>
                      <w:szCs w:val="21"/>
                    </w:rPr>
                    <w:t>控制</w:t>
                  </w:r>
                </w:p>
              </w:tc>
              <w:tc>
                <w:tcPr>
                  <w:tcW w:w="353" w:type="pct"/>
                  <w:tcBorders>
                    <w:top w:val="outset" w:color="000000" w:sz="6" w:space="0"/>
                    <w:left w:val="outset" w:color="000000" w:sz="6" w:space="0"/>
                    <w:bottom w:val="outset" w:color="000000" w:sz="6" w:space="0"/>
                    <w:right w:val="outset" w:color="000000" w:sz="6" w:space="0"/>
                  </w:tcBorders>
                  <w:vAlign w:val="center"/>
                </w:tcPr>
                <w:p w14:paraId="1BA4D384">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6" w:space="0"/>
                    <w:right w:val="outset" w:color="000000" w:sz="6" w:space="0"/>
                  </w:tcBorders>
                  <w:vAlign w:val="center"/>
                </w:tcPr>
                <w:p w14:paraId="1D532F52">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6" w:space="0"/>
                    <w:right w:val="outset" w:color="000000" w:sz="6" w:space="0"/>
                  </w:tcBorders>
                  <w:vAlign w:val="center"/>
                </w:tcPr>
                <w:p w14:paraId="1B4B1164">
                  <w:pPr>
                    <w:widowControl/>
                    <w:jc w:val="center"/>
                    <w:rPr>
                      <w:rFonts w:eastAsiaTheme="minorEastAsia"/>
                      <w:bCs/>
                      <w:kern w:val="0"/>
                      <w:szCs w:val="21"/>
                    </w:rPr>
                  </w:pPr>
                  <w:r>
                    <w:rPr>
                      <w:rFonts w:eastAsiaTheme="minorEastAsia"/>
                      <w:bCs/>
                      <w:kern w:val="0"/>
                      <w:szCs w:val="21"/>
                    </w:rPr>
                    <w:t>/</w:t>
                  </w:r>
                </w:p>
              </w:tc>
            </w:tr>
            <w:tr w14:paraId="5F3FB9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4" w:hRule="atLeast"/>
                <w:jc w:val="center"/>
              </w:trPr>
              <w:tc>
                <w:tcPr>
                  <w:tcW w:w="247" w:type="pct"/>
                  <w:tcBorders>
                    <w:top w:val="outset" w:color="000000" w:sz="6" w:space="0"/>
                    <w:left w:val="outset" w:color="000000" w:sz="6" w:space="0"/>
                    <w:bottom w:val="outset" w:color="000000" w:sz="12" w:space="0"/>
                    <w:right w:val="outset" w:color="000000" w:sz="6" w:space="0"/>
                  </w:tcBorders>
                  <w:vAlign w:val="center"/>
                </w:tcPr>
                <w:p w14:paraId="1BA2BAA0">
                  <w:pPr>
                    <w:widowControl/>
                    <w:jc w:val="center"/>
                    <w:rPr>
                      <w:rFonts w:eastAsiaTheme="minorEastAsia"/>
                      <w:bCs/>
                      <w:color w:val="454545"/>
                      <w:kern w:val="0"/>
                      <w:szCs w:val="21"/>
                    </w:rPr>
                  </w:pPr>
                  <w:r>
                    <w:rPr>
                      <w:rFonts w:eastAsiaTheme="minorEastAsia"/>
                      <w:bCs/>
                      <w:color w:val="454545"/>
                      <w:kern w:val="0"/>
                      <w:szCs w:val="21"/>
                    </w:rPr>
                    <w:t>4</w:t>
                  </w:r>
                </w:p>
              </w:tc>
              <w:tc>
                <w:tcPr>
                  <w:tcW w:w="806" w:type="pct"/>
                  <w:tcBorders>
                    <w:top w:val="outset" w:color="000000" w:sz="6" w:space="0"/>
                    <w:left w:val="outset" w:color="000000" w:sz="6" w:space="0"/>
                    <w:bottom w:val="outset" w:color="000000" w:sz="12" w:space="0"/>
                    <w:right w:val="outset" w:color="000000" w:sz="6" w:space="0"/>
                  </w:tcBorders>
                  <w:vAlign w:val="center"/>
                </w:tcPr>
                <w:p w14:paraId="4CDE5FF8">
                  <w:pPr>
                    <w:widowControl/>
                    <w:jc w:val="center"/>
                    <w:rPr>
                      <w:rFonts w:eastAsiaTheme="minorEastAsia"/>
                      <w:bCs/>
                      <w:color w:val="454545"/>
                      <w:kern w:val="0"/>
                      <w:szCs w:val="21"/>
                    </w:rPr>
                  </w:pPr>
                  <w:r>
                    <w:rPr>
                      <w:rFonts w:eastAsiaTheme="minorEastAsia"/>
                      <w:bCs/>
                      <w:color w:val="454545"/>
                      <w:kern w:val="0"/>
                      <w:szCs w:val="21"/>
                    </w:rPr>
                    <w:t>晓岚村（泥湾村）</w:t>
                  </w:r>
                </w:p>
              </w:tc>
              <w:tc>
                <w:tcPr>
                  <w:tcW w:w="806" w:type="pct"/>
                  <w:tcBorders>
                    <w:top w:val="outset" w:color="000000" w:sz="6" w:space="0"/>
                    <w:left w:val="outset" w:color="000000" w:sz="6" w:space="0"/>
                    <w:bottom w:val="outset" w:color="000000" w:sz="12" w:space="0"/>
                    <w:right w:val="outset" w:color="000000" w:sz="6" w:space="0"/>
                  </w:tcBorders>
                  <w:vAlign w:val="center"/>
                </w:tcPr>
                <w:p w14:paraId="0A1490C1">
                  <w:pPr>
                    <w:widowControl/>
                    <w:jc w:val="center"/>
                    <w:rPr>
                      <w:rFonts w:eastAsiaTheme="minorEastAsia"/>
                      <w:bCs/>
                      <w:color w:val="454545"/>
                      <w:kern w:val="0"/>
                      <w:szCs w:val="21"/>
                    </w:rPr>
                  </w:pPr>
                  <w:r>
                    <w:rPr>
                      <w:rFonts w:eastAsiaTheme="minorEastAsia"/>
                      <w:bCs/>
                      <w:color w:val="454545"/>
                      <w:kern w:val="0"/>
                      <w:szCs w:val="21"/>
                    </w:rPr>
                    <w:t>衡山县</w:t>
                  </w:r>
                </w:p>
              </w:tc>
              <w:tc>
                <w:tcPr>
                  <w:tcW w:w="577" w:type="pct"/>
                  <w:tcBorders>
                    <w:top w:val="outset" w:color="000000" w:sz="6" w:space="0"/>
                    <w:left w:val="outset" w:color="000000" w:sz="6" w:space="0"/>
                    <w:bottom w:val="outset" w:color="000000" w:sz="12" w:space="0"/>
                    <w:right w:val="outset" w:color="000000" w:sz="6" w:space="0"/>
                  </w:tcBorders>
                  <w:vAlign w:val="center"/>
                </w:tcPr>
                <w:p w14:paraId="5201DF8E">
                  <w:pPr>
                    <w:widowControl/>
                    <w:jc w:val="center"/>
                    <w:rPr>
                      <w:rFonts w:eastAsiaTheme="minorEastAsia"/>
                      <w:bCs/>
                      <w:color w:val="454545"/>
                      <w:kern w:val="0"/>
                      <w:szCs w:val="21"/>
                    </w:rPr>
                  </w:pPr>
                  <w:r>
                    <w:rPr>
                      <w:rFonts w:eastAsiaTheme="minorEastAsia"/>
                      <w:bCs/>
                      <w:color w:val="454545"/>
                      <w:kern w:val="0"/>
                      <w:szCs w:val="21"/>
                    </w:rPr>
                    <w:t>湘江涓水</w:t>
                  </w:r>
                </w:p>
              </w:tc>
              <w:tc>
                <w:tcPr>
                  <w:tcW w:w="1380" w:type="pct"/>
                  <w:tcBorders>
                    <w:top w:val="outset" w:color="000000" w:sz="6" w:space="0"/>
                    <w:left w:val="outset" w:color="000000" w:sz="6" w:space="0"/>
                    <w:bottom w:val="outset" w:color="000000" w:sz="12" w:space="0"/>
                    <w:right w:val="outset" w:color="000000" w:sz="6" w:space="0"/>
                  </w:tcBorders>
                  <w:vAlign w:val="center"/>
                </w:tcPr>
                <w:p w14:paraId="2CEA2134">
                  <w:pPr>
                    <w:widowControl/>
                    <w:jc w:val="center"/>
                    <w:rPr>
                      <w:rFonts w:eastAsiaTheme="minorEastAsia"/>
                      <w:bCs/>
                      <w:color w:val="454545"/>
                      <w:kern w:val="0"/>
                      <w:szCs w:val="21"/>
                    </w:rPr>
                  </w:pPr>
                  <w:r>
                    <w:rPr>
                      <w:rFonts w:eastAsiaTheme="minorEastAsia"/>
                      <w:bCs/>
                      <w:color w:val="454545"/>
                      <w:kern w:val="0"/>
                      <w:szCs w:val="21"/>
                    </w:rPr>
                    <w:t>市界（衡阳市-湘潭市）*</w:t>
                  </w:r>
                </w:p>
              </w:tc>
              <w:tc>
                <w:tcPr>
                  <w:tcW w:w="353" w:type="pct"/>
                  <w:tcBorders>
                    <w:top w:val="outset" w:color="000000" w:sz="6" w:space="0"/>
                    <w:left w:val="outset" w:color="000000" w:sz="6" w:space="0"/>
                    <w:bottom w:val="outset" w:color="000000" w:sz="12" w:space="0"/>
                    <w:right w:val="outset" w:color="000000" w:sz="6" w:space="0"/>
                  </w:tcBorders>
                  <w:vAlign w:val="center"/>
                </w:tcPr>
                <w:p w14:paraId="2D08A0D5">
                  <w:pPr>
                    <w:widowControl/>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6" w:space="0"/>
                    <w:left w:val="outset" w:color="000000" w:sz="6" w:space="0"/>
                    <w:bottom w:val="outset" w:color="000000" w:sz="12" w:space="0"/>
                    <w:right w:val="outset" w:color="000000" w:sz="6" w:space="0"/>
                  </w:tcBorders>
                  <w:vAlign w:val="center"/>
                </w:tcPr>
                <w:p w14:paraId="3F0ED628">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6" w:space="0"/>
                    <w:left w:val="outset" w:color="000000" w:sz="6" w:space="0"/>
                    <w:bottom w:val="outset" w:color="000000" w:sz="12" w:space="0"/>
                    <w:right w:val="outset" w:color="000000" w:sz="6" w:space="0"/>
                  </w:tcBorders>
                  <w:vAlign w:val="center"/>
                </w:tcPr>
                <w:p w14:paraId="373AA103">
                  <w:pPr>
                    <w:widowControl/>
                    <w:jc w:val="center"/>
                    <w:rPr>
                      <w:rFonts w:eastAsiaTheme="minorEastAsia"/>
                      <w:bCs/>
                      <w:kern w:val="0"/>
                      <w:szCs w:val="21"/>
                    </w:rPr>
                  </w:pPr>
                  <w:r>
                    <w:rPr>
                      <w:rFonts w:eastAsiaTheme="minorEastAsia"/>
                      <w:bCs/>
                      <w:kern w:val="0"/>
                      <w:szCs w:val="21"/>
                    </w:rPr>
                    <w:t>/</w:t>
                  </w:r>
                </w:p>
              </w:tc>
            </w:tr>
            <w:tr w14:paraId="78658CA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24" w:hRule="exact"/>
                <w:jc w:val="center"/>
              </w:trPr>
              <w:tc>
                <w:tcPr>
                  <w:tcW w:w="247" w:type="pct"/>
                  <w:tcBorders>
                    <w:top w:val="outset" w:color="000000" w:sz="12" w:space="0"/>
                    <w:left w:val="outset" w:color="000000" w:sz="6" w:space="0"/>
                    <w:bottom w:val="outset" w:color="000000" w:sz="6" w:space="0"/>
                    <w:right w:val="outset" w:color="000000" w:sz="6" w:space="0"/>
                  </w:tcBorders>
                  <w:vAlign w:val="center"/>
                </w:tcPr>
                <w:p w14:paraId="2AC87CF1">
                  <w:pPr>
                    <w:widowControl/>
                    <w:jc w:val="center"/>
                    <w:rPr>
                      <w:rFonts w:eastAsiaTheme="minorEastAsia"/>
                      <w:bCs/>
                      <w:color w:val="454545"/>
                      <w:kern w:val="0"/>
                      <w:szCs w:val="21"/>
                    </w:rPr>
                  </w:pPr>
                  <w:r>
                    <w:rPr>
                      <w:rFonts w:eastAsiaTheme="minorEastAsia"/>
                      <w:bCs/>
                      <w:color w:val="454545"/>
                      <w:kern w:val="0"/>
                      <w:szCs w:val="21"/>
                    </w:rPr>
                    <w:t>5</w:t>
                  </w:r>
                </w:p>
              </w:tc>
              <w:tc>
                <w:tcPr>
                  <w:tcW w:w="806" w:type="pct"/>
                  <w:tcBorders>
                    <w:top w:val="outset" w:color="000000" w:sz="12" w:space="0"/>
                    <w:left w:val="outset" w:color="000000" w:sz="6" w:space="0"/>
                    <w:bottom w:val="outset" w:color="000000" w:sz="6" w:space="0"/>
                    <w:right w:val="outset" w:color="000000" w:sz="6" w:space="0"/>
                  </w:tcBorders>
                  <w:vAlign w:val="center"/>
                </w:tcPr>
                <w:p w14:paraId="686DE03F">
                  <w:pPr>
                    <w:widowControl/>
                    <w:jc w:val="center"/>
                    <w:rPr>
                      <w:rFonts w:eastAsiaTheme="minorEastAsia"/>
                      <w:bCs/>
                      <w:color w:val="454545"/>
                      <w:kern w:val="0"/>
                      <w:szCs w:val="21"/>
                    </w:rPr>
                  </w:pPr>
                  <w:r>
                    <w:rPr>
                      <w:rFonts w:eastAsiaTheme="minorEastAsia"/>
                      <w:bCs/>
                      <w:color w:val="454545"/>
                      <w:kern w:val="0"/>
                      <w:szCs w:val="21"/>
                    </w:rPr>
                    <w:t>鱼石村</w:t>
                  </w:r>
                </w:p>
              </w:tc>
              <w:tc>
                <w:tcPr>
                  <w:tcW w:w="806" w:type="pct"/>
                  <w:tcBorders>
                    <w:top w:val="outset" w:color="000000" w:sz="12" w:space="0"/>
                    <w:left w:val="outset" w:color="000000" w:sz="6" w:space="0"/>
                    <w:bottom w:val="outset" w:color="000000" w:sz="6" w:space="0"/>
                    <w:right w:val="outset" w:color="000000" w:sz="6" w:space="0"/>
                  </w:tcBorders>
                  <w:vAlign w:val="center"/>
                </w:tcPr>
                <w:p w14:paraId="5A40C1A7">
                  <w:pPr>
                    <w:widowControl/>
                    <w:jc w:val="center"/>
                    <w:rPr>
                      <w:rFonts w:eastAsiaTheme="minorEastAsia"/>
                      <w:bCs/>
                      <w:color w:val="454545"/>
                      <w:kern w:val="0"/>
                      <w:szCs w:val="21"/>
                    </w:rPr>
                  </w:pPr>
                  <w:r>
                    <w:rPr>
                      <w:rFonts w:eastAsiaTheme="minorEastAsia"/>
                      <w:bCs/>
                      <w:color w:val="454545"/>
                      <w:kern w:val="0"/>
                      <w:szCs w:val="21"/>
                    </w:rPr>
                    <w:t>石鼓区、松木经开区、珠晖区</w:t>
                  </w:r>
                </w:p>
              </w:tc>
              <w:tc>
                <w:tcPr>
                  <w:tcW w:w="577" w:type="pct"/>
                  <w:tcBorders>
                    <w:top w:val="outset" w:color="000000" w:sz="12" w:space="0"/>
                    <w:left w:val="outset" w:color="000000" w:sz="6" w:space="0"/>
                    <w:bottom w:val="outset" w:color="000000" w:sz="6" w:space="0"/>
                    <w:right w:val="outset" w:color="000000" w:sz="6" w:space="0"/>
                  </w:tcBorders>
                  <w:vAlign w:val="center"/>
                </w:tcPr>
                <w:p w14:paraId="01520BAC">
                  <w:pPr>
                    <w:widowControl/>
                    <w:jc w:val="center"/>
                    <w:rPr>
                      <w:rFonts w:eastAsiaTheme="minorEastAsia"/>
                      <w:bCs/>
                      <w:color w:val="454545"/>
                      <w:kern w:val="0"/>
                      <w:szCs w:val="21"/>
                    </w:rPr>
                  </w:pPr>
                  <w:r>
                    <w:rPr>
                      <w:rFonts w:eastAsiaTheme="minorEastAsia"/>
                      <w:bCs/>
                      <w:color w:val="454545"/>
                      <w:kern w:val="0"/>
                      <w:szCs w:val="21"/>
                    </w:rPr>
                    <w:t>湘江</w:t>
                  </w:r>
                </w:p>
              </w:tc>
              <w:tc>
                <w:tcPr>
                  <w:tcW w:w="1380" w:type="pct"/>
                  <w:tcBorders>
                    <w:top w:val="outset" w:color="000000" w:sz="12" w:space="0"/>
                    <w:left w:val="outset" w:color="000000" w:sz="6" w:space="0"/>
                    <w:bottom w:val="outset" w:color="000000" w:sz="6" w:space="0"/>
                    <w:right w:val="outset" w:color="000000" w:sz="6" w:space="0"/>
                  </w:tcBorders>
                  <w:vAlign w:val="center"/>
                </w:tcPr>
                <w:p w14:paraId="43967D75">
                  <w:pPr>
                    <w:widowControl/>
                    <w:jc w:val="center"/>
                    <w:rPr>
                      <w:rFonts w:eastAsiaTheme="minorEastAsia"/>
                      <w:bCs/>
                      <w:color w:val="454545"/>
                      <w:kern w:val="0"/>
                      <w:szCs w:val="21"/>
                    </w:rPr>
                  </w:pPr>
                  <w:r>
                    <w:rPr>
                      <w:rFonts w:eastAsiaTheme="minorEastAsia"/>
                      <w:bCs/>
                      <w:color w:val="454545"/>
                      <w:kern w:val="0"/>
                      <w:szCs w:val="21"/>
                    </w:rPr>
                    <w:t>县界(左岸：石鼓区、松木经开区--衡山县，右岸：珠晖区-衡东县)*</w:t>
                  </w:r>
                </w:p>
              </w:tc>
              <w:tc>
                <w:tcPr>
                  <w:tcW w:w="353" w:type="pct"/>
                  <w:tcBorders>
                    <w:top w:val="outset" w:color="000000" w:sz="12" w:space="0"/>
                    <w:left w:val="outset" w:color="000000" w:sz="6" w:space="0"/>
                    <w:bottom w:val="outset" w:color="000000" w:sz="6" w:space="0"/>
                    <w:right w:val="outset" w:color="000000" w:sz="6" w:space="0"/>
                  </w:tcBorders>
                  <w:vAlign w:val="center"/>
                </w:tcPr>
                <w:p w14:paraId="7F57BF47">
                  <w:pPr>
                    <w:jc w:val="center"/>
                    <w:rPr>
                      <w:rFonts w:eastAsiaTheme="minorEastAsia"/>
                      <w:bCs/>
                      <w:kern w:val="0"/>
                      <w:szCs w:val="21"/>
                      <w:u w:val="single"/>
                    </w:rPr>
                  </w:pPr>
                  <w:r>
                    <w:rPr>
                      <w:rFonts w:eastAsiaTheme="minorEastAsia"/>
                      <w:bCs/>
                      <w:kern w:val="0"/>
                      <w:szCs w:val="21"/>
                      <w:u w:val="single"/>
                    </w:rPr>
                    <w:t>Ⅱ</w:t>
                  </w:r>
                </w:p>
              </w:tc>
              <w:tc>
                <w:tcPr>
                  <w:tcW w:w="299" w:type="pct"/>
                  <w:tcBorders>
                    <w:top w:val="outset" w:color="000000" w:sz="12" w:space="0"/>
                    <w:left w:val="outset" w:color="000000" w:sz="6" w:space="0"/>
                    <w:bottom w:val="outset" w:color="000000" w:sz="6" w:space="0"/>
                    <w:right w:val="outset" w:color="000000" w:sz="6" w:space="0"/>
                  </w:tcBorders>
                  <w:vAlign w:val="center"/>
                </w:tcPr>
                <w:p w14:paraId="645200ED">
                  <w:pPr>
                    <w:jc w:val="center"/>
                    <w:rPr>
                      <w:rFonts w:eastAsiaTheme="minorEastAsia"/>
                      <w:bCs/>
                      <w:szCs w:val="21"/>
                      <w:u w:val="single"/>
                    </w:rPr>
                  </w:pPr>
                  <w:r>
                    <w:rPr>
                      <w:rFonts w:eastAsiaTheme="minorEastAsia"/>
                      <w:bCs/>
                      <w:kern w:val="0"/>
                      <w:szCs w:val="21"/>
                      <w:u w:val="single"/>
                    </w:rPr>
                    <w:t>Ⅱ</w:t>
                  </w:r>
                </w:p>
              </w:tc>
              <w:tc>
                <w:tcPr>
                  <w:tcW w:w="530" w:type="pct"/>
                  <w:tcBorders>
                    <w:top w:val="outset" w:color="000000" w:sz="12" w:space="0"/>
                    <w:left w:val="outset" w:color="000000" w:sz="6" w:space="0"/>
                    <w:bottom w:val="outset" w:color="000000" w:sz="6" w:space="0"/>
                    <w:right w:val="outset" w:color="000000" w:sz="6" w:space="0"/>
                  </w:tcBorders>
                  <w:vAlign w:val="center"/>
                </w:tcPr>
                <w:p w14:paraId="38FA60EF">
                  <w:pPr>
                    <w:widowControl/>
                    <w:jc w:val="center"/>
                    <w:rPr>
                      <w:rFonts w:eastAsiaTheme="minorEastAsia"/>
                      <w:bCs/>
                      <w:kern w:val="0"/>
                      <w:szCs w:val="21"/>
                    </w:rPr>
                  </w:pPr>
                  <w:r>
                    <w:rPr>
                      <w:rFonts w:eastAsiaTheme="minorEastAsia"/>
                      <w:bCs/>
                      <w:kern w:val="0"/>
                      <w:szCs w:val="21"/>
                    </w:rPr>
                    <w:t>/</w:t>
                  </w:r>
                </w:p>
              </w:tc>
            </w:tr>
            <w:tr w14:paraId="0744009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97" w:hRule="exact"/>
                <w:jc w:val="center"/>
              </w:trPr>
              <w:tc>
                <w:tcPr>
                  <w:tcW w:w="247" w:type="pct"/>
                  <w:tcBorders>
                    <w:top w:val="outset" w:color="000000" w:sz="6" w:space="0"/>
                    <w:left w:val="outset" w:color="000000" w:sz="6" w:space="0"/>
                    <w:bottom w:val="outset" w:color="000000" w:sz="6" w:space="0"/>
                    <w:right w:val="outset" w:color="000000" w:sz="6" w:space="0"/>
                  </w:tcBorders>
                  <w:vAlign w:val="center"/>
                </w:tcPr>
                <w:p w14:paraId="6AD309F0">
                  <w:pPr>
                    <w:widowControl/>
                    <w:jc w:val="center"/>
                    <w:rPr>
                      <w:rFonts w:eastAsiaTheme="minorEastAsia"/>
                      <w:bCs/>
                      <w:color w:val="454545"/>
                      <w:kern w:val="0"/>
                      <w:szCs w:val="21"/>
                    </w:rPr>
                  </w:pPr>
                  <w:r>
                    <w:rPr>
                      <w:rFonts w:eastAsiaTheme="minorEastAsia"/>
                      <w:bCs/>
                      <w:color w:val="454545"/>
                      <w:kern w:val="0"/>
                      <w:szCs w:val="21"/>
                    </w:rPr>
                    <w:t>6</w:t>
                  </w:r>
                </w:p>
              </w:tc>
              <w:tc>
                <w:tcPr>
                  <w:tcW w:w="806" w:type="pct"/>
                  <w:tcBorders>
                    <w:top w:val="outset" w:color="000000" w:sz="6" w:space="0"/>
                    <w:left w:val="outset" w:color="000000" w:sz="6" w:space="0"/>
                    <w:bottom w:val="outset" w:color="000000" w:sz="6" w:space="0"/>
                    <w:right w:val="outset" w:color="000000" w:sz="6" w:space="0"/>
                  </w:tcBorders>
                  <w:vAlign w:val="center"/>
                </w:tcPr>
                <w:p w14:paraId="3D311979">
                  <w:pPr>
                    <w:widowControl/>
                    <w:jc w:val="center"/>
                    <w:rPr>
                      <w:rFonts w:eastAsiaTheme="minorEastAsia"/>
                      <w:bCs/>
                      <w:color w:val="454545"/>
                      <w:kern w:val="0"/>
                      <w:szCs w:val="21"/>
                    </w:rPr>
                  </w:pPr>
                  <w:r>
                    <w:rPr>
                      <w:rFonts w:eastAsiaTheme="minorEastAsia"/>
                      <w:bCs/>
                      <w:color w:val="454545"/>
                      <w:kern w:val="0"/>
                      <w:szCs w:val="21"/>
                    </w:rPr>
                    <w:t>梅桥村</w:t>
                  </w:r>
                </w:p>
              </w:tc>
              <w:tc>
                <w:tcPr>
                  <w:tcW w:w="806" w:type="pct"/>
                  <w:tcBorders>
                    <w:top w:val="outset" w:color="000000" w:sz="6" w:space="0"/>
                    <w:left w:val="outset" w:color="000000" w:sz="6" w:space="0"/>
                    <w:bottom w:val="outset" w:color="000000" w:sz="6" w:space="0"/>
                    <w:right w:val="outset" w:color="000000" w:sz="6" w:space="0"/>
                  </w:tcBorders>
                  <w:vAlign w:val="center"/>
                </w:tcPr>
                <w:p w14:paraId="1FAB1658">
                  <w:pPr>
                    <w:widowControl/>
                    <w:jc w:val="center"/>
                    <w:rPr>
                      <w:rFonts w:eastAsiaTheme="minorEastAsia"/>
                      <w:bCs/>
                      <w:color w:val="454545"/>
                      <w:kern w:val="0"/>
                      <w:szCs w:val="21"/>
                    </w:rPr>
                  </w:pPr>
                  <w:r>
                    <w:rPr>
                      <w:rFonts w:eastAsiaTheme="minorEastAsia"/>
                      <w:bCs/>
                      <w:color w:val="454545"/>
                      <w:kern w:val="0"/>
                      <w:szCs w:val="21"/>
                    </w:rPr>
                    <w:t>南岳区</w:t>
                  </w:r>
                </w:p>
              </w:tc>
              <w:tc>
                <w:tcPr>
                  <w:tcW w:w="577" w:type="pct"/>
                  <w:tcBorders>
                    <w:top w:val="outset" w:color="000000" w:sz="6" w:space="0"/>
                    <w:left w:val="outset" w:color="000000" w:sz="6" w:space="0"/>
                    <w:bottom w:val="outset" w:color="000000" w:sz="6" w:space="0"/>
                    <w:right w:val="outset" w:color="000000" w:sz="6" w:space="0"/>
                  </w:tcBorders>
                  <w:vAlign w:val="center"/>
                </w:tcPr>
                <w:p w14:paraId="0184EA37">
                  <w:pPr>
                    <w:widowControl/>
                    <w:jc w:val="center"/>
                    <w:rPr>
                      <w:rFonts w:eastAsiaTheme="minorEastAsia"/>
                      <w:bCs/>
                      <w:color w:val="454545"/>
                      <w:kern w:val="0"/>
                      <w:szCs w:val="21"/>
                    </w:rPr>
                  </w:pPr>
                  <w:r>
                    <w:rPr>
                      <w:rFonts w:eastAsiaTheme="minorEastAsia"/>
                      <w:bCs/>
                      <w:color w:val="454545"/>
                      <w:kern w:val="0"/>
                      <w:szCs w:val="21"/>
                    </w:rPr>
                    <w:t>湘江龙荫港</w:t>
                  </w:r>
                </w:p>
              </w:tc>
              <w:tc>
                <w:tcPr>
                  <w:tcW w:w="1380" w:type="pct"/>
                  <w:tcBorders>
                    <w:top w:val="outset" w:color="000000" w:sz="6" w:space="0"/>
                    <w:left w:val="outset" w:color="000000" w:sz="6" w:space="0"/>
                    <w:bottom w:val="outset" w:color="000000" w:sz="6" w:space="0"/>
                    <w:right w:val="outset" w:color="000000" w:sz="6" w:space="0"/>
                  </w:tcBorders>
                  <w:vAlign w:val="center"/>
                </w:tcPr>
                <w:p w14:paraId="6319F4F4">
                  <w:pPr>
                    <w:jc w:val="center"/>
                    <w:rPr>
                      <w:rFonts w:eastAsiaTheme="minorEastAsia"/>
                      <w:bCs/>
                      <w:color w:val="454545"/>
                      <w:kern w:val="0"/>
                      <w:szCs w:val="21"/>
                    </w:rPr>
                  </w:pPr>
                  <w:r>
                    <w:rPr>
                      <w:rFonts w:eastAsiaTheme="minorEastAsia"/>
                      <w:bCs/>
                      <w:color w:val="454545"/>
                      <w:kern w:val="0"/>
                      <w:szCs w:val="21"/>
                    </w:rPr>
                    <w:t>县界（南岳区-衡山县）</w:t>
                  </w:r>
                </w:p>
              </w:tc>
              <w:tc>
                <w:tcPr>
                  <w:tcW w:w="353" w:type="pct"/>
                  <w:tcBorders>
                    <w:top w:val="outset" w:color="000000" w:sz="6" w:space="0"/>
                    <w:left w:val="outset" w:color="000000" w:sz="6" w:space="0"/>
                    <w:bottom w:val="outset" w:color="000000" w:sz="6" w:space="0"/>
                    <w:right w:val="outset" w:color="000000" w:sz="6" w:space="0"/>
                  </w:tcBorders>
                  <w:vAlign w:val="center"/>
                </w:tcPr>
                <w:p w14:paraId="75D71E96">
                  <w:pPr>
                    <w:jc w:val="center"/>
                    <w:rPr>
                      <w:rFonts w:eastAsiaTheme="minorEastAsia"/>
                      <w:bCs/>
                      <w:kern w:val="0"/>
                      <w:szCs w:val="21"/>
                      <w:u w:val="single"/>
                    </w:rPr>
                  </w:pPr>
                  <w:r>
                    <w:rPr>
                      <w:rFonts w:eastAsiaTheme="minorEastAsia"/>
                      <w:bCs/>
                      <w:kern w:val="0"/>
                      <w:szCs w:val="21"/>
                      <w:u w:val="single"/>
                    </w:rPr>
                    <w:t>III</w:t>
                  </w:r>
                </w:p>
              </w:tc>
              <w:tc>
                <w:tcPr>
                  <w:tcW w:w="299" w:type="pct"/>
                  <w:tcBorders>
                    <w:top w:val="outset" w:color="000000" w:sz="6" w:space="0"/>
                    <w:left w:val="outset" w:color="000000" w:sz="6" w:space="0"/>
                    <w:bottom w:val="outset" w:color="000000" w:sz="6" w:space="0"/>
                    <w:right w:val="outset" w:color="000000" w:sz="6" w:space="0"/>
                  </w:tcBorders>
                  <w:vAlign w:val="center"/>
                </w:tcPr>
                <w:p w14:paraId="58BD6603">
                  <w:pPr>
                    <w:jc w:val="center"/>
                    <w:rPr>
                      <w:rFonts w:eastAsiaTheme="minorEastAsia"/>
                      <w:bCs/>
                      <w:kern w:val="0"/>
                      <w:szCs w:val="21"/>
                      <w:u w:val="single"/>
                    </w:rPr>
                  </w:pPr>
                  <w:r>
                    <w:rPr>
                      <w:rFonts w:eastAsiaTheme="minorEastAsia"/>
                      <w:bCs/>
                      <w:kern w:val="0"/>
                      <w:szCs w:val="21"/>
                      <w:u w:val="single"/>
                    </w:rPr>
                    <w:t>IV</w:t>
                  </w:r>
                </w:p>
              </w:tc>
              <w:tc>
                <w:tcPr>
                  <w:tcW w:w="530" w:type="pct"/>
                  <w:tcBorders>
                    <w:top w:val="outset" w:color="000000" w:sz="6" w:space="0"/>
                    <w:left w:val="outset" w:color="000000" w:sz="6" w:space="0"/>
                    <w:bottom w:val="outset" w:color="000000" w:sz="6" w:space="0"/>
                    <w:right w:val="outset" w:color="000000" w:sz="6" w:space="0"/>
                  </w:tcBorders>
                  <w:vAlign w:val="center"/>
                </w:tcPr>
                <w:p w14:paraId="74FF754D">
                  <w:pPr>
                    <w:widowControl/>
                    <w:spacing w:line="240" w:lineRule="exact"/>
                    <w:jc w:val="center"/>
                    <w:rPr>
                      <w:rFonts w:eastAsiaTheme="minorEastAsia"/>
                      <w:bCs/>
                      <w:kern w:val="0"/>
                      <w:szCs w:val="21"/>
                    </w:rPr>
                  </w:pPr>
                  <w:r>
                    <w:rPr>
                      <w:rFonts w:eastAsiaTheme="minorEastAsia"/>
                      <w:bCs/>
                      <w:kern w:val="0"/>
                      <w:szCs w:val="21"/>
                    </w:rPr>
                    <w:t>/</w:t>
                  </w:r>
                </w:p>
              </w:tc>
            </w:tr>
          </w:tbl>
          <w:p w14:paraId="56D84167">
            <w:pPr>
              <w:spacing w:line="360" w:lineRule="auto"/>
              <w:ind w:firstLine="480" w:firstLineChars="200"/>
              <w:rPr>
                <w:kern w:val="0"/>
                <w:sz w:val="24"/>
              </w:rPr>
            </w:pPr>
            <w:r>
              <w:rPr>
                <w:rFonts w:hint="eastAsia"/>
                <w:kern w:val="0"/>
                <w:sz w:val="24"/>
              </w:rPr>
              <w:t>根据表3-4的“1、衡山自来水厂（衡山县）”的监测断面数据</w:t>
            </w:r>
            <w:r>
              <w:rPr>
                <w:kern w:val="0"/>
                <w:sz w:val="24"/>
              </w:rPr>
              <w:t>可知</w:t>
            </w:r>
            <w:r>
              <w:rPr>
                <w:rFonts w:hint="eastAsia"/>
                <w:kern w:val="0"/>
                <w:sz w:val="24"/>
              </w:rPr>
              <w:t>，水质</w:t>
            </w:r>
            <w:r>
              <w:rPr>
                <w:kern w:val="0"/>
                <w:sz w:val="24"/>
              </w:rPr>
              <w:t>可达到《地表水环境质量标准》（GB3838-2002）中的</w:t>
            </w:r>
            <w:r>
              <w:rPr>
                <w:rFonts w:hint="eastAsia"/>
                <w:kern w:val="0"/>
                <w:sz w:val="24"/>
              </w:rPr>
              <w:t>II</w:t>
            </w:r>
            <w:r>
              <w:rPr>
                <w:kern w:val="0"/>
                <w:sz w:val="24"/>
              </w:rPr>
              <w:t>类标准。</w:t>
            </w:r>
            <w:r>
              <w:rPr>
                <w:rFonts w:hint="eastAsia"/>
                <w:kern w:val="0"/>
                <w:sz w:val="24"/>
              </w:rPr>
              <w:t>区域地表水环境质量现状良好。</w:t>
            </w:r>
          </w:p>
          <w:p w14:paraId="4151F95D">
            <w:pPr>
              <w:spacing w:line="360" w:lineRule="auto"/>
              <w:ind w:firstLine="472" w:firstLineChars="196"/>
              <w:rPr>
                <w:b/>
                <w:sz w:val="24"/>
              </w:rPr>
            </w:pPr>
            <w:r>
              <w:rPr>
                <w:b/>
                <w:sz w:val="24"/>
              </w:rPr>
              <w:t>3、声环境质量现状</w:t>
            </w:r>
          </w:p>
          <w:p w14:paraId="71ACA706">
            <w:pPr>
              <w:pStyle w:val="9"/>
              <w:spacing w:line="360" w:lineRule="auto"/>
              <w:ind w:firstLine="480" w:firstLineChars="200"/>
              <w:rPr>
                <w:color w:val="000000"/>
                <w:sz w:val="24"/>
                <w:szCs w:val="24"/>
              </w:rPr>
            </w:pPr>
            <w:r>
              <w:rPr>
                <w:rFonts w:hint="eastAsia"/>
                <w:color w:val="000000"/>
                <w:sz w:val="24"/>
                <w:szCs w:val="24"/>
              </w:rPr>
              <w:t>本项目周边5</w:t>
            </w:r>
            <w:r>
              <w:rPr>
                <w:color w:val="000000"/>
                <w:sz w:val="24"/>
                <w:szCs w:val="24"/>
              </w:rPr>
              <w:t>0</w:t>
            </w:r>
            <w:r>
              <w:rPr>
                <w:rFonts w:hint="eastAsia"/>
                <w:color w:val="000000"/>
                <w:sz w:val="24"/>
                <w:szCs w:val="24"/>
              </w:rPr>
              <w:t>m范围内有三处噪声敏感目标，</w:t>
            </w:r>
            <w:r>
              <w:rPr>
                <w:rFonts w:hint="eastAsia"/>
                <w:sz w:val="24"/>
              </w:rPr>
              <w:t>为了解厂界周围的声环境质量现状，企业委托</w:t>
            </w:r>
            <w:r>
              <w:rPr>
                <w:color w:val="000000" w:themeColor="text1"/>
                <w:sz w:val="24"/>
                <w:szCs w:val="24"/>
                <w14:textFill>
                  <w14:solidFill>
                    <w14:schemeClr w14:val="tx1"/>
                  </w14:solidFill>
                </w14:textFill>
              </w:rPr>
              <w:t>湖南紫素环保科技有限公司</w:t>
            </w:r>
            <w:r>
              <w:rPr>
                <w:rFonts w:hint="eastAsia"/>
                <w:sz w:val="24"/>
              </w:rPr>
              <w:t>于2025年5月22日-5月23日进行噪声现状监测。根据项目特征和噪声敏感目标分布，本项目在距离厂界西南侧38m处的敬老院，厂界北侧40m处的居民点，厂界南侧30m处的居民点，各设置1个声环境质量现状监测点，声环境监测点位详见项目环境保护目标及监测布点图（附图4），监测报告见附件7，分析结果如下：</w:t>
            </w:r>
          </w:p>
          <w:p w14:paraId="07907390">
            <w:pPr>
              <w:pStyle w:val="10"/>
              <w:spacing w:before="120" w:after="120"/>
              <w:ind w:firstLine="480"/>
              <w:jc w:val="center"/>
              <w:rPr>
                <w:rFonts w:hint="eastAsia" w:cs="Times" w:asciiTheme="minorEastAsia" w:hAnsiTheme="minorEastAsia" w:eastAsiaTheme="minorEastAsia"/>
                <w:b/>
                <w:bCs/>
                <w:color w:val="0000FF"/>
                <w:sz w:val="21"/>
                <w:szCs w:val="21"/>
              </w:rPr>
            </w:pPr>
            <w:r>
              <w:rPr>
                <w:rFonts w:hint="eastAsia" w:ascii="Times New Roman" w:hAnsi="Times New Roman" w:eastAsiaTheme="minorEastAsia"/>
                <w:b/>
                <w:bCs/>
                <w:sz w:val="21"/>
                <w:szCs w:val="21"/>
              </w:rPr>
              <w:t>表</w:t>
            </w:r>
            <w:r>
              <w:rPr>
                <w:rFonts w:ascii="Times New Roman" w:hAnsi="Times New Roman" w:eastAsiaTheme="minorEastAsia"/>
                <w:b/>
                <w:bCs/>
                <w:sz w:val="21"/>
                <w:szCs w:val="21"/>
              </w:rPr>
              <w:t>3-</w:t>
            </w:r>
            <w:r>
              <w:rPr>
                <w:rFonts w:hint="eastAsia" w:ascii="Times New Roman" w:hAnsi="Times New Roman" w:eastAsiaTheme="minorEastAsia"/>
                <w:b/>
                <w:bCs/>
                <w:sz w:val="21"/>
                <w:szCs w:val="21"/>
              </w:rPr>
              <w:t>5</w:t>
            </w:r>
            <w:r>
              <w:rPr>
                <w:rFonts w:cs="Times" w:asciiTheme="minorEastAsia" w:hAnsiTheme="minorEastAsia" w:eastAsiaTheme="minorEastAsia"/>
                <w:b/>
                <w:bCs/>
                <w:sz w:val="21"/>
                <w:szCs w:val="21"/>
              </w:rPr>
              <w:t xml:space="preserve"> 噪声监测结果</w:t>
            </w:r>
          </w:p>
          <w:tbl>
            <w:tblPr>
              <w:tblStyle w:val="27"/>
              <w:tblW w:w="7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445"/>
              <w:gridCol w:w="1528"/>
              <w:gridCol w:w="1559"/>
              <w:gridCol w:w="1513"/>
            </w:tblGrid>
            <w:tr w14:paraId="71D8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Merge w:val="restart"/>
                  <w:vAlign w:val="center"/>
                </w:tcPr>
                <w:p w14:paraId="6FA56F8A">
                  <w:pPr>
                    <w:jc w:val="center"/>
                    <w:rPr>
                      <w:rFonts w:hint="eastAsia" w:ascii="宋体" w:hAnsi="宋体" w:cs="宋体"/>
                      <w:b/>
                      <w:szCs w:val="21"/>
                    </w:rPr>
                  </w:pPr>
                  <w:r>
                    <w:rPr>
                      <w:rFonts w:hint="eastAsia" w:ascii="宋体" w:hAnsi="宋体" w:cs="宋体"/>
                      <w:b/>
                      <w:szCs w:val="21"/>
                    </w:rPr>
                    <w:t>测点</w:t>
                  </w:r>
                </w:p>
                <w:p w14:paraId="38B4E46A">
                  <w:pPr>
                    <w:jc w:val="center"/>
                    <w:rPr>
                      <w:rFonts w:hint="eastAsia" w:ascii="宋体" w:hAnsi="宋体" w:cs="宋体"/>
                      <w:b/>
                      <w:szCs w:val="21"/>
                    </w:rPr>
                  </w:pPr>
                  <w:r>
                    <w:rPr>
                      <w:rFonts w:hint="eastAsia" w:ascii="宋体" w:hAnsi="宋体" w:cs="宋体"/>
                      <w:b/>
                      <w:szCs w:val="21"/>
                    </w:rPr>
                    <w:t>序号</w:t>
                  </w:r>
                </w:p>
              </w:tc>
              <w:tc>
                <w:tcPr>
                  <w:tcW w:w="2445" w:type="dxa"/>
                  <w:vMerge w:val="restart"/>
                  <w:vAlign w:val="center"/>
                </w:tcPr>
                <w:p w14:paraId="0EAB83E9">
                  <w:pPr>
                    <w:jc w:val="center"/>
                    <w:rPr>
                      <w:rFonts w:hint="eastAsia" w:ascii="宋体" w:hAnsi="宋体" w:cs="宋体"/>
                      <w:b/>
                      <w:szCs w:val="21"/>
                    </w:rPr>
                  </w:pPr>
                  <w:r>
                    <w:rPr>
                      <w:rFonts w:hint="eastAsia" w:ascii="宋体" w:hAnsi="宋体" w:cs="宋体"/>
                      <w:b/>
                      <w:szCs w:val="21"/>
                    </w:rPr>
                    <w:t>监测点位</w:t>
                  </w:r>
                </w:p>
              </w:tc>
              <w:tc>
                <w:tcPr>
                  <w:tcW w:w="3087" w:type="dxa"/>
                  <w:gridSpan w:val="2"/>
                  <w:vAlign w:val="center"/>
                </w:tcPr>
                <w:p w14:paraId="64F04D78">
                  <w:pPr>
                    <w:jc w:val="center"/>
                    <w:rPr>
                      <w:rFonts w:hint="eastAsia" w:ascii="宋体" w:hAnsi="宋体" w:cs="宋体"/>
                      <w:b/>
                      <w:szCs w:val="21"/>
                    </w:rPr>
                  </w:pPr>
                  <w:r>
                    <w:rPr>
                      <w:b/>
                      <w:szCs w:val="21"/>
                    </w:rPr>
                    <w:t>Leq</w:t>
                  </w:r>
                  <w:r>
                    <w:rPr>
                      <w:rFonts w:hint="eastAsia" w:ascii="宋体" w:hAnsi="宋体" w:cs="宋体"/>
                      <w:b/>
                      <w:szCs w:val="21"/>
                    </w:rPr>
                    <w:t>值（</w:t>
                  </w:r>
                  <w:r>
                    <w:rPr>
                      <w:b/>
                      <w:szCs w:val="21"/>
                    </w:rPr>
                    <w:t>dB(A)</w:t>
                  </w:r>
                  <w:r>
                    <w:rPr>
                      <w:rFonts w:hint="eastAsia" w:ascii="宋体" w:hAnsi="宋体" w:cs="宋体"/>
                      <w:b/>
                      <w:szCs w:val="21"/>
                    </w:rPr>
                    <w:t>）</w:t>
                  </w:r>
                </w:p>
              </w:tc>
              <w:tc>
                <w:tcPr>
                  <w:tcW w:w="1513" w:type="dxa"/>
                  <w:vMerge w:val="restart"/>
                  <w:vAlign w:val="center"/>
                </w:tcPr>
                <w:p w14:paraId="1D85DC78">
                  <w:pPr>
                    <w:pStyle w:val="47"/>
                    <w:spacing w:before="24" w:after="24"/>
                    <w:rPr>
                      <w:b/>
                      <w:bCs/>
                    </w:rPr>
                  </w:pPr>
                  <w:r>
                    <w:rPr>
                      <w:rFonts w:hint="eastAsia"/>
                      <w:b/>
                      <w:bCs/>
                    </w:rPr>
                    <w:t>标准值</w:t>
                  </w:r>
                </w:p>
                <w:p w14:paraId="0D725228">
                  <w:pPr>
                    <w:jc w:val="center"/>
                    <w:rPr>
                      <w:rFonts w:hint="eastAsia" w:ascii="宋体" w:hAnsi="宋体" w:cs="宋体"/>
                      <w:b/>
                      <w:szCs w:val="21"/>
                    </w:rPr>
                  </w:pPr>
                  <w:r>
                    <w:rPr>
                      <w:rFonts w:hint="eastAsia"/>
                      <w:b/>
                      <w:bCs/>
                    </w:rPr>
                    <w:t>（dB（A））</w:t>
                  </w:r>
                </w:p>
              </w:tc>
            </w:tr>
            <w:tr w14:paraId="7731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Merge w:val="continue"/>
                  <w:vAlign w:val="center"/>
                </w:tcPr>
                <w:p w14:paraId="2A2B93AE">
                  <w:pPr>
                    <w:jc w:val="center"/>
                    <w:rPr>
                      <w:rFonts w:hint="eastAsia" w:ascii="宋体" w:hAnsi="宋体" w:cs="宋体"/>
                      <w:b/>
                      <w:szCs w:val="21"/>
                    </w:rPr>
                  </w:pPr>
                </w:p>
              </w:tc>
              <w:tc>
                <w:tcPr>
                  <w:tcW w:w="2445" w:type="dxa"/>
                  <w:vMerge w:val="continue"/>
                  <w:vAlign w:val="center"/>
                </w:tcPr>
                <w:p w14:paraId="64CD4F41">
                  <w:pPr>
                    <w:jc w:val="center"/>
                    <w:rPr>
                      <w:rFonts w:hint="eastAsia" w:ascii="宋体" w:hAnsi="宋体" w:cs="宋体"/>
                      <w:b/>
                      <w:szCs w:val="21"/>
                    </w:rPr>
                  </w:pPr>
                </w:p>
              </w:tc>
              <w:tc>
                <w:tcPr>
                  <w:tcW w:w="3087" w:type="dxa"/>
                  <w:gridSpan w:val="2"/>
                  <w:vAlign w:val="center"/>
                </w:tcPr>
                <w:p w14:paraId="336650AC">
                  <w:pPr>
                    <w:jc w:val="center"/>
                    <w:rPr>
                      <w:rFonts w:hint="eastAsia" w:ascii="宋体" w:hAnsi="宋体" w:cs="宋体"/>
                      <w:b/>
                      <w:szCs w:val="21"/>
                    </w:rPr>
                  </w:pPr>
                  <w:r>
                    <w:rPr>
                      <w:rFonts w:hint="eastAsia" w:ascii="宋体" w:hAnsi="宋体" w:cs="宋体"/>
                      <w:b/>
                      <w:szCs w:val="21"/>
                    </w:rPr>
                    <w:t>昼间</w:t>
                  </w:r>
                </w:p>
              </w:tc>
              <w:tc>
                <w:tcPr>
                  <w:tcW w:w="1513" w:type="dxa"/>
                  <w:vMerge w:val="continue"/>
                  <w:vAlign w:val="center"/>
                </w:tcPr>
                <w:p w14:paraId="02D4631F">
                  <w:pPr>
                    <w:jc w:val="center"/>
                    <w:rPr>
                      <w:rFonts w:hint="eastAsia" w:ascii="宋体" w:hAnsi="宋体" w:cs="宋体"/>
                      <w:b/>
                      <w:szCs w:val="21"/>
                    </w:rPr>
                  </w:pPr>
                </w:p>
              </w:tc>
            </w:tr>
            <w:tr w14:paraId="534C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Merge w:val="continue"/>
                  <w:vAlign w:val="center"/>
                </w:tcPr>
                <w:p w14:paraId="477CFAE0">
                  <w:pPr>
                    <w:jc w:val="center"/>
                    <w:rPr>
                      <w:rFonts w:hint="eastAsia" w:ascii="宋体" w:hAnsi="宋体" w:cs="宋体"/>
                      <w:b/>
                      <w:szCs w:val="21"/>
                    </w:rPr>
                  </w:pPr>
                </w:p>
              </w:tc>
              <w:tc>
                <w:tcPr>
                  <w:tcW w:w="2445" w:type="dxa"/>
                  <w:vMerge w:val="continue"/>
                  <w:vAlign w:val="center"/>
                </w:tcPr>
                <w:p w14:paraId="20B150B3">
                  <w:pPr>
                    <w:jc w:val="center"/>
                    <w:rPr>
                      <w:rFonts w:hint="eastAsia" w:ascii="宋体" w:hAnsi="宋体" w:cs="宋体"/>
                      <w:b/>
                      <w:szCs w:val="21"/>
                    </w:rPr>
                  </w:pPr>
                </w:p>
              </w:tc>
              <w:tc>
                <w:tcPr>
                  <w:tcW w:w="1528" w:type="dxa"/>
                  <w:vAlign w:val="center"/>
                </w:tcPr>
                <w:p w14:paraId="4D719707">
                  <w:pPr>
                    <w:jc w:val="center"/>
                    <w:rPr>
                      <w:rFonts w:hint="eastAsia" w:ascii="宋体" w:hAnsi="宋体" w:cs="宋体"/>
                      <w:b/>
                      <w:szCs w:val="21"/>
                    </w:rPr>
                  </w:pPr>
                  <w:r>
                    <w:rPr>
                      <w:rFonts w:hint="eastAsia"/>
                      <w:b/>
                      <w:szCs w:val="21"/>
                    </w:rPr>
                    <w:t>05</w:t>
                  </w:r>
                  <w:r>
                    <w:rPr>
                      <w:rFonts w:hint="eastAsia" w:ascii="宋体" w:hAnsi="宋体" w:cs="宋体"/>
                      <w:b/>
                      <w:szCs w:val="21"/>
                    </w:rPr>
                    <w:t>月</w:t>
                  </w:r>
                  <w:r>
                    <w:rPr>
                      <w:rFonts w:hint="eastAsia"/>
                      <w:b/>
                      <w:szCs w:val="21"/>
                    </w:rPr>
                    <w:t>22</w:t>
                  </w:r>
                  <w:r>
                    <w:rPr>
                      <w:rFonts w:hint="eastAsia" w:ascii="宋体" w:hAnsi="宋体" w:cs="宋体"/>
                      <w:b/>
                      <w:szCs w:val="21"/>
                    </w:rPr>
                    <w:t>日</w:t>
                  </w:r>
                </w:p>
              </w:tc>
              <w:tc>
                <w:tcPr>
                  <w:tcW w:w="1559" w:type="dxa"/>
                  <w:vAlign w:val="center"/>
                </w:tcPr>
                <w:p w14:paraId="19BBC3A2">
                  <w:pPr>
                    <w:jc w:val="center"/>
                    <w:rPr>
                      <w:bCs/>
                      <w:szCs w:val="21"/>
                    </w:rPr>
                  </w:pPr>
                  <w:r>
                    <w:rPr>
                      <w:rFonts w:hint="eastAsia"/>
                      <w:b/>
                      <w:szCs w:val="21"/>
                    </w:rPr>
                    <w:t>05</w:t>
                  </w:r>
                  <w:r>
                    <w:rPr>
                      <w:rFonts w:hint="eastAsia" w:ascii="宋体" w:hAnsi="宋体" w:cs="宋体"/>
                      <w:b/>
                      <w:szCs w:val="21"/>
                    </w:rPr>
                    <w:t>月</w:t>
                  </w:r>
                  <w:r>
                    <w:rPr>
                      <w:rFonts w:hint="eastAsia"/>
                      <w:b/>
                      <w:szCs w:val="21"/>
                    </w:rPr>
                    <w:t>23</w:t>
                  </w:r>
                  <w:r>
                    <w:rPr>
                      <w:rFonts w:hint="eastAsia" w:ascii="宋体" w:hAnsi="宋体" w:cs="宋体"/>
                      <w:b/>
                      <w:szCs w:val="21"/>
                    </w:rPr>
                    <w:t>日</w:t>
                  </w:r>
                </w:p>
              </w:tc>
              <w:tc>
                <w:tcPr>
                  <w:tcW w:w="1513" w:type="dxa"/>
                  <w:vMerge w:val="continue"/>
                  <w:vAlign w:val="center"/>
                </w:tcPr>
                <w:p w14:paraId="0CCEC225">
                  <w:pPr>
                    <w:jc w:val="center"/>
                    <w:rPr>
                      <w:bCs/>
                      <w:szCs w:val="21"/>
                    </w:rPr>
                  </w:pPr>
                </w:p>
              </w:tc>
            </w:tr>
            <w:tr w14:paraId="6934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Align w:val="center"/>
                </w:tcPr>
                <w:p w14:paraId="16C97BFD">
                  <w:pPr>
                    <w:jc w:val="center"/>
                    <w:rPr>
                      <w:bCs/>
                      <w:szCs w:val="21"/>
                    </w:rPr>
                  </w:pPr>
                  <w:r>
                    <w:rPr>
                      <w:rFonts w:hint="eastAsia"/>
                      <w:bCs/>
                      <w:szCs w:val="21"/>
                    </w:rPr>
                    <w:t>N5</w:t>
                  </w:r>
                </w:p>
              </w:tc>
              <w:tc>
                <w:tcPr>
                  <w:tcW w:w="2445" w:type="dxa"/>
                  <w:vAlign w:val="center"/>
                </w:tcPr>
                <w:p w14:paraId="4AA64438">
                  <w:pPr>
                    <w:jc w:val="center"/>
                    <w:rPr>
                      <w:szCs w:val="21"/>
                    </w:rPr>
                  </w:pPr>
                  <w:r>
                    <w:rPr>
                      <w:rFonts w:hint="eastAsia"/>
                      <w:szCs w:val="21"/>
                    </w:rPr>
                    <w:t>北侧居民点</w:t>
                  </w:r>
                </w:p>
              </w:tc>
              <w:tc>
                <w:tcPr>
                  <w:tcW w:w="1528" w:type="dxa"/>
                  <w:vAlign w:val="center"/>
                </w:tcPr>
                <w:p w14:paraId="6793F1BB">
                  <w:pPr>
                    <w:jc w:val="center"/>
                    <w:rPr>
                      <w:bCs/>
                      <w:szCs w:val="21"/>
                    </w:rPr>
                  </w:pPr>
                  <w:r>
                    <w:rPr>
                      <w:rFonts w:hint="eastAsia"/>
                      <w:bCs/>
                      <w:szCs w:val="21"/>
                    </w:rPr>
                    <w:t>56.6</w:t>
                  </w:r>
                </w:p>
              </w:tc>
              <w:tc>
                <w:tcPr>
                  <w:tcW w:w="1559" w:type="dxa"/>
                  <w:vAlign w:val="center"/>
                </w:tcPr>
                <w:p w14:paraId="31AD8786">
                  <w:pPr>
                    <w:jc w:val="center"/>
                    <w:rPr>
                      <w:bCs/>
                      <w:szCs w:val="21"/>
                    </w:rPr>
                  </w:pPr>
                  <w:r>
                    <w:rPr>
                      <w:rFonts w:hint="eastAsia"/>
                      <w:bCs/>
                      <w:szCs w:val="21"/>
                    </w:rPr>
                    <w:t>56.6</w:t>
                  </w:r>
                </w:p>
              </w:tc>
              <w:tc>
                <w:tcPr>
                  <w:tcW w:w="1513" w:type="dxa"/>
                  <w:vMerge w:val="restart"/>
                  <w:vAlign w:val="center"/>
                </w:tcPr>
                <w:p w14:paraId="57B33FEC">
                  <w:pPr>
                    <w:jc w:val="center"/>
                    <w:rPr>
                      <w:bCs/>
                      <w:szCs w:val="21"/>
                    </w:rPr>
                  </w:pPr>
                  <w:r>
                    <w:rPr>
                      <w:rFonts w:hint="eastAsia"/>
                    </w:rPr>
                    <w:t>60</w:t>
                  </w:r>
                </w:p>
              </w:tc>
            </w:tr>
            <w:tr w14:paraId="5CF1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Align w:val="center"/>
                </w:tcPr>
                <w:p w14:paraId="2E38CD4E">
                  <w:pPr>
                    <w:jc w:val="center"/>
                    <w:rPr>
                      <w:bCs/>
                      <w:szCs w:val="21"/>
                    </w:rPr>
                  </w:pPr>
                  <w:r>
                    <w:rPr>
                      <w:rFonts w:hint="eastAsia"/>
                      <w:bCs/>
                      <w:szCs w:val="21"/>
                    </w:rPr>
                    <w:t>N6</w:t>
                  </w:r>
                </w:p>
              </w:tc>
              <w:tc>
                <w:tcPr>
                  <w:tcW w:w="2445" w:type="dxa"/>
                  <w:vAlign w:val="center"/>
                </w:tcPr>
                <w:p w14:paraId="5428E3DB">
                  <w:pPr>
                    <w:jc w:val="center"/>
                    <w:rPr>
                      <w:szCs w:val="21"/>
                    </w:rPr>
                  </w:pPr>
                  <w:r>
                    <w:rPr>
                      <w:rFonts w:hint="eastAsia"/>
                      <w:szCs w:val="21"/>
                    </w:rPr>
                    <w:t>南侧居民点</w:t>
                  </w:r>
                </w:p>
              </w:tc>
              <w:tc>
                <w:tcPr>
                  <w:tcW w:w="1528" w:type="dxa"/>
                  <w:vAlign w:val="center"/>
                </w:tcPr>
                <w:p w14:paraId="3FBA1D14">
                  <w:pPr>
                    <w:jc w:val="center"/>
                    <w:rPr>
                      <w:bCs/>
                      <w:szCs w:val="21"/>
                    </w:rPr>
                  </w:pPr>
                  <w:r>
                    <w:rPr>
                      <w:rFonts w:hint="eastAsia"/>
                      <w:bCs/>
                      <w:szCs w:val="21"/>
                    </w:rPr>
                    <w:t>54.5</w:t>
                  </w:r>
                </w:p>
              </w:tc>
              <w:tc>
                <w:tcPr>
                  <w:tcW w:w="1559" w:type="dxa"/>
                  <w:vAlign w:val="center"/>
                </w:tcPr>
                <w:p w14:paraId="61FA5DE8">
                  <w:pPr>
                    <w:jc w:val="center"/>
                    <w:rPr>
                      <w:bCs/>
                      <w:szCs w:val="21"/>
                    </w:rPr>
                  </w:pPr>
                  <w:r>
                    <w:rPr>
                      <w:rFonts w:hint="eastAsia"/>
                      <w:bCs/>
                      <w:szCs w:val="21"/>
                    </w:rPr>
                    <w:t>55.7</w:t>
                  </w:r>
                </w:p>
              </w:tc>
              <w:tc>
                <w:tcPr>
                  <w:tcW w:w="1513" w:type="dxa"/>
                  <w:vMerge w:val="continue"/>
                  <w:vAlign w:val="center"/>
                </w:tcPr>
                <w:p w14:paraId="77725123">
                  <w:pPr>
                    <w:jc w:val="center"/>
                    <w:rPr>
                      <w:bCs/>
                      <w:szCs w:val="21"/>
                    </w:rPr>
                  </w:pPr>
                </w:p>
              </w:tc>
            </w:tr>
            <w:tr w14:paraId="3C79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Align w:val="center"/>
                </w:tcPr>
                <w:p w14:paraId="37975932">
                  <w:pPr>
                    <w:jc w:val="center"/>
                    <w:rPr>
                      <w:bCs/>
                      <w:szCs w:val="21"/>
                    </w:rPr>
                  </w:pPr>
                  <w:r>
                    <w:rPr>
                      <w:rFonts w:hint="eastAsia"/>
                      <w:bCs/>
                      <w:szCs w:val="21"/>
                    </w:rPr>
                    <w:t>N7</w:t>
                  </w:r>
                </w:p>
              </w:tc>
              <w:tc>
                <w:tcPr>
                  <w:tcW w:w="2445" w:type="dxa"/>
                  <w:vAlign w:val="center"/>
                </w:tcPr>
                <w:p w14:paraId="4445B2C6">
                  <w:pPr>
                    <w:jc w:val="center"/>
                    <w:rPr>
                      <w:szCs w:val="21"/>
                    </w:rPr>
                  </w:pPr>
                  <w:r>
                    <w:rPr>
                      <w:rFonts w:hint="eastAsia"/>
                      <w:szCs w:val="21"/>
                    </w:rPr>
                    <w:t>西南侧敬老院</w:t>
                  </w:r>
                </w:p>
              </w:tc>
              <w:tc>
                <w:tcPr>
                  <w:tcW w:w="1528" w:type="dxa"/>
                  <w:vAlign w:val="center"/>
                </w:tcPr>
                <w:p w14:paraId="40E82714">
                  <w:pPr>
                    <w:jc w:val="center"/>
                    <w:rPr>
                      <w:bCs/>
                      <w:szCs w:val="21"/>
                    </w:rPr>
                  </w:pPr>
                  <w:r>
                    <w:rPr>
                      <w:rFonts w:hint="eastAsia"/>
                      <w:bCs/>
                      <w:szCs w:val="21"/>
                    </w:rPr>
                    <w:t>54.9</w:t>
                  </w:r>
                </w:p>
              </w:tc>
              <w:tc>
                <w:tcPr>
                  <w:tcW w:w="1559" w:type="dxa"/>
                  <w:vAlign w:val="center"/>
                </w:tcPr>
                <w:p w14:paraId="252FF93E">
                  <w:pPr>
                    <w:jc w:val="center"/>
                    <w:rPr>
                      <w:bCs/>
                      <w:szCs w:val="21"/>
                    </w:rPr>
                  </w:pPr>
                  <w:r>
                    <w:rPr>
                      <w:rFonts w:hint="eastAsia"/>
                      <w:bCs/>
                      <w:szCs w:val="21"/>
                    </w:rPr>
                    <w:t>54.8</w:t>
                  </w:r>
                </w:p>
              </w:tc>
              <w:tc>
                <w:tcPr>
                  <w:tcW w:w="1513" w:type="dxa"/>
                  <w:vMerge w:val="continue"/>
                  <w:vAlign w:val="center"/>
                </w:tcPr>
                <w:p w14:paraId="7AF81F05">
                  <w:pPr>
                    <w:jc w:val="center"/>
                    <w:rPr>
                      <w:bCs/>
                      <w:szCs w:val="21"/>
                    </w:rPr>
                  </w:pPr>
                </w:p>
              </w:tc>
            </w:tr>
          </w:tbl>
          <w:p w14:paraId="1CD693AD">
            <w:pPr>
              <w:ind w:firstLine="480"/>
              <w:rPr>
                <w:sz w:val="24"/>
              </w:rPr>
            </w:pPr>
          </w:p>
          <w:p w14:paraId="0DCA7A7F">
            <w:pPr>
              <w:ind w:firstLine="480"/>
              <w:rPr>
                <w:sz w:val="24"/>
              </w:rPr>
            </w:pPr>
            <w:r>
              <w:rPr>
                <w:rFonts w:hint="eastAsia"/>
                <w:sz w:val="24"/>
              </w:rPr>
              <w:t>区域声环境质量可达《声环境质量标准》（GB3096-2008）2类区标准要求。</w:t>
            </w:r>
          </w:p>
          <w:p w14:paraId="78E024DD">
            <w:pPr>
              <w:spacing w:line="360" w:lineRule="auto"/>
              <w:ind w:left="420" w:leftChars="200"/>
              <w:rPr>
                <w:b/>
                <w:sz w:val="24"/>
              </w:rPr>
            </w:pPr>
          </w:p>
          <w:p w14:paraId="11971A94">
            <w:pPr>
              <w:spacing w:line="360" w:lineRule="auto"/>
              <w:ind w:left="420" w:leftChars="200"/>
              <w:rPr>
                <w:b/>
                <w:sz w:val="24"/>
              </w:rPr>
            </w:pPr>
          </w:p>
          <w:p w14:paraId="3D5503EA">
            <w:pPr>
              <w:spacing w:line="360" w:lineRule="auto"/>
              <w:ind w:left="420" w:leftChars="200"/>
              <w:rPr>
                <w:b/>
                <w:sz w:val="24"/>
              </w:rPr>
            </w:pPr>
            <w:r>
              <w:rPr>
                <w:b/>
                <w:sz w:val="24"/>
              </w:rPr>
              <w:t>4、生态环境</w:t>
            </w:r>
          </w:p>
          <w:p w14:paraId="0183F005">
            <w:pPr>
              <w:adjustRightInd w:val="0"/>
              <w:snapToGrid w:val="0"/>
              <w:spacing w:line="360" w:lineRule="auto"/>
              <w:ind w:firstLine="480" w:firstLineChars="200"/>
              <w:rPr>
                <w:kern w:val="0"/>
                <w:sz w:val="24"/>
              </w:rPr>
            </w:pPr>
            <w:r>
              <w:rPr>
                <w:kern w:val="0"/>
                <w:sz w:val="24"/>
              </w:rPr>
              <w:t>本项目位于</w:t>
            </w:r>
            <w:r>
              <w:rPr>
                <w:rFonts w:hint="eastAsia"/>
                <w:kern w:val="0"/>
                <w:sz w:val="24"/>
              </w:rPr>
              <w:t>衡山县</w:t>
            </w:r>
            <w:r>
              <w:rPr>
                <w:rFonts w:hint="eastAsia"/>
                <w:sz w:val="24"/>
              </w:rPr>
              <w:t>开云镇</w:t>
            </w:r>
            <w:r>
              <w:rPr>
                <w:kern w:val="0"/>
                <w:sz w:val="24"/>
              </w:rPr>
              <w:t>，</w:t>
            </w:r>
            <w:r>
              <w:rPr>
                <w:rFonts w:hint="eastAsia"/>
                <w:kern w:val="0"/>
                <w:sz w:val="24"/>
              </w:rPr>
              <w:t>使用一块原福利橡胶厂的空地进行</w:t>
            </w:r>
            <w:r>
              <w:rPr>
                <w:kern w:val="0"/>
                <w:sz w:val="24"/>
              </w:rPr>
              <w:t>生产</w:t>
            </w:r>
            <w:r>
              <w:rPr>
                <w:rFonts w:hint="eastAsia"/>
                <w:kern w:val="0"/>
                <w:sz w:val="24"/>
              </w:rPr>
              <w:t>。根据</w:t>
            </w:r>
            <w:r>
              <w:rPr>
                <w:kern w:val="0"/>
                <w:sz w:val="24"/>
              </w:rPr>
              <w:t>《建设项目环境影响报告表编制技术指南（污染影响类）（试行）》</w:t>
            </w:r>
            <w:r>
              <w:rPr>
                <w:rFonts w:hint="eastAsia"/>
                <w:kern w:val="0"/>
                <w:sz w:val="24"/>
              </w:rPr>
              <w:t>提到的“产业园区外建设项目新增用地且用地范围内含有生态环境保护目标时，应进行生态现状调查”，本项目用地范围内不涉及生态环境保护目标，故本项目不开展生态环境调查</w:t>
            </w:r>
            <w:r>
              <w:rPr>
                <w:kern w:val="0"/>
                <w:sz w:val="24"/>
              </w:rPr>
              <w:t>。</w:t>
            </w:r>
          </w:p>
          <w:p w14:paraId="3D9B9249">
            <w:pPr>
              <w:adjustRightInd w:val="0"/>
              <w:snapToGrid w:val="0"/>
              <w:spacing w:line="360" w:lineRule="auto"/>
              <w:ind w:firstLine="482" w:firstLineChars="200"/>
              <w:rPr>
                <w:kern w:val="0"/>
                <w:sz w:val="24"/>
              </w:rPr>
            </w:pPr>
            <w:r>
              <w:rPr>
                <w:b/>
                <w:bCs/>
                <w:kern w:val="0"/>
                <w:sz w:val="24"/>
              </w:rPr>
              <w:t>5、地下水、土壤环境</w:t>
            </w:r>
          </w:p>
          <w:p w14:paraId="1447C347">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本项目位于衡山县</w:t>
            </w:r>
            <w:r>
              <w:rPr>
                <w:rFonts w:hint="eastAsia"/>
                <w:color w:val="000000" w:themeColor="text1"/>
                <w:sz w:val="24"/>
                <w14:textFill>
                  <w14:solidFill>
                    <w14:schemeClr w14:val="tx1"/>
                  </w14:solidFill>
                </w14:textFill>
              </w:rPr>
              <w:t>开云镇</w:t>
            </w:r>
            <w:r>
              <w:rPr>
                <w:rFonts w:hint="eastAsia"/>
                <w:color w:val="000000" w:themeColor="text1"/>
                <w:kern w:val="0"/>
                <w:sz w:val="24"/>
                <w14:textFill>
                  <w14:solidFill>
                    <w14:schemeClr w14:val="tx1"/>
                  </w14:solidFill>
                </w14:textFill>
              </w:rPr>
              <w:t>，厂房已经建设完成，</w:t>
            </w:r>
            <w:r>
              <w:rPr>
                <w:rFonts w:hint="eastAsia"/>
                <w:color w:val="000000" w:themeColor="text1"/>
                <w:sz w:val="24"/>
                <w14:textFill>
                  <w14:solidFill>
                    <w14:schemeClr w14:val="tx1"/>
                  </w14:solidFill>
                </w14:textFill>
              </w:rPr>
              <w:t>项目周边居民点用水来源为自来水公司供应，</w:t>
            </w:r>
            <w:r>
              <w:rPr>
                <w:rFonts w:hint="eastAsia"/>
                <w:color w:val="000000" w:themeColor="text1"/>
                <w:kern w:val="0"/>
                <w:sz w:val="24"/>
                <w14:textFill>
                  <w14:solidFill>
                    <w14:schemeClr w14:val="tx1"/>
                  </w14:solidFill>
                </w14:textFill>
              </w:rPr>
              <w:t>且本项目运营期主要的废气为SO</w:t>
            </w:r>
            <w:r>
              <w:rPr>
                <w:rFonts w:hint="eastAsia"/>
                <w:color w:val="000000" w:themeColor="text1"/>
                <w:kern w:val="0"/>
                <w:sz w:val="24"/>
                <w:vertAlign w:val="subscript"/>
                <w14:textFill>
                  <w14:solidFill>
                    <w14:schemeClr w14:val="tx1"/>
                  </w14:solidFill>
                </w14:textFill>
              </w:rPr>
              <w:t>2</w:t>
            </w:r>
            <w:r>
              <w:rPr>
                <w:rFonts w:hint="eastAsia"/>
                <w:color w:val="000000" w:themeColor="text1"/>
                <w:kern w:val="0"/>
                <w:sz w:val="24"/>
                <w14:textFill>
                  <w14:solidFill>
                    <w14:schemeClr w14:val="tx1"/>
                  </w14:solidFill>
                </w14:textFill>
              </w:rPr>
              <w:t>、NOx、颗粒物，生活污水先经化粪池预处理排入衡山国祯水处理有限公司，生产废水经沉淀池预处理排入衡山国祯水处理有限公司</w:t>
            </w:r>
            <w:r>
              <w:rPr>
                <w:rFonts w:hint="eastAsia"/>
                <w:color w:val="000000" w:themeColor="text1"/>
                <w:sz w:val="24"/>
                <w14:textFill>
                  <w14:solidFill>
                    <w14:schemeClr w14:val="tx1"/>
                  </w14:solidFill>
                </w14:textFill>
              </w:rPr>
              <w:t>。周边500m范围内无地下水井，居民饮用水源均为自来水公司供应。</w:t>
            </w:r>
            <w:r>
              <w:rPr>
                <w:color w:val="000000" w:themeColor="text1"/>
                <w:kern w:val="0"/>
                <w:sz w:val="24"/>
                <w14:textFill>
                  <w14:solidFill>
                    <w14:schemeClr w14:val="tx1"/>
                  </w14:solidFill>
                </w14:textFill>
              </w:rPr>
              <w:t>根据《建设项目环境影响报告表编制技术指南（污染影响类）（试行）》，本项目</w:t>
            </w:r>
            <w:r>
              <w:rPr>
                <w:rFonts w:hint="eastAsia"/>
                <w:color w:val="000000" w:themeColor="text1"/>
                <w:kern w:val="0"/>
                <w:sz w:val="24"/>
                <w14:textFill>
                  <w14:solidFill>
                    <w14:schemeClr w14:val="tx1"/>
                  </w14:solidFill>
                </w14:textFill>
              </w:rPr>
              <w:t>不存在相关土壤、地下水污染途径。故</w:t>
            </w:r>
            <w:r>
              <w:rPr>
                <w:color w:val="000000" w:themeColor="text1"/>
                <w:kern w:val="0"/>
                <w:sz w:val="24"/>
                <w14:textFill>
                  <w14:solidFill>
                    <w14:schemeClr w14:val="tx1"/>
                  </w14:solidFill>
                </w14:textFill>
              </w:rPr>
              <w:t>可不开展土壤、地下水环境现状调查。</w:t>
            </w:r>
          </w:p>
          <w:p w14:paraId="201B480C">
            <w:pPr>
              <w:adjustRightInd w:val="0"/>
              <w:snapToGrid w:val="0"/>
              <w:spacing w:line="360" w:lineRule="auto"/>
              <w:ind w:firstLine="482" w:firstLineChars="200"/>
              <w:rPr>
                <w:kern w:val="0"/>
                <w:sz w:val="24"/>
              </w:rPr>
            </w:pPr>
            <w:r>
              <w:rPr>
                <w:b/>
                <w:bCs/>
                <w:kern w:val="0"/>
                <w:sz w:val="24"/>
              </w:rPr>
              <w:t>6、电磁辐射</w:t>
            </w:r>
          </w:p>
          <w:p w14:paraId="51A7B240">
            <w:pPr>
              <w:spacing w:line="360" w:lineRule="auto"/>
              <w:ind w:firstLine="480" w:firstLineChars="200"/>
              <w:rPr>
                <w:sz w:val="24"/>
              </w:rPr>
            </w:pPr>
            <w:r>
              <w:rPr>
                <w:kern w:val="0"/>
                <w:sz w:val="24"/>
              </w:rPr>
              <w:t>本项目不涉及电磁辐射设备，不进行电磁辐射影响评价，因此无需进行电磁辐射环境现状调查。</w:t>
            </w:r>
          </w:p>
        </w:tc>
      </w:tr>
      <w:tr w14:paraId="0A327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0045D0B4">
            <w:pPr>
              <w:adjustRightInd w:val="0"/>
              <w:snapToGrid w:val="0"/>
              <w:jc w:val="center"/>
              <w:rPr>
                <w:kern w:val="0"/>
                <w:sz w:val="24"/>
              </w:rPr>
            </w:pPr>
            <w:r>
              <w:rPr>
                <w:kern w:val="0"/>
                <w:sz w:val="24"/>
              </w:rPr>
              <w:t>环境</w:t>
            </w:r>
          </w:p>
          <w:p w14:paraId="11643EF8">
            <w:pPr>
              <w:adjustRightInd w:val="0"/>
              <w:snapToGrid w:val="0"/>
              <w:jc w:val="center"/>
              <w:rPr>
                <w:kern w:val="0"/>
                <w:sz w:val="24"/>
              </w:rPr>
            </w:pPr>
            <w:r>
              <w:rPr>
                <w:kern w:val="0"/>
                <w:sz w:val="24"/>
              </w:rPr>
              <w:t>保护</w:t>
            </w:r>
          </w:p>
          <w:p w14:paraId="4DD05EB3">
            <w:pPr>
              <w:adjustRightInd w:val="0"/>
              <w:snapToGrid w:val="0"/>
              <w:jc w:val="center"/>
              <w:rPr>
                <w:kern w:val="0"/>
                <w:sz w:val="24"/>
              </w:rPr>
            </w:pPr>
            <w:r>
              <w:rPr>
                <w:kern w:val="0"/>
                <w:sz w:val="24"/>
              </w:rPr>
              <w:t>目标</w:t>
            </w:r>
          </w:p>
        </w:tc>
        <w:tc>
          <w:tcPr>
            <w:tcW w:w="8190" w:type="dxa"/>
            <w:vAlign w:val="center"/>
          </w:tcPr>
          <w:p w14:paraId="4DCDE07C">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（1）大气环境：本项目厂界外500m范围内无自然保护区、风景名胜区、文化区。</w:t>
            </w:r>
            <w:r>
              <w:rPr>
                <w:rFonts w:hint="eastAsia"/>
                <w:color w:val="000000" w:themeColor="text1"/>
                <w:kern w:val="0"/>
                <w:sz w:val="24"/>
                <w14:textFill>
                  <w14:solidFill>
                    <w14:schemeClr w14:val="tx1"/>
                  </w14:solidFill>
                </w14:textFill>
              </w:rPr>
              <w:t>500m范围内有零散居民点。</w:t>
            </w:r>
          </w:p>
          <w:p w14:paraId="6E29D0D5">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（2）声环境：本项目厂界50m范围内有声环境保护目标。</w:t>
            </w:r>
          </w:p>
          <w:p w14:paraId="553D68C6">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（3）地下水环境：本项目厂界外500米范围内无地下水集中式饮用水水源和热水、矿泉水、温泉等特殊地下水资源。</w:t>
            </w:r>
          </w:p>
          <w:p w14:paraId="2FE95543">
            <w:pPr>
              <w:pStyle w:val="50"/>
              <w:rPr>
                <w:color w:val="auto"/>
                <w:szCs w:val="22"/>
              </w:rPr>
            </w:pPr>
            <w:r>
              <w:rPr>
                <w:color w:val="auto"/>
                <w:szCs w:val="22"/>
              </w:rPr>
              <w:t>表3-</w:t>
            </w:r>
            <w:r>
              <w:rPr>
                <w:rFonts w:hint="eastAsia"/>
                <w:color w:val="auto"/>
                <w:szCs w:val="22"/>
              </w:rPr>
              <w:t>6</w:t>
            </w:r>
            <w:r>
              <w:rPr>
                <w:color w:val="auto"/>
                <w:szCs w:val="22"/>
              </w:rPr>
              <w:t xml:space="preserve">  主要环境保护目标</w:t>
            </w:r>
          </w:p>
          <w:tbl>
            <w:tblPr>
              <w:tblStyle w:val="26"/>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77"/>
              <w:gridCol w:w="1317"/>
              <w:gridCol w:w="1167"/>
              <w:gridCol w:w="651"/>
              <w:gridCol w:w="907"/>
              <w:gridCol w:w="749"/>
              <w:gridCol w:w="843"/>
              <w:gridCol w:w="1052"/>
            </w:tblGrid>
            <w:tr w14:paraId="23492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54" w:type="pct"/>
                  <w:vMerge w:val="restart"/>
                  <w:vAlign w:val="center"/>
                </w:tcPr>
                <w:p w14:paraId="2578C34F">
                  <w:pPr>
                    <w:pStyle w:val="56"/>
                    <w:adjustRightInd w:val="0"/>
                    <w:snapToGrid w:val="0"/>
                    <w:spacing w:line="240" w:lineRule="auto"/>
                    <w:ind w:firstLine="0" w:firstLineChars="0"/>
                    <w:jc w:val="center"/>
                    <w:rPr>
                      <w:sz w:val="21"/>
                      <w:szCs w:val="21"/>
                    </w:rPr>
                  </w:pPr>
                  <w:r>
                    <w:rPr>
                      <w:sz w:val="21"/>
                      <w:szCs w:val="21"/>
                    </w:rPr>
                    <w:t>保护类别</w:t>
                  </w:r>
                </w:p>
              </w:tc>
              <w:tc>
                <w:tcPr>
                  <w:tcW w:w="539" w:type="pct"/>
                  <w:vMerge w:val="restart"/>
                  <w:vAlign w:val="center"/>
                </w:tcPr>
                <w:p w14:paraId="24E96A9E">
                  <w:pPr>
                    <w:pStyle w:val="56"/>
                    <w:adjustRightInd w:val="0"/>
                    <w:snapToGrid w:val="0"/>
                    <w:spacing w:line="240" w:lineRule="auto"/>
                    <w:ind w:firstLine="0" w:firstLineChars="0"/>
                    <w:jc w:val="center"/>
                    <w:rPr>
                      <w:sz w:val="21"/>
                      <w:szCs w:val="21"/>
                    </w:rPr>
                  </w:pPr>
                  <w:r>
                    <w:rPr>
                      <w:sz w:val="21"/>
                      <w:szCs w:val="21"/>
                    </w:rPr>
                    <w:t>名称</w:t>
                  </w:r>
                </w:p>
              </w:tc>
              <w:tc>
                <w:tcPr>
                  <w:tcW w:w="1526" w:type="pct"/>
                  <w:gridSpan w:val="2"/>
                  <w:vAlign w:val="center"/>
                </w:tcPr>
                <w:p w14:paraId="29ABFCBA">
                  <w:pPr>
                    <w:pStyle w:val="56"/>
                    <w:adjustRightInd w:val="0"/>
                    <w:snapToGrid w:val="0"/>
                    <w:spacing w:line="240" w:lineRule="auto"/>
                    <w:ind w:firstLine="0" w:firstLineChars="0"/>
                    <w:jc w:val="center"/>
                    <w:rPr>
                      <w:sz w:val="21"/>
                      <w:szCs w:val="21"/>
                    </w:rPr>
                  </w:pPr>
                  <w:r>
                    <w:rPr>
                      <w:sz w:val="21"/>
                      <w:szCs w:val="21"/>
                    </w:rPr>
                    <w:t>坐标</w:t>
                  </w:r>
                </w:p>
              </w:tc>
              <w:tc>
                <w:tcPr>
                  <w:tcW w:w="400" w:type="pct"/>
                  <w:vMerge w:val="restart"/>
                  <w:vAlign w:val="center"/>
                </w:tcPr>
                <w:p w14:paraId="460B306E">
                  <w:pPr>
                    <w:pStyle w:val="56"/>
                    <w:adjustRightInd w:val="0"/>
                    <w:snapToGrid w:val="0"/>
                    <w:spacing w:line="240" w:lineRule="auto"/>
                    <w:ind w:firstLine="0" w:firstLineChars="0"/>
                    <w:jc w:val="center"/>
                    <w:rPr>
                      <w:sz w:val="21"/>
                      <w:szCs w:val="21"/>
                    </w:rPr>
                  </w:pPr>
                  <w:r>
                    <w:rPr>
                      <w:sz w:val="21"/>
                      <w:szCs w:val="21"/>
                    </w:rPr>
                    <w:t>保护对象</w:t>
                  </w:r>
                </w:p>
              </w:tc>
              <w:tc>
                <w:tcPr>
                  <w:tcW w:w="557" w:type="pct"/>
                  <w:vMerge w:val="restart"/>
                  <w:vAlign w:val="center"/>
                </w:tcPr>
                <w:p w14:paraId="364DC307">
                  <w:pPr>
                    <w:pStyle w:val="56"/>
                    <w:adjustRightInd w:val="0"/>
                    <w:snapToGrid w:val="0"/>
                    <w:spacing w:line="240" w:lineRule="auto"/>
                    <w:ind w:firstLine="0" w:firstLineChars="0"/>
                    <w:jc w:val="center"/>
                    <w:rPr>
                      <w:sz w:val="21"/>
                      <w:szCs w:val="21"/>
                    </w:rPr>
                  </w:pPr>
                  <w:r>
                    <w:rPr>
                      <w:sz w:val="21"/>
                      <w:szCs w:val="21"/>
                    </w:rPr>
                    <w:t>保护内容</w:t>
                  </w:r>
                </w:p>
              </w:tc>
              <w:tc>
                <w:tcPr>
                  <w:tcW w:w="460" w:type="pct"/>
                  <w:vMerge w:val="restart"/>
                  <w:vAlign w:val="center"/>
                </w:tcPr>
                <w:p w14:paraId="603FBFEE">
                  <w:pPr>
                    <w:pStyle w:val="56"/>
                    <w:adjustRightInd w:val="0"/>
                    <w:snapToGrid w:val="0"/>
                    <w:spacing w:line="240" w:lineRule="auto"/>
                    <w:ind w:firstLine="0" w:firstLineChars="0"/>
                    <w:jc w:val="center"/>
                    <w:rPr>
                      <w:sz w:val="21"/>
                      <w:szCs w:val="21"/>
                    </w:rPr>
                  </w:pPr>
                  <w:r>
                    <w:rPr>
                      <w:sz w:val="21"/>
                      <w:szCs w:val="21"/>
                    </w:rPr>
                    <w:t>环境功能区</w:t>
                  </w:r>
                </w:p>
              </w:tc>
              <w:tc>
                <w:tcPr>
                  <w:tcW w:w="518" w:type="pct"/>
                  <w:vMerge w:val="restart"/>
                  <w:vAlign w:val="center"/>
                </w:tcPr>
                <w:p w14:paraId="08B2E5E1">
                  <w:pPr>
                    <w:pStyle w:val="56"/>
                    <w:adjustRightInd w:val="0"/>
                    <w:snapToGrid w:val="0"/>
                    <w:spacing w:line="240" w:lineRule="auto"/>
                    <w:ind w:firstLine="0" w:firstLineChars="0"/>
                    <w:jc w:val="center"/>
                    <w:rPr>
                      <w:sz w:val="21"/>
                      <w:szCs w:val="21"/>
                    </w:rPr>
                  </w:pPr>
                  <w:r>
                    <w:rPr>
                      <w:sz w:val="21"/>
                      <w:szCs w:val="21"/>
                    </w:rPr>
                    <w:t>相对厂界方位</w:t>
                  </w:r>
                </w:p>
              </w:tc>
              <w:tc>
                <w:tcPr>
                  <w:tcW w:w="646" w:type="pct"/>
                  <w:vMerge w:val="restart"/>
                  <w:vAlign w:val="center"/>
                </w:tcPr>
                <w:p w14:paraId="5229A91A">
                  <w:pPr>
                    <w:pStyle w:val="56"/>
                    <w:adjustRightInd w:val="0"/>
                    <w:snapToGrid w:val="0"/>
                    <w:spacing w:line="240" w:lineRule="auto"/>
                    <w:ind w:firstLine="0" w:firstLineChars="0"/>
                    <w:jc w:val="center"/>
                    <w:rPr>
                      <w:sz w:val="21"/>
                      <w:szCs w:val="21"/>
                    </w:rPr>
                  </w:pPr>
                  <w:r>
                    <w:rPr>
                      <w:sz w:val="21"/>
                      <w:szCs w:val="21"/>
                    </w:rPr>
                    <w:t>相对厂界距离/m</w:t>
                  </w:r>
                </w:p>
              </w:tc>
            </w:tr>
            <w:tr w14:paraId="44836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0" w:hRule="atLeast"/>
                <w:jc w:val="center"/>
              </w:trPr>
              <w:tc>
                <w:tcPr>
                  <w:tcW w:w="354" w:type="pct"/>
                  <w:vMerge w:val="continue"/>
                  <w:vAlign w:val="center"/>
                </w:tcPr>
                <w:p w14:paraId="482CF440">
                  <w:pPr>
                    <w:pStyle w:val="56"/>
                    <w:adjustRightInd w:val="0"/>
                    <w:snapToGrid w:val="0"/>
                    <w:spacing w:line="240" w:lineRule="auto"/>
                    <w:ind w:firstLine="0" w:firstLineChars="0"/>
                    <w:jc w:val="center"/>
                    <w:rPr>
                      <w:sz w:val="21"/>
                      <w:szCs w:val="21"/>
                    </w:rPr>
                  </w:pPr>
                </w:p>
              </w:tc>
              <w:tc>
                <w:tcPr>
                  <w:tcW w:w="539" w:type="pct"/>
                  <w:vMerge w:val="continue"/>
                  <w:vAlign w:val="center"/>
                </w:tcPr>
                <w:p w14:paraId="7FA3238C">
                  <w:pPr>
                    <w:pStyle w:val="56"/>
                    <w:adjustRightInd w:val="0"/>
                    <w:snapToGrid w:val="0"/>
                    <w:spacing w:line="240" w:lineRule="auto"/>
                    <w:ind w:firstLine="0" w:firstLineChars="0"/>
                    <w:jc w:val="center"/>
                    <w:rPr>
                      <w:sz w:val="21"/>
                      <w:szCs w:val="21"/>
                    </w:rPr>
                  </w:pPr>
                </w:p>
              </w:tc>
              <w:tc>
                <w:tcPr>
                  <w:tcW w:w="809" w:type="pct"/>
                  <w:vAlign w:val="center"/>
                </w:tcPr>
                <w:p w14:paraId="3097AC12">
                  <w:pPr>
                    <w:pStyle w:val="56"/>
                    <w:adjustRightInd w:val="0"/>
                    <w:snapToGrid w:val="0"/>
                    <w:spacing w:line="240" w:lineRule="auto"/>
                    <w:ind w:firstLine="0" w:firstLineChars="0"/>
                    <w:jc w:val="center"/>
                    <w:rPr>
                      <w:sz w:val="21"/>
                      <w:szCs w:val="21"/>
                    </w:rPr>
                  </w:pPr>
                  <w:r>
                    <w:rPr>
                      <w:rFonts w:hint="eastAsia"/>
                      <w:sz w:val="21"/>
                      <w:szCs w:val="21"/>
                    </w:rPr>
                    <w:t>X</w:t>
                  </w:r>
                </w:p>
              </w:tc>
              <w:tc>
                <w:tcPr>
                  <w:tcW w:w="717" w:type="pct"/>
                  <w:vAlign w:val="center"/>
                </w:tcPr>
                <w:p w14:paraId="45B0EBE8">
                  <w:pPr>
                    <w:pStyle w:val="56"/>
                    <w:adjustRightInd w:val="0"/>
                    <w:snapToGrid w:val="0"/>
                    <w:spacing w:line="240" w:lineRule="auto"/>
                    <w:ind w:firstLine="0" w:firstLineChars="0"/>
                    <w:jc w:val="center"/>
                    <w:rPr>
                      <w:sz w:val="21"/>
                      <w:szCs w:val="21"/>
                    </w:rPr>
                  </w:pPr>
                  <w:r>
                    <w:rPr>
                      <w:rFonts w:hint="eastAsia"/>
                      <w:sz w:val="21"/>
                      <w:szCs w:val="21"/>
                    </w:rPr>
                    <w:t>Y</w:t>
                  </w:r>
                </w:p>
              </w:tc>
              <w:tc>
                <w:tcPr>
                  <w:tcW w:w="400" w:type="pct"/>
                  <w:vMerge w:val="continue"/>
                  <w:vAlign w:val="center"/>
                </w:tcPr>
                <w:p w14:paraId="2F56F40E">
                  <w:pPr>
                    <w:pStyle w:val="56"/>
                    <w:adjustRightInd w:val="0"/>
                    <w:snapToGrid w:val="0"/>
                    <w:spacing w:line="240" w:lineRule="auto"/>
                    <w:ind w:firstLine="0" w:firstLineChars="0"/>
                    <w:jc w:val="center"/>
                    <w:rPr>
                      <w:sz w:val="21"/>
                      <w:szCs w:val="21"/>
                    </w:rPr>
                  </w:pPr>
                </w:p>
              </w:tc>
              <w:tc>
                <w:tcPr>
                  <w:tcW w:w="557" w:type="pct"/>
                  <w:vMerge w:val="continue"/>
                  <w:vAlign w:val="center"/>
                </w:tcPr>
                <w:p w14:paraId="35DD8F95">
                  <w:pPr>
                    <w:pStyle w:val="56"/>
                    <w:adjustRightInd w:val="0"/>
                    <w:snapToGrid w:val="0"/>
                    <w:spacing w:line="240" w:lineRule="auto"/>
                    <w:ind w:firstLine="0" w:firstLineChars="0"/>
                    <w:jc w:val="center"/>
                    <w:rPr>
                      <w:sz w:val="21"/>
                      <w:szCs w:val="21"/>
                    </w:rPr>
                  </w:pPr>
                </w:p>
              </w:tc>
              <w:tc>
                <w:tcPr>
                  <w:tcW w:w="460" w:type="pct"/>
                  <w:vMerge w:val="continue"/>
                  <w:vAlign w:val="center"/>
                </w:tcPr>
                <w:p w14:paraId="0FDA2072">
                  <w:pPr>
                    <w:pStyle w:val="56"/>
                    <w:adjustRightInd w:val="0"/>
                    <w:snapToGrid w:val="0"/>
                    <w:spacing w:line="240" w:lineRule="auto"/>
                    <w:ind w:firstLine="0" w:firstLineChars="0"/>
                    <w:jc w:val="center"/>
                    <w:rPr>
                      <w:sz w:val="21"/>
                      <w:szCs w:val="21"/>
                    </w:rPr>
                  </w:pPr>
                </w:p>
              </w:tc>
              <w:tc>
                <w:tcPr>
                  <w:tcW w:w="518" w:type="pct"/>
                  <w:vMerge w:val="continue"/>
                  <w:vAlign w:val="center"/>
                </w:tcPr>
                <w:p w14:paraId="3E1B7CAC">
                  <w:pPr>
                    <w:pStyle w:val="56"/>
                    <w:adjustRightInd w:val="0"/>
                    <w:snapToGrid w:val="0"/>
                    <w:spacing w:line="240" w:lineRule="auto"/>
                    <w:ind w:firstLine="0" w:firstLineChars="0"/>
                    <w:jc w:val="center"/>
                    <w:rPr>
                      <w:sz w:val="21"/>
                      <w:szCs w:val="21"/>
                    </w:rPr>
                  </w:pPr>
                </w:p>
              </w:tc>
              <w:tc>
                <w:tcPr>
                  <w:tcW w:w="646" w:type="pct"/>
                  <w:vMerge w:val="continue"/>
                  <w:vAlign w:val="center"/>
                </w:tcPr>
                <w:p w14:paraId="3F8AA25C">
                  <w:pPr>
                    <w:pStyle w:val="56"/>
                    <w:adjustRightInd w:val="0"/>
                    <w:snapToGrid w:val="0"/>
                    <w:spacing w:line="240" w:lineRule="auto"/>
                    <w:ind w:firstLine="0" w:firstLineChars="0"/>
                    <w:jc w:val="center"/>
                    <w:rPr>
                      <w:sz w:val="21"/>
                      <w:szCs w:val="21"/>
                    </w:rPr>
                  </w:pPr>
                </w:p>
              </w:tc>
            </w:tr>
            <w:tr w14:paraId="55210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Merge w:val="restart"/>
                  <w:vAlign w:val="center"/>
                </w:tcPr>
                <w:p w14:paraId="01471D96">
                  <w:pPr>
                    <w:pStyle w:val="59"/>
                    <w:spacing w:line="240" w:lineRule="auto"/>
                  </w:pPr>
                  <w:r>
                    <w:t>环境空气</w:t>
                  </w:r>
                </w:p>
              </w:tc>
              <w:tc>
                <w:tcPr>
                  <w:tcW w:w="539" w:type="pct"/>
                  <w:vAlign w:val="center"/>
                </w:tcPr>
                <w:p w14:paraId="2046C641">
                  <w:pPr>
                    <w:pStyle w:val="59"/>
                    <w:spacing w:line="240" w:lineRule="auto"/>
                  </w:pPr>
                  <w:r>
                    <w:rPr>
                      <w:rFonts w:hint="eastAsia"/>
                    </w:rPr>
                    <w:t>北侧</w:t>
                  </w:r>
                  <w:r>
                    <w:t>居民点</w:t>
                  </w:r>
                </w:p>
              </w:tc>
              <w:tc>
                <w:tcPr>
                  <w:tcW w:w="809" w:type="pct"/>
                  <w:vAlign w:val="center"/>
                </w:tcPr>
                <w:p w14:paraId="56307F62">
                  <w:pPr>
                    <w:pStyle w:val="56"/>
                    <w:adjustRightInd w:val="0"/>
                    <w:snapToGrid w:val="0"/>
                    <w:spacing w:line="240" w:lineRule="auto"/>
                    <w:ind w:firstLine="0" w:firstLineChars="0"/>
                    <w:jc w:val="center"/>
                    <w:rPr>
                      <w:sz w:val="21"/>
                      <w:szCs w:val="21"/>
                    </w:rPr>
                  </w:pPr>
                  <w:r>
                    <w:rPr>
                      <w:sz w:val="21"/>
                      <w:szCs w:val="21"/>
                    </w:rPr>
                    <w:t>-58</w:t>
                  </w:r>
                </w:p>
              </w:tc>
              <w:tc>
                <w:tcPr>
                  <w:tcW w:w="717" w:type="pct"/>
                  <w:vAlign w:val="center"/>
                </w:tcPr>
                <w:p w14:paraId="1D93BACB">
                  <w:pPr>
                    <w:pStyle w:val="56"/>
                    <w:adjustRightInd w:val="0"/>
                    <w:snapToGrid w:val="0"/>
                    <w:spacing w:line="240" w:lineRule="auto"/>
                    <w:ind w:firstLine="0" w:firstLineChars="0"/>
                    <w:jc w:val="center"/>
                    <w:rPr>
                      <w:sz w:val="21"/>
                      <w:szCs w:val="21"/>
                    </w:rPr>
                  </w:pPr>
                  <w:r>
                    <w:rPr>
                      <w:rFonts w:hint="eastAsia"/>
                      <w:sz w:val="21"/>
                      <w:szCs w:val="21"/>
                    </w:rPr>
                    <w:t>6</w:t>
                  </w:r>
                  <w:r>
                    <w:rPr>
                      <w:sz w:val="21"/>
                      <w:szCs w:val="21"/>
                    </w:rPr>
                    <w:t>4</w:t>
                  </w:r>
                </w:p>
              </w:tc>
              <w:tc>
                <w:tcPr>
                  <w:tcW w:w="400" w:type="pct"/>
                  <w:vAlign w:val="center"/>
                </w:tcPr>
                <w:p w14:paraId="4771B3FE">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70130497">
                  <w:pPr>
                    <w:pStyle w:val="59"/>
                    <w:spacing w:line="240" w:lineRule="auto"/>
                  </w:pPr>
                  <w:r>
                    <w:rPr>
                      <w:rFonts w:hint="eastAsia"/>
                    </w:rPr>
                    <w:t>8</w:t>
                  </w:r>
                  <w:r>
                    <w:t>户</w:t>
                  </w:r>
                </w:p>
                <w:p w14:paraId="24A41596">
                  <w:pPr>
                    <w:pStyle w:val="59"/>
                    <w:spacing w:line="240" w:lineRule="auto"/>
                  </w:pPr>
                  <w:r>
                    <w:rPr>
                      <w:rFonts w:hint="eastAsia"/>
                    </w:rPr>
                    <w:t>3</w:t>
                  </w:r>
                  <w:r>
                    <w:t>2人</w:t>
                  </w:r>
                </w:p>
              </w:tc>
              <w:tc>
                <w:tcPr>
                  <w:tcW w:w="460" w:type="pct"/>
                  <w:vAlign w:val="center"/>
                </w:tcPr>
                <w:p w14:paraId="45DCD15E">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4358CDA1">
                  <w:pPr>
                    <w:pStyle w:val="59"/>
                    <w:spacing w:line="240" w:lineRule="auto"/>
                  </w:pPr>
                  <w:r>
                    <w:rPr>
                      <w:rFonts w:hint="eastAsia"/>
                    </w:rPr>
                    <w:t>北</w:t>
                  </w:r>
                </w:p>
              </w:tc>
              <w:tc>
                <w:tcPr>
                  <w:tcW w:w="646" w:type="pct"/>
                  <w:vAlign w:val="center"/>
                </w:tcPr>
                <w:p w14:paraId="40D56218">
                  <w:pPr>
                    <w:pStyle w:val="56"/>
                    <w:adjustRightInd w:val="0"/>
                    <w:snapToGrid w:val="0"/>
                    <w:spacing w:line="240" w:lineRule="auto"/>
                    <w:ind w:firstLine="0" w:firstLineChars="0"/>
                    <w:jc w:val="center"/>
                    <w:rPr>
                      <w:sz w:val="21"/>
                      <w:szCs w:val="21"/>
                    </w:rPr>
                  </w:pPr>
                  <w:r>
                    <w:rPr>
                      <w:rFonts w:hint="eastAsia"/>
                      <w:sz w:val="21"/>
                      <w:szCs w:val="21"/>
                    </w:rPr>
                    <w:t>40</w:t>
                  </w:r>
                </w:p>
              </w:tc>
            </w:tr>
            <w:tr w14:paraId="5D0C7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6FF9FAF9">
                  <w:pPr>
                    <w:pStyle w:val="59"/>
                    <w:spacing w:line="240" w:lineRule="auto"/>
                    <w:rPr>
                      <w:color w:val="FF0000"/>
                    </w:rPr>
                  </w:pPr>
                </w:p>
              </w:tc>
              <w:tc>
                <w:tcPr>
                  <w:tcW w:w="539" w:type="pct"/>
                  <w:vAlign w:val="center"/>
                </w:tcPr>
                <w:p w14:paraId="641E0D9A">
                  <w:pPr>
                    <w:pStyle w:val="59"/>
                    <w:spacing w:line="240" w:lineRule="auto"/>
                  </w:pPr>
                  <w:r>
                    <w:rPr>
                      <w:rFonts w:hint="eastAsia"/>
                    </w:rPr>
                    <w:t>北侧</w:t>
                  </w:r>
                  <w:r>
                    <w:t>居民点</w:t>
                  </w:r>
                  <w:r>
                    <w:rPr>
                      <w:rFonts w:hint="eastAsia"/>
                    </w:rPr>
                    <w:t>2</w:t>
                  </w:r>
                </w:p>
              </w:tc>
              <w:tc>
                <w:tcPr>
                  <w:tcW w:w="809" w:type="pct"/>
                  <w:vAlign w:val="center"/>
                </w:tcPr>
                <w:p w14:paraId="6FFCC38E">
                  <w:pPr>
                    <w:pStyle w:val="56"/>
                    <w:adjustRightInd w:val="0"/>
                    <w:snapToGrid w:val="0"/>
                    <w:spacing w:line="240" w:lineRule="auto"/>
                    <w:ind w:firstLine="0" w:firstLineChars="0"/>
                    <w:jc w:val="center"/>
                    <w:rPr>
                      <w:sz w:val="21"/>
                      <w:szCs w:val="21"/>
                    </w:rPr>
                  </w:pPr>
                  <w:r>
                    <w:rPr>
                      <w:sz w:val="21"/>
                      <w:szCs w:val="21"/>
                    </w:rPr>
                    <w:t>-83</w:t>
                  </w:r>
                </w:p>
              </w:tc>
              <w:tc>
                <w:tcPr>
                  <w:tcW w:w="717" w:type="pct"/>
                  <w:vAlign w:val="center"/>
                </w:tcPr>
                <w:p w14:paraId="4EE70D08">
                  <w:pPr>
                    <w:pStyle w:val="56"/>
                    <w:adjustRightInd w:val="0"/>
                    <w:snapToGrid w:val="0"/>
                    <w:spacing w:line="240" w:lineRule="auto"/>
                    <w:ind w:firstLine="0" w:firstLineChars="0"/>
                    <w:jc w:val="center"/>
                    <w:rPr>
                      <w:sz w:val="21"/>
                      <w:szCs w:val="21"/>
                    </w:rPr>
                  </w:pPr>
                  <w:r>
                    <w:rPr>
                      <w:rFonts w:hint="eastAsia"/>
                      <w:sz w:val="21"/>
                      <w:szCs w:val="21"/>
                    </w:rPr>
                    <w:t>2</w:t>
                  </w:r>
                  <w:r>
                    <w:rPr>
                      <w:sz w:val="21"/>
                      <w:szCs w:val="21"/>
                    </w:rPr>
                    <w:t>85</w:t>
                  </w:r>
                </w:p>
              </w:tc>
              <w:tc>
                <w:tcPr>
                  <w:tcW w:w="400" w:type="pct"/>
                  <w:vAlign w:val="center"/>
                </w:tcPr>
                <w:p w14:paraId="10EBBBDC">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3E929321">
                  <w:pPr>
                    <w:pStyle w:val="59"/>
                    <w:spacing w:line="240" w:lineRule="auto"/>
                  </w:pPr>
                  <w:r>
                    <w:rPr>
                      <w:rFonts w:hint="eastAsia"/>
                    </w:rPr>
                    <w:t>10</w:t>
                  </w:r>
                  <w:r>
                    <w:t>户</w:t>
                  </w:r>
                </w:p>
                <w:p w14:paraId="18233946">
                  <w:pPr>
                    <w:pStyle w:val="59"/>
                    <w:spacing w:line="240" w:lineRule="auto"/>
                  </w:pPr>
                  <w:r>
                    <w:rPr>
                      <w:rFonts w:hint="eastAsia"/>
                    </w:rPr>
                    <w:t>30</w:t>
                  </w:r>
                  <w:r>
                    <w:t>人</w:t>
                  </w:r>
                </w:p>
              </w:tc>
              <w:tc>
                <w:tcPr>
                  <w:tcW w:w="460" w:type="pct"/>
                  <w:vAlign w:val="center"/>
                </w:tcPr>
                <w:p w14:paraId="1A58F591">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61D18BEC">
                  <w:pPr>
                    <w:pStyle w:val="59"/>
                    <w:spacing w:line="240" w:lineRule="auto"/>
                  </w:pPr>
                  <w:r>
                    <w:rPr>
                      <w:rFonts w:hint="eastAsia"/>
                    </w:rPr>
                    <w:t>北</w:t>
                  </w:r>
                </w:p>
              </w:tc>
              <w:tc>
                <w:tcPr>
                  <w:tcW w:w="646" w:type="pct"/>
                  <w:vAlign w:val="center"/>
                </w:tcPr>
                <w:p w14:paraId="3EF1CB2E">
                  <w:pPr>
                    <w:pStyle w:val="56"/>
                    <w:adjustRightInd w:val="0"/>
                    <w:snapToGrid w:val="0"/>
                    <w:spacing w:line="240" w:lineRule="auto"/>
                    <w:ind w:firstLine="0" w:firstLineChars="0"/>
                    <w:jc w:val="center"/>
                    <w:rPr>
                      <w:sz w:val="21"/>
                      <w:szCs w:val="21"/>
                    </w:rPr>
                  </w:pPr>
                  <w:r>
                    <w:rPr>
                      <w:sz w:val="21"/>
                      <w:szCs w:val="21"/>
                    </w:rPr>
                    <w:t>2</w:t>
                  </w:r>
                  <w:r>
                    <w:rPr>
                      <w:rFonts w:hint="eastAsia"/>
                      <w:sz w:val="21"/>
                      <w:szCs w:val="21"/>
                    </w:rPr>
                    <w:t>35</w:t>
                  </w:r>
                </w:p>
              </w:tc>
            </w:tr>
            <w:tr w14:paraId="37135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41B82D39">
                  <w:pPr>
                    <w:pStyle w:val="59"/>
                    <w:spacing w:line="240" w:lineRule="auto"/>
                    <w:rPr>
                      <w:color w:val="FF0000"/>
                    </w:rPr>
                  </w:pPr>
                </w:p>
              </w:tc>
              <w:tc>
                <w:tcPr>
                  <w:tcW w:w="539" w:type="pct"/>
                  <w:vAlign w:val="center"/>
                </w:tcPr>
                <w:p w14:paraId="51ABCC3B">
                  <w:pPr>
                    <w:pStyle w:val="59"/>
                    <w:spacing w:line="240" w:lineRule="auto"/>
                  </w:pPr>
                  <w:r>
                    <w:rPr>
                      <w:rFonts w:hint="eastAsia"/>
                    </w:rPr>
                    <w:t>东北侧居民点</w:t>
                  </w:r>
                </w:p>
              </w:tc>
              <w:tc>
                <w:tcPr>
                  <w:tcW w:w="809" w:type="pct"/>
                  <w:vAlign w:val="center"/>
                </w:tcPr>
                <w:p w14:paraId="46C6DC2F">
                  <w:pPr>
                    <w:pStyle w:val="56"/>
                    <w:adjustRightInd w:val="0"/>
                    <w:snapToGrid w:val="0"/>
                    <w:spacing w:line="240" w:lineRule="auto"/>
                    <w:ind w:firstLine="0" w:firstLineChars="0"/>
                    <w:jc w:val="center"/>
                    <w:rPr>
                      <w:sz w:val="21"/>
                      <w:szCs w:val="21"/>
                    </w:rPr>
                  </w:pPr>
                  <w:r>
                    <w:rPr>
                      <w:sz w:val="21"/>
                      <w:szCs w:val="21"/>
                    </w:rPr>
                    <w:t>18</w:t>
                  </w:r>
                </w:p>
              </w:tc>
              <w:tc>
                <w:tcPr>
                  <w:tcW w:w="717" w:type="pct"/>
                  <w:vAlign w:val="center"/>
                </w:tcPr>
                <w:p w14:paraId="55F9CE5D">
                  <w:pPr>
                    <w:pStyle w:val="56"/>
                    <w:adjustRightInd w:val="0"/>
                    <w:snapToGrid w:val="0"/>
                    <w:spacing w:line="240" w:lineRule="auto"/>
                    <w:ind w:firstLine="0" w:firstLineChars="0"/>
                    <w:jc w:val="center"/>
                    <w:rPr>
                      <w:sz w:val="21"/>
                      <w:szCs w:val="21"/>
                    </w:rPr>
                  </w:pPr>
                  <w:r>
                    <w:rPr>
                      <w:rFonts w:hint="eastAsia"/>
                      <w:sz w:val="21"/>
                      <w:szCs w:val="21"/>
                    </w:rPr>
                    <w:t>1</w:t>
                  </w:r>
                  <w:r>
                    <w:rPr>
                      <w:sz w:val="21"/>
                      <w:szCs w:val="21"/>
                    </w:rPr>
                    <w:t>79</w:t>
                  </w:r>
                </w:p>
              </w:tc>
              <w:tc>
                <w:tcPr>
                  <w:tcW w:w="400" w:type="pct"/>
                  <w:vAlign w:val="center"/>
                </w:tcPr>
                <w:p w14:paraId="6B6EB713">
                  <w:pPr>
                    <w:pStyle w:val="56"/>
                    <w:adjustRightInd w:val="0"/>
                    <w:snapToGrid w:val="0"/>
                    <w:spacing w:line="240" w:lineRule="auto"/>
                    <w:ind w:firstLine="0" w:firstLineChars="0"/>
                    <w:jc w:val="center"/>
                    <w:rPr>
                      <w:sz w:val="21"/>
                      <w:szCs w:val="21"/>
                    </w:rPr>
                  </w:pPr>
                  <w:r>
                    <w:rPr>
                      <w:rFonts w:hint="eastAsia"/>
                      <w:sz w:val="21"/>
                      <w:szCs w:val="21"/>
                    </w:rPr>
                    <w:t>居民</w:t>
                  </w:r>
                </w:p>
              </w:tc>
              <w:tc>
                <w:tcPr>
                  <w:tcW w:w="557" w:type="pct"/>
                  <w:vAlign w:val="center"/>
                </w:tcPr>
                <w:p w14:paraId="11724652">
                  <w:pPr>
                    <w:pStyle w:val="59"/>
                    <w:spacing w:line="240" w:lineRule="auto"/>
                  </w:pPr>
                  <w:r>
                    <w:rPr>
                      <w:rFonts w:hint="eastAsia"/>
                    </w:rPr>
                    <w:t>6户18人</w:t>
                  </w:r>
                </w:p>
              </w:tc>
              <w:tc>
                <w:tcPr>
                  <w:tcW w:w="460" w:type="pct"/>
                  <w:vAlign w:val="center"/>
                </w:tcPr>
                <w:p w14:paraId="68007959">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753C490F">
                  <w:pPr>
                    <w:pStyle w:val="59"/>
                    <w:spacing w:line="240" w:lineRule="auto"/>
                  </w:pPr>
                  <w:r>
                    <w:rPr>
                      <w:rFonts w:hint="eastAsia"/>
                    </w:rPr>
                    <w:t>东北</w:t>
                  </w:r>
                </w:p>
              </w:tc>
              <w:tc>
                <w:tcPr>
                  <w:tcW w:w="646" w:type="pct"/>
                  <w:vAlign w:val="center"/>
                </w:tcPr>
                <w:p w14:paraId="24CBBCB6">
                  <w:pPr>
                    <w:pStyle w:val="56"/>
                    <w:adjustRightInd w:val="0"/>
                    <w:snapToGrid w:val="0"/>
                    <w:spacing w:line="240" w:lineRule="auto"/>
                    <w:ind w:firstLine="0" w:firstLineChars="0"/>
                    <w:jc w:val="center"/>
                    <w:rPr>
                      <w:sz w:val="21"/>
                      <w:szCs w:val="21"/>
                    </w:rPr>
                  </w:pPr>
                  <w:r>
                    <w:rPr>
                      <w:rFonts w:hint="eastAsia"/>
                      <w:sz w:val="21"/>
                      <w:szCs w:val="21"/>
                    </w:rPr>
                    <w:t>155</w:t>
                  </w:r>
                </w:p>
              </w:tc>
            </w:tr>
            <w:tr w14:paraId="46F5F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07DAB1AE">
                  <w:pPr>
                    <w:pStyle w:val="59"/>
                    <w:spacing w:line="240" w:lineRule="auto"/>
                    <w:rPr>
                      <w:color w:val="FF0000"/>
                    </w:rPr>
                  </w:pPr>
                </w:p>
              </w:tc>
              <w:tc>
                <w:tcPr>
                  <w:tcW w:w="539" w:type="pct"/>
                  <w:vAlign w:val="center"/>
                </w:tcPr>
                <w:p w14:paraId="6BDF09F2">
                  <w:pPr>
                    <w:pStyle w:val="59"/>
                    <w:spacing w:line="240" w:lineRule="auto"/>
                  </w:pPr>
                  <w:r>
                    <w:rPr>
                      <w:rFonts w:hint="eastAsia"/>
                    </w:rPr>
                    <w:t>杨家台</w:t>
                  </w:r>
                </w:p>
              </w:tc>
              <w:tc>
                <w:tcPr>
                  <w:tcW w:w="809" w:type="pct"/>
                  <w:vAlign w:val="center"/>
                </w:tcPr>
                <w:p w14:paraId="668D696B">
                  <w:pPr>
                    <w:pStyle w:val="56"/>
                    <w:adjustRightInd w:val="0"/>
                    <w:snapToGrid w:val="0"/>
                    <w:spacing w:line="240" w:lineRule="auto"/>
                    <w:ind w:firstLine="0" w:firstLineChars="0"/>
                    <w:jc w:val="center"/>
                    <w:rPr>
                      <w:sz w:val="21"/>
                      <w:szCs w:val="21"/>
                    </w:rPr>
                  </w:pPr>
                  <w:r>
                    <w:rPr>
                      <w:rFonts w:hint="eastAsia"/>
                      <w:sz w:val="21"/>
                      <w:szCs w:val="21"/>
                    </w:rPr>
                    <w:t>10</w:t>
                  </w:r>
                  <w:r>
                    <w:rPr>
                      <w:sz w:val="21"/>
                      <w:szCs w:val="21"/>
                    </w:rPr>
                    <w:t>8</w:t>
                  </w:r>
                </w:p>
              </w:tc>
              <w:tc>
                <w:tcPr>
                  <w:tcW w:w="717" w:type="pct"/>
                  <w:vAlign w:val="center"/>
                </w:tcPr>
                <w:p w14:paraId="5A122C46">
                  <w:pPr>
                    <w:pStyle w:val="56"/>
                    <w:adjustRightInd w:val="0"/>
                    <w:snapToGrid w:val="0"/>
                    <w:spacing w:line="240" w:lineRule="auto"/>
                    <w:ind w:firstLine="0" w:firstLineChars="0"/>
                    <w:jc w:val="center"/>
                    <w:rPr>
                      <w:sz w:val="21"/>
                      <w:szCs w:val="21"/>
                    </w:rPr>
                  </w:pPr>
                  <w:r>
                    <w:rPr>
                      <w:rFonts w:hint="eastAsia"/>
                      <w:sz w:val="21"/>
                      <w:szCs w:val="21"/>
                    </w:rPr>
                    <w:t>7</w:t>
                  </w:r>
                  <w:r>
                    <w:rPr>
                      <w:sz w:val="21"/>
                      <w:szCs w:val="21"/>
                    </w:rPr>
                    <w:t>9</w:t>
                  </w:r>
                </w:p>
              </w:tc>
              <w:tc>
                <w:tcPr>
                  <w:tcW w:w="400" w:type="pct"/>
                  <w:vAlign w:val="center"/>
                </w:tcPr>
                <w:p w14:paraId="063963AF">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62B1D36A">
                  <w:pPr>
                    <w:pStyle w:val="59"/>
                    <w:spacing w:line="240" w:lineRule="auto"/>
                  </w:pPr>
                  <w:r>
                    <w:rPr>
                      <w:rFonts w:hint="eastAsia"/>
                    </w:rPr>
                    <w:t>20户60人</w:t>
                  </w:r>
                </w:p>
              </w:tc>
              <w:tc>
                <w:tcPr>
                  <w:tcW w:w="460" w:type="pct"/>
                  <w:vAlign w:val="center"/>
                </w:tcPr>
                <w:p w14:paraId="5B08751A">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6E81605A">
                  <w:pPr>
                    <w:pStyle w:val="59"/>
                    <w:spacing w:line="240" w:lineRule="auto"/>
                  </w:pPr>
                  <w:r>
                    <w:rPr>
                      <w:rFonts w:hint="eastAsia"/>
                    </w:rPr>
                    <w:t>东</w:t>
                  </w:r>
                </w:p>
              </w:tc>
              <w:tc>
                <w:tcPr>
                  <w:tcW w:w="646" w:type="pct"/>
                  <w:vAlign w:val="center"/>
                </w:tcPr>
                <w:p w14:paraId="745A4AD6">
                  <w:pPr>
                    <w:pStyle w:val="56"/>
                    <w:adjustRightInd w:val="0"/>
                    <w:snapToGrid w:val="0"/>
                    <w:spacing w:line="240" w:lineRule="auto"/>
                    <w:ind w:firstLine="0" w:firstLineChars="0"/>
                    <w:jc w:val="center"/>
                    <w:rPr>
                      <w:sz w:val="21"/>
                      <w:szCs w:val="21"/>
                    </w:rPr>
                  </w:pPr>
                  <w:r>
                    <w:rPr>
                      <w:rFonts w:hint="eastAsia"/>
                      <w:sz w:val="21"/>
                      <w:szCs w:val="21"/>
                    </w:rPr>
                    <w:t>90</w:t>
                  </w:r>
                </w:p>
              </w:tc>
            </w:tr>
            <w:tr w14:paraId="7C2E5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1DFCCE7F">
                  <w:pPr>
                    <w:pStyle w:val="59"/>
                    <w:spacing w:line="240" w:lineRule="auto"/>
                    <w:rPr>
                      <w:color w:val="FF0000"/>
                    </w:rPr>
                  </w:pPr>
                </w:p>
              </w:tc>
              <w:tc>
                <w:tcPr>
                  <w:tcW w:w="539" w:type="pct"/>
                  <w:vAlign w:val="center"/>
                </w:tcPr>
                <w:p w14:paraId="068A9058">
                  <w:pPr>
                    <w:pStyle w:val="59"/>
                    <w:spacing w:line="240" w:lineRule="auto"/>
                  </w:pPr>
                  <w:r>
                    <w:rPr>
                      <w:rFonts w:hint="eastAsia"/>
                    </w:rPr>
                    <w:t>南侧居民点</w:t>
                  </w:r>
                </w:p>
              </w:tc>
              <w:tc>
                <w:tcPr>
                  <w:tcW w:w="809" w:type="pct"/>
                  <w:vAlign w:val="center"/>
                </w:tcPr>
                <w:p w14:paraId="0CD027E9">
                  <w:pPr>
                    <w:pStyle w:val="56"/>
                    <w:adjustRightInd w:val="0"/>
                    <w:snapToGrid w:val="0"/>
                    <w:spacing w:line="240" w:lineRule="auto"/>
                    <w:ind w:firstLine="0" w:firstLineChars="0"/>
                    <w:jc w:val="center"/>
                    <w:rPr>
                      <w:sz w:val="21"/>
                      <w:szCs w:val="21"/>
                    </w:rPr>
                  </w:pPr>
                  <w:r>
                    <w:rPr>
                      <w:rFonts w:hint="eastAsia"/>
                      <w:sz w:val="21"/>
                      <w:szCs w:val="21"/>
                    </w:rPr>
                    <w:t>4</w:t>
                  </w:r>
                  <w:r>
                    <w:rPr>
                      <w:sz w:val="21"/>
                      <w:szCs w:val="21"/>
                    </w:rPr>
                    <w:t>7</w:t>
                  </w:r>
                </w:p>
              </w:tc>
              <w:tc>
                <w:tcPr>
                  <w:tcW w:w="717" w:type="pct"/>
                  <w:vAlign w:val="center"/>
                </w:tcPr>
                <w:p w14:paraId="2897C201">
                  <w:pPr>
                    <w:pStyle w:val="56"/>
                    <w:adjustRightInd w:val="0"/>
                    <w:snapToGrid w:val="0"/>
                    <w:spacing w:line="240" w:lineRule="auto"/>
                    <w:ind w:firstLine="0" w:firstLineChars="0"/>
                    <w:jc w:val="center"/>
                    <w:rPr>
                      <w:sz w:val="21"/>
                      <w:szCs w:val="21"/>
                    </w:rPr>
                  </w:pPr>
                  <w:r>
                    <w:rPr>
                      <w:rFonts w:hint="eastAsia"/>
                      <w:sz w:val="21"/>
                      <w:szCs w:val="21"/>
                    </w:rPr>
                    <w:t>-1</w:t>
                  </w:r>
                  <w:r>
                    <w:rPr>
                      <w:sz w:val="21"/>
                      <w:szCs w:val="21"/>
                    </w:rPr>
                    <w:t>7</w:t>
                  </w:r>
                </w:p>
              </w:tc>
              <w:tc>
                <w:tcPr>
                  <w:tcW w:w="400" w:type="pct"/>
                  <w:vAlign w:val="center"/>
                </w:tcPr>
                <w:p w14:paraId="60FA6838">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017D0D9B">
                  <w:pPr>
                    <w:pStyle w:val="59"/>
                    <w:spacing w:line="240" w:lineRule="auto"/>
                  </w:pPr>
                  <w:r>
                    <w:rPr>
                      <w:rFonts w:hint="eastAsia"/>
                    </w:rPr>
                    <w:t>5户16人</w:t>
                  </w:r>
                </w:p>
              </w:tc>
              <w:tc>
                <w:tcPr>
                  <w:tcW w:w="460" w:type="pct"/>
                  <w:vAlign w:val="center"/>
                </w:tcPr>
                <w:p w14:paraId="357F9DF2">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7BDB0DF3">
                  <w:pPr>
                    <w:pStyle w:val="59"/>
                    <w:spacing w:line="240" w:lineRule="auto"/>
                  </w:pPr>
                  <w:r>
                    <w:rPr>
                      <w:rFonts w:hint="eastAsia"/>
                    </w:rPr>
                    <w:t>南</w:t>
                  </w:r>
                </w:p>
              </w:tc>
              <w:tc>
                <w:tcPr>
                  <w:tcW w:w="646" w:type="pct"/>
                  <w:vAlign w:val="center"/>
                </w:tcPr>
                <w:p w14:paraId="1DB3220F">
                  <w:pPr>
                    <w:pStyle w:val="56"/>
                    <w:adjustRightInd w:val="0"/>
                    <w:snapToGrid w:val="0"/>
                    <w:spacing w:line="240" w:lineRule="auto"/>
                    <w:ind w:firstLine="0" w:firstLineChars="0"/>
                    <w:jc w:val="center"/>
                    <w:rPr>
                      <w:sz w:val="21"/>
                      <w:szCs w:val="21"/>
                    </w:rPr>
                  </w:pPr>
                  <w:r>
                    <w:rPr>
                      <w:rFonts w:hint="eastAsia"/>
                      <w:sz w:val="21"/>
                      <w:szCs w:val="21"/>
                    </w:rPr>
                    <w:t>30</w:t>
                  </w:r>
                </w:p>
              </w:tc>
            </w:tr>
            <w:tr w14:paraId="2A584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354" w:type="pct"/>
                  <w:vMerge w:val="continue"/>
                  <w:vAlign w:val="center"/>
                </w:tcPr>
                <w:p w14:paraId="5A2D906B">
                  <w:pPr>
                    <w:pStyle w:val="59"/>
                    <w:spacing w:line="240" w:lineRule="auto"/>
                    <w:rPr>
                      <w:color w:val="FF0000"/>
                    </w:rPr>
                  </w:pPr>
                </w:p>
              </w:tc>
              <w:tc>
                <w:tcPr>
                  <w:tcW w:w="539" w:type="pct"/>
                  <w:vAlign w:val="center"/>
                </w:tcPr>
                <w:p w14:paraId="210A3ABB">
                  <w:pPr>
                    <w:pStyle w:val="59"/>
                    <w:spacing w:line="240" w:lineRule="auto"/>
                  </w:pPr>
                  <w:r>
                    <w:rPr>
                      <w:rFonts w:hint="eastAsia"/>
                    </w:rPr>
                    <w:t>湘衡村</w:t>
                  </w:r>
                </w:p>
              </w:tc>
              <w:tc>
                <w:tcPr>
                  <w:tcW w:w="809" w:type="pct"/>
                  <w:vAlign w:val="center"/>
                </w:tcPr>
                <w:p w14:paraId="207BD3F4">
                  <w:pPr>
                    <w:pStyle w:val="56"/>
                    <w:adjustRightInd w:val="0"/>
                    <w:snapToGrid w:val="0"/>
                    <w:spacing w:line="240" w:lineRule="auto"/>
                    <w:ind w:firstLine="0" w:firstLineChars="0"/>
                    <w:jc w:val="center"/>
                    <w:rPr>
                      <w:sz w:val="21"/>
                      <w:szCs w:val="21"/>
                    </w:rPr>
                  </w:pPr>
                  <w:r>
                    <w:rPr>
                      <w:rFonts w:hint="eastAsia"/>
                      <w:sz w:val="21"/>
                      <w:szCs w:val="21"/>
                    </w:rPr>
                    <w:t>-278</w:t>
                  </w:r>
                </w:p>
              </w:tc>
              <w:tc>
                <w:tcPr>
                  <w:tcW w:w="717" w:type="pct"/>
                  <w:vAlign w:val="center"/>
                </w:tcPr>
                <w:p w14:paraId="497EFE13">
                  <w:pPr>
                    <w:pStyle w:val="56"/>
                    <w:adjustRightInd w:val="0"/>
                    <w:snapToGrid w:val="0"/>
                    <w:spacing w:line="240" w:lineRule="auto"/>
                    <w:ind w:firstLine="0" w:firstLineChars="0"/>
                    <w:jc w:val="center"/>
                    <w:rPr>
                      <w:sz w:val="21"/>
                      <w:szCs w:val="21"/>
                    </w:rPr>
                  </w:pPr>
                  <w:r>
                    <w:rPr>
                      <w:rFonts w:hint="eastAsia"/>
                      <w:sz w:val="21"/>
                      <w:szCs w:val="21"/>
                    </w:rPr>
                    <w:t>-199</w:t>
                  </w:r>
                </w:p>
              </w:tc>
              <w:tc>
                <w:tcPr>
                  <w:tcW w:w="400" w:type="pct"/>
                  <w:vAlign w:val="center"/>
                </w:tcPr>
                <w:p w14:paraId="27E5EEDA">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3B08F3C4">
                  <w:pPr>
                    <w:pStyle w:val="59"/>
                    <w:spacing w:line="240" w:lineRule="auto"/>
                  </w:pPr>
                  <w:r>
                    <w:rPr>
                      <w:rFonts w:hint="eastAsia"/>
                    </w:rPr>
                    <w:t>18户56人</w:t>
                  </w:r>
                </w:p>
              </w:tc>
              <w:tc>
                <w:tcPr>
                  <w:tcW w:w="460" w:type="pct"/>
                  <w:vAlign w:val="center"/>
                </w:tcPr>
                <w:p w14:paraId="617C867C">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01402C8D">
                  <w:pPr>
                    <w:pStyle w:val="59"/>
                    <w:spacing w:line="240" w:lineRule="auto"/>
                  </w:pPr>
                  <w:r>
                    <w:rPr>
                      <w:rFonts w:hint="eastAsia"/>
                    </w:rPr>
                    <w:t>西南</w:t>
                  </w:r>
                </w:p>
              </w:tc>
              <w:tc>
                <w:tcPr>
                  <w:tcW w:w="646" w:type="pct"/>
                  <w:vAlign w:val="center"/>
                </w:tcPr>
                <w:p w14:paraId="15F9C71C">
                  <w:pPr>
                    <w:pStyle w:val="56"/>
                    <w:adjustRightInd w:val="0"/>
                    <w:snapToGrid w:val="0"/>
                    <w:spacing w:line="240" w:lineRule="auto"/>
                    <w:ind w:firstLine="0" w:firstLineChars="0"/>
                    <w:jc w:val="center"/>
                    <w:rPr>
                      <w:sz w:val="21"/>
                      <w:szCs w:val="21"/>
                    </w:rPr>
                  </w:pPr>
                  <w:r>
                    <w:rPr>
                      <w:rFonts w:hint="eastAsia"/>
                      <w:sz w:val="21"/>
                      <w:szCs w:val="21"/>
                    </w:rPr>
                    <w:t>435</w:t>
                  </w:r>
                </w:p>
              </w:tc>
            </w:tr>
            <w:tr w14:paraId="16709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7C754674">
                  <w:pPr>
                    <w:pStyle w:val="59"/>
                    <w:spacing w:line="240" w:lineRule="auto"/>
                    <w:rPr>
                      <w:color w:val="FF0000"/>
                    </w:rPr>
                  </w:pPr>
                </w:p>
              </w:tc>
              <w:tc>
                <w:tcPr>
                  <w:tcW w:w="539" w:type="pct"/>
                  <w:vAlign w:val="center"/>
                </w:tcPr>
                <w:p w14:paraId="3A1CBF43">
                  <w:pPr>
                    <w:pStyle w:val="59"/>
                    <w:spacing w:line="240" w:lineRule="auto"/>
                  </w:pPr>
                  <w:r>
                    <w:rPr>
                      <w:rFonts w:hint="eastAsia"/>
                    </w:rPr>
                    <w:t>敬老院</w:t>
                  </w:r>
                </w:p>
              </w:tc>
              <w:tc>
                <w:tcPr>
                  <w:tcW w:w="809" w:type="pct"/>
                  <w:vAlign w:val="center"/>
                </w:tcPr>
                <w:p w14:paraId="7BE22F33">
                  <w:pPr>
                    <w:pStyle w:val="56"/>
                    <w:adjustRightInd w:val="0"/>
                    <w:snapToGrid w:val="0"/>
                    <w:spacing w:line="240" w:lineRule="auto"/>
                    <w:ind w:firstLine="0" w:firstLineChars="0"/>
                    <w:jc w:val="center"/>
                    <w:rPr>
                      <w:sz w:val="21"/>
                      <w:szCs w:val="21"/>
                    </w:rPr>
                  </w:pPr>
                  <w:r>
                    <w:rPr>
                      <w:rFonts w:hint="eastAsia"/>
                      <w:sz w:val="21"/>
                      <w:szCs w:val="21"/>
                    </w:rPr>
                    <w:t>-1</w:t>
                  </w:r>
                  <w:r>
                    <w:rPr>
                      <w:sz w:val="21"/>
                      <w:szCs w:val="21"/>
                    </w:rPr>
                    <w:t>9</w:t>
                  </w:r>
                </w:p>
              </w:tc>
              <w:tc>
                <w:tcPr>
                  <w:tcW w:w="717" w:type="pct"/>
                  <w:vAlign w:val="center"/>
                </w:tcPr>
                <w:p w14:paraId="2F39AAC5">
                  <w:pPr>
                    <w:pStyle w:val="56"/>
                    <w:adjustRightInd w:val="0"/>
                    <w:snapToGrid w:val="0"/>
                    <w:spacing w:line="240" w:lineRule="auto"/>
                    <w:ind w:firstLine="0" w:firstLineChars="0"/>
                    <w:jc w:val="center"/>
                    <w:rPr>
                      <w:sz w:val="21"/>
                      <w:szCs w:val="21"/>
                    </w:rPr>
                  </w:pPr>
                  <w:r>
                    <w:rPr>
                      <w:rFonts w:hint="eastAsia"/>
                      <w:sz w:val="21"/>
                      <w:szCs w:val="21"/>
                    </w:rPr>
                    <w:t>-13</w:t>
                  </w:r>
                </w:p>
              </w:tc>
              <w:tc>
                <w:tcPr>
                  <w:tcW w:w="400" w:type="pct"/>
                  <w:vAlign w:val="center"/>
                </w:tcPr>
                <w:p w14:paraId="52590921">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2EF38AF5">
                  <w:pPr>
                    <w:pStyle w:val="59"/>
                    <w:spacing w:line="240" w:lineRule="auto"/>
                  </w:pPr>
                  <w:r>
                    <w:rPr>
                      <w:rFonts w:hint="eastAsia"/>
                    </w:rPr>
                    <w:t>60</w:t>
                  </w:r>
                  <w:r>
                    <w:t>人</w:t>
                  </w:r>
                </w:p>
              </w:tc>
              <w:tc>
                <w:tcPr>
                  <w:tcW w:w="460" w:type="pct"/>
                  <w:vAlign w:val="center"/>
                </w:tcPr>
                <w:p w14:paraId="5026A0EF">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74F8D90C">
                  <w:pPr>
                    <w:pStyle w:val="59"/>
                    <w:spacing w:line="240" w:lineRule="auto"/>
                  </w:pPr>
                  <w:r>
                    <w:rPr>
                      <w:rFonts w:hint="eastAsia"/>
                    </w:rPr>
                    <w:t>西南</w:t>
                  </w:r>
                </w:p>
              </w:tc>
              <w:tc>
                <w:tcPr>
                  <w:tcW w:w="646" w:type="pct"/>
                  <w:vAlign w:val="center"/>
                </w:tcPr>
                <w:p w14:paraId="09AB949A">
                  <w:pPr>
                    <w:pStyle w:val="56"/>
                    <w:adjustRightInd w:val="0"/>
                    <w:snapToGrid w:val="0"/>
                    <w:spacing w:line="240" w:lineRule="auto"/>
                    <w:ind w:firstLine="0" w:firstLineChars="0"/>
                    <w:jc w:val="center"/>
                    <w:rPr>
                      <w:sz w:val="21"/>
                      <w:szCs w:val="21"/>
                    </w:rPr>
                  </w:pPr>
                  <w:r>
                    <w:rPr>
                      <w:rFonts w:hint="eastAsia"/>
                      <w:sz w:val="21"/>
                      <w:szCs w:val="21"/>
                    </w:rPr>
                    <w:t>3</w:t>
                  </w:r>
                  <w:r>
                    <w:rPr>
                      <w:sz w:val="21"/>
                      <w:szCs w:val="21"/>
                    </w:rPr>
                    <w:t>8</w:t>
                  </w:r>
                </w:p>
              </w:tc>
            </w:tr>
            <w:tr w14:paraId="22BC5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restart"/>
                  <w:vAlign w:val="center"/>
                </w:tcPr>
                <w:p w14:paraId="2B9617CB">
                  <w:pPr>
                    <w:pStyle w:val="59"/>
                    <w:spacing w:line="240" w:lineRule="auto"/>
                    <w:rPr>
                      <w:color w:val="FF0000"/>
                    </w:rPr>
                  </w:pPr>
                  <w:r>
                    <w:rPr>
                      <w:rFonts w:hint="eastAsia"/>
                      <w:color w:val="000000" w:themeColor="text1"/>
                      <w14:textFill>
                        <w14:solidFill>
                          <w14:schemeClr w14:val="tx1"/>
                        </w14:solidFill>
                      </w14:textFill>
                    </w:rPr>
                    <w:t>声环境</w:t>
                  </w:r>
                </w:p>
              </w:tc>
              <w:tc>
                <w:tcPr>
                  <w:tcW w:w="539" w:type="pct"/>
                  <w:vAlign w:val="center"/>
                </w:tcPr>
                <w:p w14:paraId="381B8AA2">
                  <w:pPr>
                    <w:pStyle w:val="59"/>
                    <w:spacing w:line="240" w:lineRule="auto"/>
                  </w:pPr>
                  <w:r>
                    <w:rPr>
                      <w:rFonts w:hint="eastAsia"/>
                    </w:rPr>
                    <w:t>北侧</w:t>
                  </w:r>
                  <w:r>
                    <w:t>居民点</w:t>
                  </w:r>
                </w:p>
              </w:tc>
              <w:tc>
                <w:tcPr>
                  <w:tcW w:w="809" w:type="pct"/>
                  <w:vAlign w:val="center"/>
                </w:tcPr>
                <w:p w14:paraId="13A2320F">
                  <w:pPr>
                    <w:pStyle w:val="56"/>
                    <w:adjustRightInd w:val="0"/>
                    <w:snapToGrid w:val="0"/>
                    <w:spacing w:line="240" w:lineRule="auto"/>
                    <w:ind w:firstLine="0" w:firstLineChars="0"/>
                    <w:jc w:val="center"/>
                    <w:rPr>
                      <w:sz w:val="21"/>
                      <w:szCs w:val="21"/>
                    </w:rPr>
                  </w:pPr>
                  <w:r>
                    <w:rPr>
                      <w:sz w:val="21"/>
                      <w:szCs w:val="21"/>
                    </w:rPr>
                    <w:t>-58</w:t>
                  </w:r>
                </w:p>
              </w:tc>
              <w:tc>
                <w:tcPr>
                  <w:tcW w:w="717" w:type="pct"/>
                  <w:vAlign w:val="center"/>
                </w:tcPr>
                <w:p w14:paraId="50672EAF">
                  <w:pPr>
                    <w:pStyle w:val="56"/>
                    <w:adjustRightInd w:val="0"/>
                    <w:snapToGrid w:val="0"/>
                    <w:spacing w:line="240" w:lineRule="auto"/>
                    <w:ind w:firstLine="0" w:firstLineChars="0"/>
                    <w:jc w:val="center"/>
                    <w:rPr>
                      <w:sz w:val="21"/>
                      <w:szCs w:val="21"/>
                    </w:rPr>
                  </w:pPr>
                  <w:r>
                    <w:rPr>
                      <w:rFonts w:hint="eastAsia"/>
                      <w:sz w:val="21"/>
                      <w:szCs w:val="21"/>
                    </w:rPr>
                    <w:t>6</w:t>
                  </w:r>
                  <w:r>
                    <w:rPr>
                      <w:sz w:val="21"/>
                      <w:szCs w:val="21"/>
                    </w:rPr>
                    <w:t>4</w:t>
                  </w:r>
                </w:p>
              </w:tc>
              <w:tc>
                <w:tcPr>
                  <w:tcW w:w="400" w:type="pct"/>
                  <w:vAlign w:val="center"/>
                </w:tcPr>
                <w:p w14:paraId="2176C31F">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4B620C91">
                  <w:pPr>
                    <w:pStyle w:val="59"/>
                    <w:spacing w:line="240" w:lineRule="auto"/>
                  </w:pPr>
                  <w:r>
                    <w:rPr>
                      <w:rFonts w:hint="eastAsia"/>
                    </w:rPr>
                    <w:t>8</w:t>
                  </w:r>
                  <w:r>
                    <w:t>户</w:t>
                  </w:r>
                </w:p>
                <w:p w14:paraId="6428440B">
                  <w:pPr>
                    <w:pStyle w:val="59"/>
                    <w:spacing w:line="240" w:lineRule="auto"/>
                  </w:pPr>
                  <w:r>
                    <w:rPr>
                      <w:rFonts w:hint="eastAsia"/>
                    </w:rPr>
                    <w:t>3</w:t>
                  </w:r>
                  <w:r>
                    <w:t>2人</w:t>
                  </w:r>
                </w:p>
              </w:tc>
              <w:tc>
                <w:tcPr>
                  <w:tcW w:w="460" w:type="pct"/>
                  <w:vAlign w:val="center"/>
                </w:tcPr>
                <w:p w14:paraId="77C73448">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302DA9A4">
                  <w:pPr>
                    <w:pStyle w:val="59"/>
                    <w:spacing w:line="240" w:lineRule="auto"/>
                  </w:pPr>
                  <w:r>
                    <w:rPr>
                      <w:rFonts w:hint="eastAsia"/>
                    </w:rPr>
                    <w:t>北</w:t>
                  </w:r>
                </w:p>
              </w:tc>
              <w:tc>
                <w:tcPr>
                  <w:tcW w:w="646" w:type="pct"/>
                  <w:vAlign w:val="center"/>
                </w:tcPr>
                <w:p w14:paraId="62D1B93D">
                  <w:pPr>
                    <w:pStyle w:val="56"/>
                    <w:adjustRightInd w:val="0"/>
                    <w:snapToGrid w:val="0"/>
                    <w:spacing w:line="240" w:lineRule="auto"/>
                    <w:ind w:firstLine="0" w:firstLineChars="0"/>
                    <w:jc w:val="center"/>
                    <w:rPr>
                      <w:sz w:val="21"/>
                      <w:szCs w:val="21"/>
                    </w:rPr>
                  </w:pPr>
                  <w:r>
                    <w:rPr>
                      <w:rFonts w:hint="eastAsia"/>
                      <w:sz w:val="21"/>
                      <w:szCs w:val="21"/>
                    </w:rPr>
                    <w:t>40</w:t>
                  </w:r>
                </w:p>
              </w:tc>
            </w:tr>
            <w:tr w14:paraId="43653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Merge w:val="continue"/>
                  <w:vAlign w:val="center"/>
                </w:tcPr>
                <w:p w14:paraId="1EB6813D">
                  <w:pPr>
                    <w:pStyle w:val="59"/>
                    <w:spacing w:line="240" w:lineRule="auto"/>
                    <w:rPr>
                      <w:color w:val="FF0000"/>
                    </w:rPr>
                  </w:pPr>
                </w:p>
              </w:tc>
              <w:tc>
                <w:tcPr>
                  <w:tcW w:w="539" w:type="pct"/>
                  <w:vAlign w:val="center"/>
                </w:tcPr>
                <w:p w14:paraId="5A88B4A2">
                  <w:pPr>
                    <w:pStyle w:val="59"/>
                    <w:spacing w:line="240" w:lineRule="auto"/>
                  </w:pPr>
                  <w:r>
                    <w:rPr>
                      <w:rFonts w:hint="eastAsia"/>
                    </w:rPr>
                    <w:t>南侧居民点</w:t>
                  </w:r>
                </w:p>
              </w:tc>
              <w:tc>
                <w:tcPr>
                  <w:tcW w:w="809" w:type="pct"/>
                  <w:vAlign w:val="center"/>
                </w:tcPr>
                <w:p w14:paraId="4986A2E3">
                  <w:pPr>
                    <w:pStyle w:val="56"/>
                    <w:adjustRightInd w:val="0"/>
                    <w:snapToGrid w:val="0"/>
                    <w:spacing w:line="240" w:lineRule="auto"/>
                    <w:ind w:firstLine="0" w:firstLineChars="0"/>
                    <w:jc w:val="center"/>
                    <w:rPr>
                      <w:sz w:val="21"/>
                      <w:szCs w:val="21"/>
                    </w:rPr>
                  </w:pPr>
                  <w:r>
                    <w:rPr>
                      <w:rFonts w:hint="eastAsia"/>
                      <w:sz w:val="21"/>
                      <w:szCs w:val="21"/>
                    </w:rPr>
                    <w:t>4</w:t>
                  </w:r>
                  <w:r>
                    <w:rPr>
                      <w:sz w:val="21"/>
                      <w:szCs w:val="21"/>
                    </w:rPr>
                    <w:t>7</w:t>
                  </w:r>
                </w:p>
              </w:tc>
              <w:tc>
                <w:tcPr>
                  <w:tcW w:w="717" w:type="pct"/>
                  <w:vAlign w:val="center"/>
                </w:tcPr>
                <w:p w14:paraId="4D23B7DB">
                  <w:pPr>
                    <w:pStyle w:val="56"/>
                    <w:adjustRightInd w:val="0"/>
                    <w:snapToGrid w:val="0"/>
                    <w:spacing w:line="240" w:lineRule="auto"/>
                    <w:ind w:firstLine="0" w:firstLineChars="0"/>
                    <w:jc w:val="center"/>
                    <w:rPr>
                      <w:sz w:val="21"/>
                      <w:szCs w:val="21"/>
                    </w:rPr>
                  </w:pPr>
                  <w:r>
                    <w:rPr>
                      <w:rFonts w:hint="eastAsia"/>
                      <w:sz w:val="21"/>
                      <w:szCs w:val="21"/>
                    </w:rPr>
                    <w:t>-1</w:t>
                  </w:r>
                  <w:r>
                    <w:rPr>
                      <w:sz w:val="21"/>
                      <w:szCs w:val="21"/>
                    </w:rPr>
                    <w:t>7</w:t>
                  </w:r>
                </w:p>
              </w:tc>
              <w:tc>
                <w:tcPr>
                  <w:tcW w:w="400" w:type="pct"/>
                  <w:vAlign w:val="center"/>
                </w:tcPr>
                <w:p w14:paraId="6E511AC8">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387D5CC6">
                  <w:pPr>
                    <w:pStyle w:val="59"/>
                    <w:spacing w:line="240" w:lineRule="auto"/>
                  </w:pPr>
                  <w:r>
                    <w:rPr>
                      <w:rFonts w:hint="eastAsia"/>
                    </w:rPr>
                    <w:t>5户16人</w:t>
                  </w:r>
                </w:p>
              </w:tc>
              <w:tc>
                <w:tcPr>
                  <w:tcW w:w="460" w:type="pct"/>
                  <w:vAlign w:val="center"/>
                </w:tcPr>
                <w:p w14:paraId="3C5CE3FC">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52A2FC09">
                  <w:pPr>
                    <w:pStyle w:val="59"/>
                    <w:spacing w:line="240" w:lineRule="auto"/>
                  </w:pPr>
                  <w:r>
                    <w:rPr>
                      <w:rFonts w:hint="eastAsia"/>
                    </w:rPr>
                    <w:t>南</w:t>
                  </w:r>
                </w:p>
              </w:tc>
              <w:tc>
                <w:tcPr>
                  <w:tcW w:w="646" w:type="pct"/>
                  <w:vAlign w:val="center"/>
                </w:tcPr>
                <w:p w14:paraId="51ABB5AB">
                  <w:pPr>
                    <w:pStyle w:val="56"/>
                    <w:adjustRightInd w:val="0"/>
                    <w:snapToGrid w:val="0"/>
                    <w:spacing w:line="240" w:lineRule="auto"/>
                    <w:ind w:firstLine="0" w:firstLineChars="0"/>
                    <w:jc w:val="center"/>
                    <w:rPr>
                      <w:sz w:val="21"/>
                      <w:szCs w:val="21"/>
                    </w:rPr>
                  </w:pPr>
                  <w:r>
                    <w:rPr>
                      <w:rFonts w:hint="eastAsia"/>
                      <w:sz w:val="21"/>
                      <w:szCs w:val="21"/>
                    </w:rPr>
                    <w:t>30</w:t>
                  </w:r>
                </w:p>
              </w:tc>
            </w:tr>
            <w:tr w14:paraId="7097F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354" w:type="pct"/>
                  <w:vMerge w:val="continue"/>
                  <w:vAlign w:val="center"/>
                </w:tcPr>
                <w:p w14:paraId="0624E225">
                  <w:pPr>
                    <w:pStyle w:val="59"/>
                    <w:spacing w:line="240" w:lineRule="auto"/>
                    <w:rPr>
                      <w:color w:val="FF0000"/>
                    </w:rPr>
                  </w:pPr>
                </w:p>
              </w:tc>
              <w:tc>
                <w:tcPr>
                  <w:tcW w:w="539" w:type="pct"/>
                  <w:vAlign w:val="center"/>
                </w:tcPr>
                <w:p w14:paraId="50044955">
                  <w:pPr>
                    <w:pStyle w:val="59"/>
                    <w:spacing w:line="240" w:lineRule="auto"/>
                  </w:pPr>
                  <w:r>
                    <w:rPr>
                      <w:rFonts w:hint="eastAsia"/>
                    </w:rPr>
                    <w:t>敬老院</w:t>
                  </w:r>
                </w:p>
              </w:tc>
              <w:tc>
                <w:tcPr>
                  <w:tcW w:w="809" w:type="pct"/>
                  <w:vAlign w:val="center"/>
                </w:tcPr>
                <w:p w14:paraId="4F7E1BF1">
                  <w:pPr>
                    <w:pStyle w:val="56"/>
                    <w:adjustRightInd w:val="0"/>
                    <w:snapToGrid w:val="0"/>
                    <w:spacing w:line="240" w:lineRule="auto"/>
                    <w:ind w:firstLine="0" w:firstLineChars="0"/>
                    <w:jc w:val="center"/>
                    <w:rPr>
                      <w:sz w:val="21"/>
                      <w:szCs w:val="21"/>
                    </w:rPr>
                  </w:pPr>
                  <w:r>
                    <w:rPr>
                      <w:rFonts w:hint="eastAsia"/>
                      <w:sz w:val="21"/>
                      <w:szCs w:val="21"/>
                    </w:rPr>
                    <w:t>-1</w:t>
                  </w:r>
                  <w:r>
                    <w:rPr>
                      <w:sz w:val="21"/>
                      <w:szCs w:val="21"/>
                    </w:rPr>
                    <w:t>9</w:t>
                  </w:r>
                </w:p>
              </w:tc>
              <w:tc>
                <w:tcPr>
                  <w:tcW w:w="717" w:type="pct"/>
                  <w:vAlign w:val="center"/>
                </w:tcPr>
                <w:p w14:paraId="3402D321">
                  <w:pPr>
                    <w:pStyle w:val="56"/>
                    <w:adjustRightInd w:val="0"/>
                    <w:snapToGrid w:val="0"/>
                    <w:spacing w:line="240" w:lineRule="auto"/>
                    <w:ind w:firstLine="0" w:firstLineChars="0"/>
                    <w:jc w:val="center"/>
                    <w:rPr>
                      <w:sz w:val="21"/>
                      <w:szCs w:val="21"/>
                    </w:rPr>
                  </w:pPr>
                  <w:r>
                    <w:rPr>
                      <w:rFonts w:hint="eastAsia"/>
                      <w:sz w:val="21"/>
                      <w:szCs w:val="21"/>
                    </w:rPr>
                    <w:t>-13</w:t>
                  </w:r>
                </w:p>
              </w:tc>
              <w:tc>
                <w:tcPr>
                  <w:tcW w:w="400" w:type="pct"/>
                  <w:vAlign w:val="center"/>
                </w:tcPr>
                <w:p w14:paraId="6B6A6603">
                  <w:pPr>
                    <w:pStyle w:val="56"/>
                    <w:adjustRightInd w:val="0"/>
                    <w:snapToGrid w:val="0"/>
                    <w:spacing w:line="240" w:lineRule="auto"/>
                    <w:ind w:firstLine="0" w:firstLineChars="0"/>
                    <w:jc w:val="center"/>
                    <w:rPr>
                      <w:sz w:val="21"/>
                      <w:szCs w:val="21"/>
                    </w:rPr>
                  </w:pPr>
                  <w:r>
                    <w:rPr>
                      <w:sz w:val="21"/>
                      <w:szCs w:val="21"/>
                    </w:rPr>
                    <w:t>居民</w:t>
                  </w:r>
                </w:p>
              </w:tc>
              <w:tc>
                <w:tcPr>
                  <w:tcW w:w="557" w:type="pct"/>
                  <w:vAlign w:val="center"/>
                </w:tcPr>
                <w:p w14:paraId="6BD876CD">
                  <w:pPr>
                    <w:pStyle w:val="59"/>
                    <w:spacing w:line="240" w:lineRule="auto"/>
                  </w:pPr>
                  <w:r>
                    <w:rPr>
                      <w:rFonts w:hint="eastAsia"/>
                    </w:rPr>
                    <w:t>60</w:t>
                  </w:r>
                  <w:r>
                    <w:t>人</w:t>
                  </w:r>
                </w:p>
              </w:tc>
              <w:tc>
                <w:tcPr>
                  <w:tcW w:w="460" w:type="pct"/>
                  <w:vAlign w:val="center"/>
                </w:tcPr>
                <w:p w14:paraId="6A527E19">
                  <w:pPr>
                    <w:pStyle w:val="56"/>
                    <w:adjustRightInd w:val="0"/>
                    <w:snapToGrid w:val="0"/>
                    <w:spacing w:line="240" w:lineRule="auto"/>
                    <w:ind w:firstLine="0" w:firstLineChars="0"/>
                    <w:jc w:val="center"/>
                    <w:rPr>
                      <w:sz w:val="21"/>
                      <w:szCs w:val="21"/>
                    </w:rPr>
                  </w:pPr>
                  <w:r>
                    <w:rPr>
                      <w:sz w:val="21"/>
                      <w:szCs w:val="21"/>
                    </w:rPr>
                    <w:t>二类区</w:t>
                  </w:r>
                </w:p>
              </w:tc>
              <w:tc>
                <w:tcPr>
                  <w:tcW w:w="518" w:type="pct"/>
                  <w:vAlign w:val="center"/>
                </w:tcPr>
                <w:p w14:paraId="79BC6703">
                  <w:pPr>
                    <w:pStyle w:val="59"/>
                    <w:spacing w:line="240" w:lineRule="auto"/>
                  </w:pPr>
                  <w:r>
                    <w:rPr>
                      <w:rFonts w:hint="eastAsia"/>
                    </w:rPr>
                    <w:t>西南</w:t>
                  </w:r>
                </w:p>
              </w:tc>
              <w:tc>
                <w:tcPr>
                  <w:tcW w:w="646" w:type="pct"/>
                  <w:vAlign w:val="center"/>
                </w:tcPr>
                <w:p w14:paraId="4BC8C770">
                  <w:pPr>
                    <w:pStyle w:val="56"/>
                    <w:adjustRightInd w:val="0"/>
                    <w:snapToGrid w:val="0"/>
                    <w:spacing w:line="240" w:lineRule="auto"/>
                    <w:ind w:firstLine="0" w:firstLineChars="0"/>
                    <w:jc w:val="center"/>
                    <w:rPr>
                      <w:sz w:val="21"/>
                      <w:szCs w:val="21"/>
                    </w:rPr>
                  </w:pPr>
                  <w:r>
                    <w:rPr>
                      <w:rFonts w:hint="eastAsia"/>
                      <w:sz w:val="21"/>
                      <w:szCs w:val="21"/>
                    </w:rPr>
                    <w:t>3</w:t>
                  </w:r>
                  <w:r>
                    <w:rPr>
                      <w:sz w:val="21"/>
                      <w:szCs w:val="21"/>
                    </w:rPr>
                    <w:t>8</w:t>
                  </w:r>
                </w:p>
              </w:tc>
            </w:tr>
            <w:tr w14:paraId="61BA5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Align w:val="center"/>
                </w:tcPr>
                <w:p w14:paraId="538CDB67">
                  <w:pPr>
                    <w:pStyle w:val="59"/>
                    <w:spacing w:line="240" w:lineRule="auto"/>
                  </w:pPr>
                  <w:r>
                    <w:t>地表水环境</w:t>
                  </w:r>
                </w:p>
              </w:tc>
              <w:tc>
                <w:tcPr>
                  <w:tcW w:w="539" w:type="pct"/>
                  <w:vAlign w:val="center"/>
                </w:tcPr>
                <w:p w14:paraId="5DC9EBE3">
                  <w:pPr>
                    <w:pStyle w:val="59"/>
                    <w:spacing w:line="240" w:lineRule="auto"/>
                  </w:pPr>
                  <w:r>
                    <w:rPr>
                      <w:rFonts w:hint="eastAsia"/>
                    </w:rPr>
                    <w:t>湘江</w:t>
                  </w:r>
                </w:p>
              </w:tc>
              <w:tc>
                <w:tcPr>
                  <w:tcW w:w="809" w:type="pct"/>
                  <w:vAlign w:val="center"/>
                </w:tcPr>
                <w:p w14:paraId="266B4BC4">
                  <w:pPr>
                    <w:pStyle w:val="56"/>
                    <w:adjustRightInd w:val="0"/>
                    <w:snapToGrid w:val="0"/>
                    <w:spacing w:line="240" w:lineRule="auto"/>
                    <w:ind w:firstLine="0" w:firstLineChars="0"/>
                    <w:jc w:val="center"/>
                    <w:rPr>
                      <w:sz w:val="21"/>
                      <w:szCs w:val="21"/>
                    </w:rPr>
                  </w:pPr>
                  <w:r>
                    <w:rPr>
                      <w:sz w:val="21"/>
                      <w:szCs w:val="21"/>
                    </w:rPr>
                    <w:t>/</w:t>
                  </w:r>
                </w:p>
              </w:tc>
              <w:tc>
                <w:tcPr>
                  <w:tcW w:w="717" w:type="pct"/>
                  <w:vAlign w:val="center"/>
                </w:tcPr>
                <w:p w14:paraId="7D46720B">
                  <w:pPr>
                    <w:pStyle w:val="56"/>
                    <w:adjustRightInd w:val="0"/>
                    <w:snapToGrid w:val="0"/>
                    <w:spacing w:line="240" w:lineRule="auto"/>
                    <w:ind w:firstLine="0" w:firstLineChars="0"/>
                    <w:jc w:val="center"/>
                    <w:rPr>
                      <w:sz w:val="21"/>
                      <w:szCs w:val="21"/>
                    </w:rPr>
                  </w:pPr>
                  <w:r>
                    <w:rPr>
                      <w:sz w:val="21"/>
                      <w:szCs w:val="21"/>
                    </w:rPr>
                    <w:t>/</w:t>
                  </w:r>
                </w:p>
              </w:tc>
              <w:tc>
                <w:tcPr>
                  <w:tcW w:w="400" w:type="pct"/>
                  <w:vAlign w:val="center"/>
                </w:tcPr>
                <w:p w14:paraId="12921A04">
                  <w:pPr>
                    <w:pStyle w:val="56"/>
                    <w:adjustRightInd w:val="0"/>
                    <w:snapToGrid w:val="0"/>
                    <w:spacing w:line="240" w:lineRule="auto"/>
                    <w:ind w:firstLine="0" w:firstLineChars="0"/>
                    <w:jc w:val="center"/>
                    <w:rPr>
                      <w:sz w:val="21"/>
                      <w:szCs w:val="21"/>
                    </w:rPr>
                  </w:pPr>
                  <w:r>
                    <w:rPr>
                      <w:sz w:val="21"/>
                      <w:szCs w:val="21"/>
                    </w:rPr>
                    <w:t>河流</w:t>
                  </w:r>
                </w:p>
              </w:tc>
              <w:tc>
                <w:tcPr>
                  <w:tcW w:w="557" w:type="pct"/>
                  <w:vAlign w:val="center"/>
                </w:tcPr>
                <w:p w14:paraId="09FCD569">
                  <w:pPr>
                    <w:pStyle w:val="59"/>
                    <w:spacing w:line="240" w:lineRule="auto"/>
                    <w:rPr>
                      <w:u w:val="wave"/>
                    </w:rPr>
                  </w:pPr>
                  <w:r>
                    <w:rPr>
                      <w:u w:val="wave"/>
                    </w:rPr>
                    <w:t>/</w:t>
                  </w:r>
                </w:p>
              </w:tc>
              <w:tc>
                <w:tcPr>
                  <w:tcW w:w="460" w:type="pct"/>
                  <w:vAlign w:val="center"/>
                </w:tcPr>
                <w:p w14:paraId="4393DB56">
                  <w:pPr>
                    <w:adjustRightInd w:val="0"/>
                    <w:snapToGrid w:val="0"/>
                    <w:jc w:val="center"/>
                    <w:rPr>
                      <w:szCs w:val="21"/>
                    </w:rPr>
                  </w:pPr>
                  <w:r>
                    <w:rPr>
                      <w:szCs w:val="21"/>
                    </w:rPr>
                    <w:t>I</w:t>
                  </w:r>
                  <w:r>
                    <w:rPr>
                      <w:rFonts w:hint="eastAsia"/>
                      <w:szCs w:val="21"/>
                    </w:rPr>
                    <w:t>I</w:t>
                  </w:r>
                  <w:r>
                    <w:rPr>
                      <w:szCs w:val="21"/>
                    </w:rPr>
                    <w:t>类</w:t>
                  </w:r>
                </w:p>
              </w:tc>
              <w:tc>
                <w:tcPr>
                  <w:tcW w:w="518" w:type="pct"/>
                  <w:vAlign w:val="center"/>
                </w:tcPr>
                <w:p w14:paraId="1A5242F1">
                  <w:pPr>
                    <w:pStyle w:val="59"/>
                    <w:spacing w:line="240" w:lineRule="auto"/>
                  </w:pPr>
                  <w:r>
                    <w:t>东</w:t>
                  </w:r>
                </w:p>
              </w:tc>
              <w:tc>
                <w:tcPr>
                  <w:tcW w:w="646" w:type="pct"/>
                  <w:vAlign w:val="center"/>
                </w:tcPr>
                <w:p w14:paraId="60DEE314">
                  <w:pPr>
                    <w:pStyle w:val="56"/>
                    <w:adjustRightInd w:val="0"/>
                    <w:snapToGrid w:val="0"/>
                    <w:spacing w:line="240" w:lineRule="auto"/>
                    <w:ind w:firstLine="0" w:firstLineChars="0"/>
                    <w:jc w:val="center"/>
                    <w:rPr>
                      <w:sz w:val="21"/>
                      <w:szCs w:val="21"/>
                    </w:rPr>
                  </w:pPr>
                  <w:r>
                    <w:rPr>
                      <w:rFonts w:hint="eastAsia"/>
                      <w:sz w:val="21"/>
                      <w:szCs w:val="21"/>
                    </w:rPr>
                    <w:t>350</w:t>
                  </w:r>
                </w:p>
              </w:tc>
            </w:tr>
            <w:tr w14:paraId="35F5E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4" w:type="pct"/>
                  <w:vAlign w:val="center"/>
                </w:tcPr>
                <w:p w14:paraId="4429E746">
                  <w:pPr>
                    <w:pStyle w:val="59"/>
                    <w:spacing w:line="240" w:lineRule="auto"/>
                  </w:pPr>
                  <w:r>
                    <w:rPr>
                      <w:rFonts w:hint="eastAsia"/>
                    </w:rPr>
                    <w:t>地下水环境</w:t>
                  </w:r>
                </w:p>
              </w:tc>
              <w:tc>
                <w:tcPr>
                  <w:tcW w:w="4646" w:type="pct"/>
                  <w:gridSpan w:val="8"/>
                  <w:vAlign w:val="center"/>
                </w:tcPr>
                <w:p w14:paraId="169A3BD4">
                  <w:pPr>
                    <w:pStyle w:val="56"/>
                    <w:adjustRightInd w:val="0"/>
                    <w:snapToGrid w:val="0"/>
                    <w:spacing w:line="240" w:lineRule="auto"/>
                    <w:ind w:firstLine="0" w:firstLineChars="0"/>
                    <w:jc w:val="center"/>
                    <w:rPr>
                      <w:sz w:val="21"/>
                      <w:szCs w:val="21"/>
                    </w:rPr>
                  </w:pPr>
                  <w:r>
                    <w:rPr>
                      <w:rFonts w:hint="eastAsia"/>
                      <w:sz w:val="21"/>
                      <w:szCs w:val="21"/>
                    </w:rPr>
                    <w:t>周边500m范围内居民点用水均为自来水，不存在地下水集中式饮用水水源和热水、矿泉水、温泉等特殊地下水资源</w:t>
                  </w:r>
                </w:p>
              </w:tc>
            </w:tr>
          </w:tbl>
          <w:p w14:paraId="36B2F374">
            <w:pPr>
              <w:adjustRightInd w:val="0"/>
              <w:snapToGrid w:val="0"/>
              <w:spacing w:line="360" w:lineRule="auto"/>
              <w:ind w:firstLine="480" w:firstLineChars="200"/>
              <w:rPr>
                <w:kern w:val="0"/>
                <w:sz w:val="24"/>
              </w:rPr>
            </w:pPr>
          </w:p>
        </w:tc>
      </w:tr>
      <w:tr w14:paraId="286CD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800" w:type="dxa"/>
            <w:tcMar>
              <w:left w:w="28" w:type="dxa"/>
              <w:right w:w="28" w:type="dxa"/>
            </w:tcMar>
            <w:vAlign w:val="center"/>
          </w:tcPr>
          <w:p w14:paraId="4E05D24C">
            <w:pPr>
              <w:adjustRightInd w:val="0"/>
              <w:snapToGrid w:val="0"/>
              <w:jc w:val="center"/>
              <w:rPr>
                <w:kern w:val="0"/>
                <w:sz w:val="24"/>
              </w:rPr>
            </w:pPr>
            <w:r>
              <w:rPr>
                <w:kern w:val="0"/>
                <w:sz w:val="24"/>
              </w:rPr>
              <w:t>污染</w:t>
            </w:r>
          </w:p>
          <w:p w14:paraId="506180EE">
            <w:pPr>
              <w:adjustRightInd w:val="0"/>
              <w:snapToGrid w:val="0"/>
              <w:jc w:val="center"/>
              <w:rPr>
                <w:kern w:val="0"/>
                <w:sz w:val="24"/>
              </w:rPr>
            </w:pPr>
            <w:r>
              <w:rPr>
                <w:kern w:val="0"/>
                <w:sz w:val="24"/>
              </w:rPr>
              <w:t>物排</w:t>
            </w:r>
          </w:p>
          <w:p w14:paraId="479C03B3">
            <w:pPr>
              <w:adjustRightInd w:val="0"/>
              <w:snapToGrid w:val="0"/>
              <w:jc w:val="center"/>
              <w:rPr>
                <w:kern w:val="0"/>
                <w:sz w:val="24"/>
              </w:rPr>
            </w:pPr>
            <w:r>
              <w:rPr>
                <w:kern w:val="0"/>
                <w:sz w:val="24"/>
              </w:rPr>
              <w:t>放控</w:t>
            </w:r>
          </w:p>
          <w:p w14:paraId="4746D0AE">
            <w:pPr>
              <w:adjustRightInd w:val="0"/>
              <w:snapToGrid w:val="0"/>
              <w:jc w:val="center"/>
              <w:rPr>
                <w:kern w:val="0"/>
                <w:sz w:val="24"/>
              </w:rPr>
            </w:pPr>
            <w:r>
              <w:rPr>
                <w:kern w:val="0"/>
                <w:sz w:val="24"/>
              </w:rPr>
              <w:t>制标</w:t>
            </w:r>
          </w:p>
          <w:p w14:paraId="02C07736">
            <w:pPr>
              <w:adjustRightInd w:val="0"/>
              <w:snapToGrid w:val="0"/>
              <w:jc w:val="center"/>
              <w:rPr>
                <w:kern w:val="0"/>
                <w:sz w:val="24"/>
              </w:rPr>
            </w:pPr>
            <w:r>
              <w:rPr>
                <w:kern w:val="0"/>
                <w:sz w:val="24"/>
              </w:rPr>
              <w:t>准</w:t>
            </w:r>
          </w:p>
        </w:tc>
        <w:tc>
          <w:tcPr>
            <w:tcW w:w="8190" w:type="dxa"/>
          </w:tcPr>
          <w:p w14:paraId="2CA9F77C">
            <w:pPr>
              <w:adjustRightInd w:val="0"/>
              <w:snapToGrid w:val="0"/>
              <w:spacing w:line="360" w:lineRule="auto"/>
              <w:rPr>
                <w:b/>
                <w:bCs/>
                <w:kern w:val="0"/>
                <w:sz w:val="24"/>
              </w:rPr>
            </w:pPr>
            <w:r>
              <w:rPr>
                <w:b/>
                <w:bCs/>
                <w:kern w:val="0"/>
                <w:sz w:val="24"/>
              </w:rPr>
              <w:t>1、废气</w:t>
            </w:r>
          </w:p>
          <w:p w14:paraId="6D69EC5E">
            <w:pPr>
              <w:spacing w:line="480" w:lineRule="exact"/>
              <w:ind w:firstLine="480" w:firstLineChars="200"/>
              <w:jc w:val="left"/>
              <w:rPr>
                <w:sz w:val="24"/>
              </w:rPr>
            </w:pPr>
            <w:r>
              <w:rPr>
                <w:sz w:val="24"/>
              </w:rPr>
              <w:t>本项目运营期大气污染物主要为生物质颗粒作为蒸汽发生器</w:t>
            </w:r>
            <w:r>
              <w:rPr>
                <w:rFonts w:hint="eastAsia"/>
                <w:sz w:val="24"/>
              </w:rPr>
              <w:t>燃烧</w:t>
            </w:r>
            <w:r>
              <w:rPr>
                <w:sz w:val="24"/>
              </w:rPr>
              <w:t>废气，根据《锅炉大气污染物排放标准》（GB13271-2014）中适用范围可知，本项目使用生物质</w:t>
            </w:r>
            <w:r>
              <w:rPr>
                <w:rFonts w:hint="eastAsia"/>
                <w:sz w:val="24"/>
              </w:rPr>
              <w:t>蒸汽发生器</w:t>
            </w:r>
            <w:r>
              <w:rPr>
                <w:sz w:val="24"/>
              </w:rPr>
              <w:t>产生废气可参照执行燃煤锅炉标准限值，因此本项目锅炉废气执行《锅炉大气污染物排放标准》（GB13271-2014）中表2新建锅炉（燃煤锅炉）大气污染物排放浓度限值标准值，详见下表。</w:t>
            </w:r>
          </w:p>
          <w:p w14:paraId="33FAFC0E">
            <w:pPr>
              <w:jc w:val="center"/>
              <w:rPr>
                <w:b/>
                <w:bCs/>
              </w:rPr>
            </w:pPr>
          </w:p>
          <w:p w14:paraId="139DC05F">
            <w:pPr>
              <w:jc w:val="center"/>
              <w:rPr>
                <w:b/>
                <w:bCs/>
                <w:szCs w:val="21"/>
              </w:rPr>
            </w:pPr>
            <w:r>
              <w:rPr>
                <w:b/>
                <w:bCs/>
              </w:rPr>
              <w:t>表3-</w:t>
            </w:r>
            <w:r>
              <w:rPr>
                <w:rFonts w:hint="eastAsia"/>
                <w:b/>
                <w:bCs/>
              </w:rPr>
              <w:t>7</w:t>
            </w:r>
            <w:r>
              <w:rPr>
                <w:b/>
                <w:bCs/>
              </w:rPr>
              <w:t xml:space="preserve"> 废气排放标准 </w:t>
            </w:r>
            <w:r>
              <w:rPr>
                <w:b/>
                <w:bCs/>
                <w:szCs w:val="21"/>
              </w:rPr>
              <w:t>单位：mg/m</w:t>
            </w:r>
            <w:r>
              <w:rPr>
                <w:b/>
                <w:bCs/>
                <w:szCs w:val="21"/>
                <w:vertAlign w:val="superscript"/>
              </w:rPr>
              <w:t>3</w:t>
            </w:r>
          </w:p>
          <w:tbl>
            <w:tblPr>
              <w:tblStyle w:val="27"/>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4488"/>
              <w:gridCol w:w="1947"/>
            </w:tblGrid>
            <w:tr w14:paraId="5891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vAlign w:val="center"/>
                </w:tcPr>
                <w:p w14:paraId="25E9B77B">
                  <w:pPr>
                    <w:pStyle w:val="82"/>
                    <w:ind w:firstLine="422"/>
                    <w:rPr>
                      <w:b/>
                      <w:bCs/>
                    </w:rPr>
                  </w:pPr>
                  <w:r>
                    <w:rPr>
                      <w:b/>
                      <w:bCs/>
                    </w:rPr>
                    <w:t>污染物项目</w:t>
                  </w:r>
                </w:p>
              </w:tc>
              <w:tc>
                <w:tcPr>
                  <w:tcW w:w="4488" w:type="dxa"/>
                  <w:vAlign w:val="center"/>
                </w:tcPr>
                <w:p w14:paraId="1230C1A7">
                  <w:pPr>
                    <w:pStyle w:val="82"/>
                    <w:ind w:firstLine="422"/>
                    <w:rPr>
                      <w:b/>
                      <w:bCs/>
                    </w:rPr>
                  </w:pPr>
                  <w:r>
                    <w:rPr>
                      <w:b/>
                      <w:bCs/>
                    </w:rPr>
                    <w:t>燃煤锅炉限值</w:t>
                  </w:r>
                </w:p>
              </w:tc>
              <w:tc>
                <w:tcPr>
                  <w:tcW w:w="1947" w:type="dxa"/>
                  <w:vMerge w:val="restart"/>
                  <w:vAlign w:val="center"/>
                </w:tcPr>
                <w:p w14:paraId="7381E095">
                  <w:pPr>
                    <w:pStyle w:val="82"/>
                    <w:jc w:val="both"/>
                    <w:rPr>
                      <w:b/>
                      <w:bCs/>
                    </w:rPr>
                  </w:pPr>
                  <w:r>
                    <w:rPr>
                      <w:b/>
                      <w:bCs/>
                    </w:rPr>
                    <w:t>污染物排放监控位置</w:t>
                  </w:r>
                </w:p>
              </w:tc>
            </w:tr>
            <w:tr w14:paraId="690A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495" w:type="dxa"/>
                  <w:vAlign w:val="center"/>
                </w:tcPr>
                <w:p w14:paraId="66DFE825">
                  <w:pPr>
                    <w:pStyle w:val="82"/>
                    <w:ind w:firstLine="420"/>
                  </w:pPr>
                  <w:r>
                    <w:t>颗粒物</w:t>
                  </w:r>
                </w:p>
              </w:tc>
              <w:tc>
                <w:tcPr>
                  <w:tcW w:w="4488" w:type="dxa"/>
                  <w:vAlign w:val="center"/>
                </w:tcPr>
                <w:p w14:paraId="36D9D0DF">
                  <w:pPr>
                    <w:pStyle w:val="82"/>
                    <w:ind w:firstLine="420"/>
                  </w:pPr>
                  <w:r>
                    <w:t>50</w:t>
                  </w:r>
                </w:p>
              </w:tc>
              <w:tc>
                <w:tcPr>
                  <w:tcW w:w="1947" w:type="dxa"/>
                  <w:vMerge w:val="restart"/>
                  <w:vAlign w:val="center"/>
                </w:tcPr>
                <w:p w14:paraId="5D2ED766">
                  <w:pPr>
                    <w:pStyle w:val="82"/>
                    <w:ind w:firstLine="420"/>
                  </w:pPr>
                  <w:r>
                    <w:t>烟囱或烟道</w:t>
                  </w:r>
                </w:p>
              </w:tc>
            </w:tr>
            <w:tr w14:paraId="29C7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495" w:type="dxa"/>
                  <w:vAlign w:val="center"/>
                </w:tcPr>
                <w:p w14:paraId="48BEAE52">
                  <w:pPr>
                    <w:pStyle w:val="82"/>
                    <w:ind w:firstLine="420"/>
                  </w:pPr>
                  <w:r>
                    <w:t>二氧化硫</w:t>
                  </w:r>
                </w:p>
              </w:tc>
              <w:tc>
                <w:tcPr>
                  <w:tcW w:w="4488" w:type="dxa"/>
                  <w:vAlign w:val="center"/>
                </w:tcPr>
                <w:p w14:paraId="56325AC0">
                  <w:pPr>
                    <w:pStyle w:val="82"/>
                    <w:ind w:firstLine="420"/>
                  </w:pPr>
                  <w:r>
                    <w:t>300</w:t>
                  </w:r>
                </w:p>
              </w:tc>
              <w:tc>
                <w:tcPr>
                  <w:tcW w:w="1947" w:type="dxa"/>
                  <w:vMerge w:val="continue"/>
                  <w:vAlign w:val="center"/>
                </w:tcPr>
                <w:p w14:paraId="64D06538">
                  <w:pPr>
                    <w:pStyle w:val="82"/>
                    <w:ind w:firstLine="420"/>
                  </w:pPr>
                </w:p>
              </w:tc>
            </w:tr>
            <w:tr w14:paraId="1272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495" w:type="dxa"/>
                  <w:vAlign w:val="center"/>
                </w:tcPr>
                <w:p w14:paraId="785A76C8">
                  <w:pPr>
                    <w:pStyle w:val="82"/>
                    <w:ind w:firstLine="420"/>
                  </w:pPr>
                  <w:r>
                    <w:t>氮氧化物</w:t>
                  </w:r>
                </w:p>
              </w:tc>
              <w:tc>
                <w:tcPr>
                  <w:tcW w:w="4488" w:type="dxa"/>
                  <w:vAlign w:val="center"/>
                </w:tcPr>
                <w:p w14:paraId="418BE0AD">
                  <w:pPr>
                    <w:pStyle w:val="82"/>
                    <w:ind w:firstLine="420"/>
                  </w:pPr>
                  <w:r>
                    <w:t>300</w:t>
                  </w:r>
                </w:p>
              </w:tc>
              <w:tc>
                <w:tcPr>
                  <w:tcW w:w="1947" w:type="dxa"/>
                  <w:vMerge w:val="continue"/>
                  <w:vAlign w:val="center"/>
                </w:tcPr>
                <w:p w14:paraId="2E3716CE">
                  <w:pPr>
                    <w:pStyle w:val="82"/>
                    <w:ind w:firstLine="420"/>
                  </w:pPr>
                </w:p>
              </w:tc>
            </w:tr>
            <w:tr w14:paraId="2DC4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95" w:type="dxa"/>
                  <w:vAlign w:val="center"/>
                </w:tcPr>
                <w:p w14:paraId="51B22C3D">
                  <w:pPr>
                    <w:pStyle w:val="82"/>
                    <w:ind w:firstLine="420"/>
                  </w:pPr>
                  <w:r>
                    <w:t>烟气黑度</w:t>
                  </w:r>
                </w:p>
              </w:tc>
              <w:tc>
                <w:tcPr>
                  <w:tcW w:w="4488" w:type="dxa"/>
                  <w:vAlign w:val="center"/>
                </w:tcPr>
                <w:p w14:paraId="3B58120D">
                  <w:pPr>
                    <w:pStyle w:val="82"/>
                    <w:ind w:firstLine="420"/>
                  </w:pPr>
                  <w:r>
                    <w:t>≤1</w:t>
                  </w:r>
                </w:p>
              </w:tc>
              <w:tc>
                <w:tcPr>
                  <w:tcW w:w="1947" w:type="dxa"/>
                  <w:vAlign w:val="center"/>
                </w:tcPr>
                <w:p w14:paraId="3CB95A29">
                  <w:pPr>
                    <w:pStyle w:val="82"/>
                    <w:ind w:firstLine="420"/>
                  </w:pPr>
                  <w:r>
                    <w:t>烟囱排放口</w:t>
                  </w:r>
                </w:p>
              </w:tc>
            </w:tr>
          </w:tbl>
          <w:p w14:paraId="32A90472">
            <w:pPr>
              <w:adjustRightInd w:val="0"/>
              <w:snapToGrid w:val="0"/>
              <w:spacing w:line="360" w:lineRule="auto"/>
              <w:rPr>
                <w:b/>
                <w:bCs/>
                <w:kern w:val="0"/>
                <w:sz w:val="24"/>
              </w:rPr>
            </w:pPr>
            <w:r>
              <w:rPr>
                <w:rFonts w:hint="eastAsia"/>
                <w:b/>
                <w:bCs/>
                <w:kern w:val="0"/>
                <w:szCs w:val="21"/>
              </w:rPr>
              <w:t>注：本项目位于环境空气质量二类区内，执行二级标准。</w:t>
            </w:r>
          </w:p>
          <w:p w14:paraId="51647206">
            <w:pPr>
              <w:adjustRightInd w:val="0"/>
              <w:snapToGrid w:val="0"/>
              <w:spacing w:line="360" w:lineRule="auto"/>
              <w:ind w:firstLine="480" w:firstLineChars="200"/>
              <w:rPr>
                <w:sz w:val="24"/>
              </w:rPr>
            </w:pPr>
            <w:r>
              <w:rPr>
                <w:sz w:val="24"/>
              </w:rPr>
              <w:t>每个新建燃煤锅炉房只能设一根烟囱，烟囱高度应根据锅炉房装机总容 量，按</w:t>
            </w:r>
            <w:r>
              <w:rPr>
                <w:rFonts w:hint="eastAsia"/>
                <w:sz w:val="24"/>
              </w:rPr>
              <w:t>下</w:t>
            </w:r>
            <w:r>
              <w:rPr>
                <w:sz w:val="24"/>
              </w:rPr>
              <w:t>表规定执行，燃油、燃气锅炉烟囱不低于8米，锅炉烟囱的具体高度 按批复的环境影响评价文件确定。新建锅炉房的烟囱周围半径200m距离内有 建筑物时，其烟囱应高出最高建筑物3m以上。</w:t>
            </w:r>
          </w:p>
          <w:p w14:paraId="1F46BFC8">
            <w:pPr>
              <w:pStyle w:val="2"/>
              <w:ind w:firstLine="1897" w:firstLineChars="900"/>
              <w:rPr>
                <w:b/>
                <w:bCs/>
                <w:sz w:val="21"/>
                <w:szCs w:val="21"/>
              </w:rPr>
            </w:pPr>
            <w:r>
              <w:rPr>
                <w:b/>
                <w:bCs/>
                <w:sz w:val="21"/>
                <w:szCs w:val="21"/>
              </w:rPr>
              <w:t>表3-</w:t>
            </w:r>
            <w:r>
              <w:rPr>
                <w:rFonts w:hint="eastAsia"/>
                <w:b/>
                <w:bCs/>
                <w:sz w:val="21"/>
                <w:szCs w:val="21"/>
              </w:rPr>
              <w:t>8</w:t>
            </w:r>
            <w:r>
              <w:rPr>
                <w:b/>
                <w:bCs/>
                <w:sz w:val="21"/>
                <w:szCs w:val="21"/>
              </w:rPr>
              <w:t xml:space="preserve"> </w:t>
            </w:r>
            <w:r>
              <w:rPr>
                <w:rFonts w:hint="eastAsia"/>
                <w:b/>
                <w:bCs/>
                <w:sz w:val="21"/>
                <w:szCs w:val="21"/>
              </w:rPr>
              <w:t>燃煤锅炉最低允许高度</w:t>
            </w:r>
          </w:p>
          <w:p w14:paraId="75FDF5CC">
            <w:r>
              <w:drawing>
                <wp:inline distT="0" distB="0" distL="0" distR="0">
                  <wp:extent cx="5149850" cy="979170"/>
                  <wp:effectExtent l="0" t="0" r="0" b="0"/>
                  <wp:docPr id="2501163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16311" name="图片 1"/>
                          <pic:cNvPicPr>
                            <a:picLocks noChangeAspect="1"/>
                          </pic:cNvPicPr>
                        </pic:nvPicPr>
                        <pic:blipFill>
                          <a:blip r:embed="rId12"/>
                          <a:stretch>
                            <a:fillRect/>
                          </a:stretch>
                        </pic:blipFill>
                        <pic:spPr>
                          <a:xfrm>
                            <a:off x="0" y="0"/>
                            <a:ext cx="5149850" cy="979170"/>
                          </a:xfrm>
                          <a:prstGeom prst="rect">
                            <a:avLst/>
                          </a:prstGeom>
                        </pic:spPr>
                      </pic:pic>
                    </a:graphicData>
                  </a:graphic>
                </wp:inline>
              </w:drawing>
            </w:r>
          </w:p>
          <w:p w14:paraId="1778D3AC">
            <w:pPr>
              <w:adjustRightInd w:val="0"/>
              <w:snapToGrid w:val="0"/>
              <w:spacing w:line="360" w:lineRule="auto"/>
              <w:ind w:firstLine="480" w:firstLineChars="200"/>
              <w:rPr>
                <w:kern w:val="0"/>
                <w:sz w:val="24"/>
              </w:rPr>
            </w:pPr>
            <w:r>
              <w:rPr>
                <w:rFonts w:hint="eastAsia"/>
                <w:kern w:val="0"/>
                <w:sz w:val="24"/>
              </w:rPr>
              <w:t>本项目生物质蒸汽发生器为1.5t/h，</w:t>
            </w:r>
            <w:r>
              <w:rPr>
                <w:kern w:val="0"/>
                <w:sz w:val="24"/>
              </w:rPr>
              <w:t>烟囱最低运行高度为</w:t>
            </w:r>
            <w:r>
              <w:rPr>
                <w:rFonts w:hint="eastAsia"/>
                <w:kern w:val="0"/>
                <w:sz w:val="24"/>
              </w:rPr>
              <w:t>25</w:t>
            </w:r>
            <w:r>
              <w:rPr>
                <w:kern w:val="0"/>
                <w:sz w:val="24"/>
              </w:rPr>
              <w:t>m</w:t>
            </w:r>
            <w:r>
              <w:rPr>
                <w:rFonts w:hint="eastAsia"/>
                <w:kern w:val="0"/>
                <w:sz w:val="24"/>
              </w:rPr>
              <w:t>。</w:t>
            </w:r>
          </w:p>
          <w:p w14:paraId="2764A890">
            <w:pPr>
              <w:adjustRightInd w:val="0"/>
              <w:snapToGrid w:val="0"/>
              <w:spacing w:line="360" w:lineRule="auto"/>
              <w:rPr>
                <w:b/>
                <w:bCs/>
                <w:kern w:val="0"/>
                <w:sz w:val="24"/>
              </w:rPr>
            </w:pPr>
          </w:p>
          <w:p w14:paraId="191C4968">
            <w:pPr>
              <w:adjustRightInd w:val="0"/>
              <w:snapToGrid w:val="0"/>
              <w:spacing w:line="360" w:lineRule="auto"/>
              <w:rPr>
                <w:kern w:val="0"/>
                <w:sz w:val="24"/>
              </w:rPr>
            </w:pPr>
            <w:r>
              <w:rPr>
                <w:rFonts w:hint="eastAsia"/>
                <w:b/>
                <w:bCs/>
                <w:kern w:val="0"/>
                <w:sz w:val="24"/>
              </w:rPr>
              <w:t>2、废水</w:t>
            </w:r>
          </w:p>
          <w:p w14:paraId="5CB5FAD3">
            <w:pPr>
              <w:adjustRightInd w:val="0"/>
              <w:snapToGrid w:val="0"/>
              <w:spacing w:line="360" w:lineRule="auto"/>
              <w:ind w:firstLine="480" w:firstLineChars="200"/>
              <w:rPr>
                <w:kern w:val="0"/>
                <w:sz w:val="24"/>
              </w:rPr>
            </w:pPr>
            <w:r>
              <w:rPr>
                <w:rFonts w:hint="eastAsia"/>
                <w:kern w:val="0"/>
                <w:sz w:val="24"/>
              </w:rPr>
              <w:t>本项目生活污水经化粪池预处理后排入</w:t>
            </w:r>
            <w:r>
              <w:rPr>
                <w:rFonts w:hint="eastAsia"/>
                <w:bCs/>
                <w:sz w:val="24"/>
              </w:rPr>
              <w:t>污水处理厂进一步处理</w:t>
            </w:r>
            <w:r>
              <w:rPr>
                <w:rFonts w:hint="eastAsia"/>
                <w:kern w:val="0"/>
                <w:sz w:val="24"/>
              </w:rPr>
              <w:t>；</w:t>
            </w:r>
            <w:r>
              <w:rPr>
                <w:bCs/>
                <w:sz w:val="24"/>
              </w:rPr>
              <w:t>项目</w:t>
            </w:r>
            <w:r>
              <w:rPr>
                <w:rFonts w:hint="eastAsia"/>
                <w:bCs/>
                <w:sz w:val="24"/>
              </w:rPr>
              <w:t>生产</w:t>
            </w:r>
            <w:r>
              <w:rPr>
                <w:bCs/>
                <w:sz w:val="24"/>
              </w:rPr>
              <w:t>废水</w:t>
            </w:r>
            <w:r>
              <w:rPr>
                <w:rFonts w:hint="eastAsia"/>
                <w:bCs/>
                <w:sz w:val="24"/>
              </w:rPr>
              <w:t>经二级沉淀池预处理后排入衡山国祯水处理有限公司进一步处理</w:t>
            </w:r>
            <w:r>
              <w:rPr>
                <w:bCs/>
                <w:sz w:val="24"/>
              </w:rPr>
              <w:t>，</w:t>
            </w:r>
            <w:r>
              <w:rPr>
                <w:rFonts w:hint="eastAsia"/>
                <w:bCs/>
                <w:sz w:val="24"/>
              </w:rPr>
              <w:t>废水执行《污水综合排放标准》（GB8978-1996）表4三级标准，氨氮、总磷、总氮执行</w:t>
            </w:r>
            <w:r>
              <w:rPr>
                <w:bCs/>
                <w:sz w:val="24"/>
              </w:rPr>
              <w:t>《污水排入城镇下水道水质标准》（GB/T31962-2015）表1中 B级标准</w:t>
            </w:r>
            <w:r>
              <w:rPr>
                <w:rFonts w:hint="eastAsia"/>
                <w:bCs/>
                <w:sz w:val="24"/>
              </w:rPr>
              <w:t>；衡山国祯水处理有限公司尾水</w:t>
            </w:r>
            <w:r>
              <w:rPr>
                <w:bCs/>
                <w:sz w:val="24"/>
              </w:rPr>
              <w:t>达到《城镇污水处理厂污染物排放标准》（GB18918-2002）表 1 中的一级B标准后最终排入</w:t>
            </w:r>
            <w:r>
              <w:rPr>
                <w:rFonts w:hint="eastAsia"/>
                <w:bCs/>
                <w:sz w:val="24"/>
              </w:rPr>
              <w:t>湘江</w:t>
            </w:r>
            <w:r>
              <w:rPr>
                <w:bCs/>
                <w:sz w:val="24"/>
              </w:rPr>
              <w:t>。</w:t>
            </w:r>
          </w:p>
          <w:p w14:paraId="4C645D99">
            <w:pPr>
              <w:kinsoku w:val="0"/>
              <w:overflowPunct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表3-</w:t>
            </w:r>
            <w:r>
              <w:rPr>
                <w:rFonts w:hint="eastAsia"/>
                <w:b/>
                <w:bCs/>
                <w:color w:val="000000" w:themeColor="text1"/>
                <w:szCs w:val="21"/>
                <w14:textFill>
                  <w14:solidFill>
                    <w14:schemeClr w14:val="tx1"/>
                  </w14:solidFill>
                </w14:textFill>
              </w:rPr>
              <w:t xml:space="preserve">9 </w:t>
            </w:r>
            <w:r>
              <w:rPr>
                <w:b/>
                <w:bCs/>
                <w:color w:val="000000" w:themeColor="text1"/>
                <w:szCs w:val="21"/>
                <w14:textFill>
                  <w14:solidFill>
                    <w14:schemeClr w14:val="tx1"/>
                  </w14:solidFill>
                </w14:textFill>
              </w:rPr>
              <w:t>《污水综合排放标准》</w:t>
            </w:r>
            <w:r>
              <w:rPr>
                <w:rFonts w:hint="eastAsia"/>
                <w:b/>
                <w:bCs/>
                <w:color w:val="000000" w:themeColor="text1"/>
                <w:szCs w:val="21"/>
                <w14:textFill>
                  <w14:solidFill>
                    <w14:schemeClr w14:val="tx1"/>
                  </w14:solidFill>
                </w14:textFill>
              </w:rPr>
              <w:t>（GB 8978-1996）标准</w:t>
            </w:r>
          </w:p>
          <w:tbl>
            <w:tblPr>
              <w:tblStyle w:val="27"/>
              <w:tblW w:w="8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19"/>
              <w:gridCol w:w="1843"/>
              <w:gridCol w:w="3783"/>
            </w:tblGrid>
            <w:tr w14:paraId="5124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tcPr>
                <w:p w14:paraId="41679478">
                  <w:pPr>
                    <w:pStyle w:val="47"/>
                    <w:kinsoku w:val="0"/>
                    <w:overflowPunct w:val="0"/>
                    <w:topLinePunct/>
                    <w:spacing w:before="24" w:after="24"/>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1052" w:type="pct"/>
                  <w:tcBorders>
                    <w:tl2br w:val="nil"/>
                    <w:tr2bl w:val="nil"/>
                  </w:tcBorders>
                </w:tcPr>
                <w:p w14:paraId="3DB789EC">
                  <w:pPr>
                    <w:pStyle w:val="47"/>
                    <w:kinsoku w:val="0"/>
                    <w:overflowPunct w:val="0"/>
                    <w:topLinePunct/>
                    <w:spacing w:before="24" w:after="24"/>
                    <w:jc w:val="both"/>
                    <w:rPr>
                      <w:b/>
                      <w:bCs/>
                      <w:color w:val="000000" w:themeColor="text1"/>
                      <w14:textFill>
                        <w14:solidFill>
                          <w14:schemeClr w14:val="tx1"/>
                        </w14:solidFill>
                      </w14:textFill>
                    </w:rPr>
                  </w:pPr>
                  <w:r>
                    <w:rPr>
                      <w:b/>
                      <w:bCs/>
                      <w:color w:val="000000" w:themeColor="text1"/>
                      <w14:textFill>
                        <w14:solidFill>
                          <w14:schemeClr w14:val="tx1"/>
                        </w14:solidFill>
                      </w14:textFill>
                    </w:rPr>
                    <w:t>监测因子</w:t>
                  </w:r>
                </w:p>
              </w:tc>
              <w:tc>
                <w:tcPr>
                  <w:tcW w:w="1128" w:type="pct"/>
                  <w:tcBorders>
                    <w:tl2br w:val="nil"/>
                    <w:tr2bl w:val="nil"/>
                  </w:tcBorders>
                </w:tcPr>
                <w:p w14:paraId="453303C4">
                  <w:pPr>
                    <w:pStyle w:val="47"/>
                    <w:kinsoku w:val="0"/>
                    <w:overflowPunct w:val="0"/>
                    <w:topLinePunct/>
                    <w:spacing w:before="24" w:after="24"/>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排放</w:t>
                  </w:r>
                  <w:r>
                    <w:rPr>
                      <w:b/>
                      <w:bCs/>
                      <w:color w:val="000000" w:themeColor="text1"/>
                      <w14:textFill>
                        <w14:solidFill>
                          <w14:schemeClr w14:val="tx1"/>
                        </w14:solidFill>
                      </w14:textFill>
                    </w:rPr>
                    <w:t>标准</w:t>
                  </w:r>
                  <w:r>
                    <w:rPr>
                      <w:rFonts w:hint="eastAsia"/>
                      <w:b/>
                      <w:bCs/>
                      <w:color w:val="000000" w:themeColor="text1"/>
                      <w14:textFill>
                        <w14:solidFill>
                          <w14:schemeClr w14:val="tx1"/>
                        </w14:solidFill>
                      </w14:textFill>
                    </w:rPr>
                    <w:t>（</w:t>
                  </w:r>
                  <w:r>
                    <w:rPr>
                      <w:rFonts w:ascii="Times New Roman"/>
                      <w:b/>
                      <w:bCs/>
                      <w:color w:val="000000" w:themeColor="text1"/>
                      <w14:textFill>
                        <w14:solidFill>
                          <w14:schemeClr w14:val="tx1"/>
                        </w14:solidFill>
                      </w14:textFill>
                    </w:rPr>
                    <w:t>mg/L</w:t>
                  </w:r>
                  <w:r>
                    <w:rPr>
                      <w:rFonts w:hint="eastAsia"/>
                      <w:b/>
                      <w:bCs/>
                      <w:color w:val="000000" w:themeColor="text1"/>
                      <w14:textFill>
                        <w14:solidFill>
                          <w14:schemeClr w14:val="tx1"/>
                        </w14:solidFill>
                      </w14:textFill>
                    </w:rPr>
                    <w:t>）</w:t>
                  </w:r>
                </w:p>
              </w:tc>
              <w:tc>
                <w:tcPr>
                  <w:tcW w:w="2315" w:type="pct"/>
                  <w:tcBorders>
                    <w:tl2br w:val="nil"/>
                    <w:tr2bl w:val="nil"/>
                  </w:tcBorders>
                </w:tcPr>
                <w:p w14:paraId="76F2D657">
                  <w:pPr>
                    <w:pStyle w:val="47"/>
                    <w:kinsoku w:val="0"/>
                    <w:overflowPunct w:val="0"/>
                    <w:topLinePunct/>
                    <w:spacing w:before="24" w:after="24"/>
                    <w:rPr>
                      <w:b/>
                      <w:bCs/>
                      <w:color w:val="000000" w:themeColor="text1"/>
                      <w14:textFill>
                        <w14:solidFill>
                          <w14:schemeClr w14:val="tx1"/>
                        </w14:solidFill>
                      </w14:textFill>
                    </w:rPr>
                  </w:pPr>
                  <w:r>
                    <w:rPr>
                      <w:b/>
                      <w:bCs/>
                      <w:color w:val="000000" w:themeColor="text1"/>
                      <w14:textFill>
                        <w14:solidFill>
                          <w14:schemeClr w14:val="tx1"/>
                        </w14:solidFill>
                      </w14:textFill>
                    </w:rPr>
                    <w:t>《城镇污水处理厂污染物排放标准》GB18918-2002）</w:t>
                  </w:r>
                  <w:r>
                    <w:rPr>
                      <w:rFonts w:hint="eastAsia"/>
                      <w:b/>
                      <w:bCs/>
                      <w:color w:val="000000" w:themeColor="text1"/>
                      <w14:textFill>
                        <w14:solidFill>
                          <w14:schemeClr w14:val="tx1"/>
                        </w14:solidFill>
                      </w14:textFill>
                    </w:rPr>
                    <w:t>中</w:t>
                  </w:r>
                  <w:r>
                    <w:rPr>
                      <w:b/>
                      <w:bCs/>
                      <w:color w:val="000000" w:themeColor="text1"/>
                      <w14:textFill>
                        <w14:solidFill>
                          <w14:schemeClr w14:val="tx1"/>
                        </w14:solidFill>
                      </w14:textFill>
                    </w:rPr>
                    <w:t>一级B标准</w:t>
                  </w:r>
                </w:p>
              </w:tc>
            </w:tr>
            <w:tr w14:paraId="044E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7A6A18CB">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w:t>
                  </w:r>
                </w:p>
              </w:tc>
              <w:tc>
                <w:tcPr>
                  <w:tcW w:w="1052" w:type="pct"/>
                  <w:tcBorders>
                    <w:tl2br w:val="nil"/>
                    <w:tr2bl w:val="nil"/>
                  </w:tcBorders>
                  <w:vAlign w:val="center"/>
                </w:tcPr>
                <w:p w14:paraId="534615F0">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Ph</w:t>
                  </w:r>
                  <w:r>
                    <w:rPr>
                      <w:rFonts w:hint="eastAsia" w:ascii="Times New Roman"/>
                      <w:color w:val="000000" w:themeColor="text1"/>
                      <w14:textFill>
                        <w14:solidFill>
                          <w14:schemeClr w14:val="tx1"/>
                        </w14:solidFill>
                      </w14:textFill>
                    </w:rPr>
                    <w:t>(无量纲)</w:t>
                  </w:r>
                </w:p>
              </w:tc>
              <w:tc>
                <w:tcPr>
                  <w:tcW w:w="1128" w:type="pct"/>
                  <w:tcBorders>
                    <w:tl2br w:val="nil"/>
                    <w:tr2bl w:val="nil"/>
                  </w:tcBorders>
                  <w:vAlign w:val="center"/>
                </w:tcPr>
                <w:p w14:paraId="42C46B22">
                  <w:pPr>
                    <w:pStyle w:val="47"/>
                    <w:kinsoku w:val="0"/>
                    <w:overflowPunct w:val="0"/>
                    <w:topLinePunct/>
                    <w:spacing w:before="24" w:after="24"/>
                    <w:ind w:firstLine="630" w:firstLineChars="3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6~9</w:t>
                  </w:r>
                </w:p>
              </w:tc>
              <w:tc>
                <w:tcPr>
                  <w:tcW w:w="2315" w:type="pct"/>
                  <w:tcBorders>
                    <w:tl2br w:val="nil"/>
                    <w:tr2bl w:val="nil"/>
                  </w:tcBorders>
                  <w:vAlign w:val="center"/>
                </w:tcPr>
                <w:p w14:paraId="59510FAA">
                  <w:pPr>
                    <w:pStyle w:val="47"/>
                    <w:kinsoku w:val="0"/>
                    <w:overflowPunct w:val="0"/>
                    <w:topLinePunct/>
                    <w:spacing w:before="24" w:after="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6~9</w:t>
                  </w:r>
                </w:p>
              </w:tc>
            </w:tr>
            <w:tr w14:paraId="33F8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5F2C316D">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w:t>
                  </w:r>
                </w:p>
              </w:tc>
              <w:tc>
                <w:tcPr>
                  <w:tcW w:w="1052" w:type="pct"/>
                  <w:tcBorders>
                    <w:tl2br w:val="nil"/>
                    <w:tr2bl w:val="nil"/>
                  </w:tcBorders>
                  <w:vAlign w:val="center"/>
                </w:tcPr>
                <w:p w14:paraId="3D711B15">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COD</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mg/L</w:t>
                  </w:r>
                  <w:r>
                    <w:rPr>
                      <w:rFonts w:hint="eastAsia" w:ascii="Times New Roman"/>
                      <w:color w:val="000000" w:themeColor="text1"/>
                      <w14:textFill>
                        <w14:solidFill>
                          <w14:schemeClr w14:val="tx1"/>
                        </w14:solidFill>
                      </w14:textFill>
                    </w:rPr>
                    <w:t>）</w:t>
                  </w:r>
                </w:p>
              </w:tc>
              <w:tc>
                <w:tcPr>
                  <w:tcW w:w="1128" w:type="pct"/>
                  <w:tcBorders>
                    <w:tl2br w:val="nil"/>
                    <w:tr2bl w:val="nil"/>
                  </w:tcBorders>
                  <w:vAlign w:val="center"/>
                </w:tcPr>
                <w:p w14:paraId="3728D177">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50</w:t>
                  </w:r>
                  <w:r>
                    <w:rPr>
                      <w:rFonts w:ascii="Times New Roman"/>
                      <w:color w:val="000000" w:themeColor="text1"/>
                      <w14:textFill>
                        <w14:solidFill>
                          <w14:schemeClr w14:val="tx1"/>
                        </w14:solidFill>
                      </w14:textFill>
                    </w:rPr>
                    <w:t>0</w:t>
                  </w:r>
                </w:p>
              </w:tc>
              <w:tc>
                <w:tcPr>
                  <w:tcW w:w="2315" w:type="pct"/>
                  <w:tcBorders>
                    <w:tl2br w:val="nil"/>
                    <w:tr2bl w:val="nil"/>
                  </w:tcBorders>
                  <w:vAlign w:val="center"/>
                </w:tcPr>
                <w:p w14:paraId="332B650A">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60</w:t>
                  </w:r>
                </w:p>
              </w:tc>
            </w:tr>
            <w:tr w14:paraId="034D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63D5CCB8">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w:t>
                  </w:r>
                </w:p>
              </w:tc>
              <w:tc>
                <w:tcPr>
                  <w:tcW w:w="1052" w:type="pct"/>
                  <w:tcBorders>
                    <w:tl2br w:val="nil"/>
                    <w:tr2bl w:val="nil"/>
                  </w:tcBorders>
                  <w:vAlign w:val="center"/>
                </w:tcPr>
                <w:p w14:paraId="1C1B8C0F">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BOD</w:t>
                  </w:r>
                  <w:r>
                    <w:rPr>
                      <w:rFonts w:ascii="Times New Roman"/>
                      <w:b/>
                      <w:bCs/>
                      <w:color w:val="000000" w:themeColor="text1"/>
                      <w:vertAlign w:val="subscript"/>
                      <w14:textFill>
                        <w14:solidFill>
                          <w14:schemeClr w14:val="tx1"/>
                        </w14:solidFill>
                      </w14:textFill>
                    </w:rPr>
                    <w:t>5</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mg/L</w:t>
                  </w:r>
                  <w:r>
                    <w:rPr>
                      <w:rFonts w:hint="eastAsia" w:ascii="Times New Roman"/>
                      <w:color w:val="000000" w:themeColor="text1"/>
                      <w14:textFill>
                        <w14:solidFill>
                          <w14:schemeClr w14:val="tx1"/>
                        </w14:solidFill>
                      </w14:textFill>
                    </w:rPr>
                    <w:t>）</w:t>
                  </w:r>
                </w:p>
              </w:tc>
              <w:tc>
                <w:tcPr>
                  <w:tcW w:w="1128" w:type="pct"/>
                  <w:tcBorders>
                    <w:tl2br w:val="nil"/>
                    <w:tr2bl w:val="nil"/>
                  </w:tcBorders>
                  <w:vAlign w:val="center"/>
                </w:tcPr>
                <w:p w14:paraId="67D8CD6D">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30</w:t>
                  </w:r>
                  <w:r>
                    <w:rPr>
                      <w:rFonts w:ascii="Times New Roman"/>
                      <w:color w:val="000000" w:themeColor="text1"/>
                      <w14:textFill>
                        <w14:solidFill>
                          <w14:schemeClr w14:val="tx1"/>
                        </w14:solidFill>
                      </w14:textFill>
                    </w:rPr>
                    <w:t>0</w:t>
                  </w:r>
                </w:p>
              </w:tc>
              <w:tc>
                <w:tcPr>
                  <w:tcW w:w="2315" w:type="pct"/>
                  <w:tcBorders>
                    <w:tl2br w:val="nil"/>
                    <w:tr2bl w:val="nil"/>
                  </w:tcBorders>
                  <w:vAlign w:val="center"/>
                </w:tcPr>
                <w:p w14:paraId="7169720A">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20</w:t>
                  </w:r>
                </w:p>
              </w:tc>
            </w:tr>
            <w:tr w14:paraId="6694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5626B824">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p>
              </w:tc>
              <w:tc>
                <w:tcPr>
                  <w:tcW w:w="1052" w:type="pct"/>
                  <w:tcBorders>
                    <w:tl2br w:val="nil"/>
                    <w:tr2bl w:val="nil"/>
                  </w:tcBorders>
                  <w:vAlign w:val="center"/>
                </w:tcPr>
                <w:p w14:paraId="26732A2E">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SS</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mg/L</w:t>
                  </w:r>
                  <w:r>
                    <w:rPr>
                      <w:rFonts w:hint="eastAsia" w:ascii="Times New Roman"/>
                      <w:color w:val="000000" w:themeColor="text1"/>
                      <w14:textFill>
                        <w14:solidFill>
                          <w14:schemeClr w14:val="tx1"/>
                        </w14:solidFill>
                      </w14:textFill>
                    </w:rPr>
                    <w:t>）</w:t>
                  </w:r>
                </w:p>
              </w:tc>
              <w:tc>
                <w:tcPr>
                  <w:tcW w:w="1128" w:type="pct"/>
                  <w:tcBorders>
                    <w:tl2br w:val="nil"/>
                    <w:tr2bl w:val="nil"/>
                  </w:tcBorders>
                  <w:vAlign w:val="center"/>
                </w:tcPr>
                <w:p w14:paraId="2B25DCD0">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40</w:t>
                  </w:r>
                  <w:r>
                    <w:rPr>
                      <w:rFonts w:ascii="Times New Roman"/>
                      <w:color w:val="000000" w:themeColor="text1"/>
                      <w14:textFill>
                        <w14:solidFill>
                          <w14:schemeClr w14:val="tx1"/>
                        </w14:solidFill>
                      </w14:textFill>
                    </w:rPr>
                    <w:t>0</w:t>
                  </w:r>
                </w:p>
              </w:tc>
              <w:tc>
                <w:tcPr>
                  <w:tcW w:w="2315" w:type="pct"/>
                  <w:tcBorders>
                    <w:tl2br w:val="nil"/>
                    <w:tr2bl w:val="nil"/>
                  </w:tcBorders>
                  <w:vAlign w:val="center"/>
                </w:tcPr>
                <w:p w14:paraId="6B86BE78">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20</w:t>
                  </w:r>
                </w:p>
              </w:tc>
            </w:tr>
            <w:tr w14:paraId="7E40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7612C6BB">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w:t>
                  </w:r>
                </w:p>
              </w:tc>
              <w:tc>
                <w:tcPr>
                  <w:tcW w:w="1052" w:type="pct"/>
                  <w:tcBorders>
                    <w:tl2br w:val="nil"/>
                    <w:tr2bl w:val="nil"/>
                  </w:tcBorders>
                  <w:vAlign w:val="center"/>
                </w:tcPr>
                <w:p w14:paraId="495EF5A2">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NH</w:t>
                  </w:r>
                  <w:r>
                    <w:rPr>
                      <w:rFonts w:ascii="Times New Roman"/>
                      <w:color w:val="000000" w:themeColor="text1"/>
                      <w:vertAlign w:val="subscript"/>
                      <w14:textFill>
                        <w14:solidFill>
                          <w14:schemeClr w14:val="tx1"/>
                        </w14:solidFill>
                      </w14:textFill>
                    </w:rPr>
                    <w:t>3</w:t>
                  </w:r>
                  <w:r>
                    <w:rPr>
                      <w:rFonts w:ascii="Times New Roman"/>
                      <w:color w:val="000000" w:themeColor="text1"/>
                      <w14:textFill>
                        <w14:solidFill>
                          <w14:schemeClr w14:val="tx1"/>
                        </w14:solidFill>
                      </w14:textFill>
                    </w:rPr>
                    <w:t>-N</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mg/L</w:t>
                  </w:r>
                  <w:r>
                    <w:rPr>
                      <w:rFonts w:hint="eastAsia" w:ascii="Times New Roman"/>
                      <w:color w:val="000000" w:themeColor="text1"/>
                      <w14:textFill>
                        <w14:solidFill>
                          <w14:schemeClr w14:val="tx1"/>
                        </w14:solidFill>
                      </w14:textFill>
                    </w:rPr>
                    <w:t>）</w:t>
                  </w:r>
                </w:p>
              </w:tc>
              <w:tc>
                <w:tcPr>
                  <w:tcW w:w="1128" w:type="pct"/>
                  <w:tcBorders>
                    <w:tl2br w:val="nil"/>
                    <w:tr2bl w:val="nil"/>
                  </w:tcBorders>
                  <w:vAlign w:val="center"/>
                </w:tcPr>
                <w:p w14:paraId="5B0231E0">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45</w:t>
                  </w:r>
                </w:p>
              </w:tc>
              <w:tc>
                <w:tcPr>
                  <w:tcW w:w="2315" w:type="pct"/>
                  <w:tcBorders>
                    <w:tl2br w:val="nil"/>
                    <w:tr2bl w:val="nil"/>
                  </w:tcBorders>
                  <w:vAlign w:val="center"/>
                </w:tcPr>
                <w:p w14:paraId="6E6C920C">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p>
              </w:tc>
            </w:tr>
            <w:tr w14:paraId="192A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02247213">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6</w:t>
                  </w:r>
                </w:p>
              </w:tc>
              <w:tc>
                <w:tcPr>
                  <w:tcW w:w="1052" w:type="pct"/>
                  <w:tcBorders>
                    <w:tl2br w:val="nil"/>
                    <w:tr2bl w:val="nil"/>
                  </w:tcBorders>
                  <w:vAlign w:val="center"/>
                </w:tcPr>
                <w:p w14:paraId="4B38EE96">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TN（</w:t>
                  </w:r>
                  <w:r>
                    <w:rPr>
                      <w:rFonts w:ascii="Times New Roman"/>
                      <w:color w:val="000000" w:themeColor="text1"/>
                      <w14:textFill>
                        <w14:solidFill>
                          <w14:schemeClr w14:val="tx1"/>
                        </w14:solidFill>
                      </w14:textFill>
                    </w:rPr>
                    <w:t>mg/L</w:t>
                  </w:r>
                  <w:r>
                    <w:rPr>
                      <w:rFonts w:hint="eastAsia" w:ascii="Times New Roman"/>
                      <w:color w:val="000000" w:themeColor="text1"/>
                      <w14:textFill>
                        <w14:solidFill>
                          <w14:schemeClr w14:val="tx1"/>
                        </w14:solidFill>
                      </w14:textFill>
                    </w:rPr>
                    <w:t>）</w:t>
                  </w:r>
                </w:p>
              </w:tc>
              <w:tc>
                <w:tcPr>
                  <w:tcW w:w="1128" w:type="pct"/>
                  <w:tcBorders>
                    <w:tl2br w:val="nil"/>
                    <w:tr2bl w:val="nil"/>
                  </w:tcBorders>
                  <w:vAlign w:val="center"/>
                </w:tcPr>
                <w:p w14:paraId="6225C65C">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70</w:t>
                  </w:r>
                </w:p>
              </w:tc>
              <w:tc>
                <w:tcPr>
                  <w:tcW w:w="2315" w:type="pct"/>
                  <w:tcBorders>
                    <w:tl2br w:val="nil"/>
                    <w:tr2bl w:val="nil"/>
                  </w:tcBorders>
                  <w:vAlign w:val="center"/>
                </w:tcPr>
                <w:p w14:paraId="5E37AE68">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20</w:t>
                  </w:r>
                </w:p>
              </w:tc>
            </w:tr>
            <w:tr w14:paraId="5A7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3401D6EB">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7</w:t>
                  </w:r>
                </w:p>
              </w:tc>
              <w:tc>
                <w:tcPr>
                  <w:tcW w:w="1052" w:type="pct"/>
                  <w:tcBorders>
                    <w:tl2br w:val="nil"/>
                    <w:tr2bl w:val="nil"/>
                  </w:tcBorders>
                  <w:vAlign w:val="center"/>
                </w:tcPr>
                <w:p w14:paraId="459EBF53">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TP（</w:t>
                  </w:r>
                  <w:r>
                    <w:rPr>
                      <w:rFonts w:ascii="Times New Roman"/>
                      <w:color w:val="000000" w:themeColor="text1"/>
                      <w14:textFill>
                        <w14:solidFill>
                          <w14:schemeClr w14:val="tx1"/>
                        </w14:solidFill>
                      </w14:textFill>
                    </w:rPr>
                    <w:t>mg/L</w:t>
                  </w:r>
                  <w:r>
                    <w:rPr>
                      <w:rFonts w:hint="eastAsia" w:ascii="Times New Roman"/>
                      <w:color w:val="000000" w:themeColor="text1"/>
                      <w14:textFill>
                        <w14:solidFill>
                          <w14:schemeClr w14:val="tx1"/>
                        </w14:solidFill>
                      </w14:textFill>
                    </w:rPr>
                    <w:t>）</w:t>
                  </w:r>
                </w:p>
              </w:tc>
              <w:tc>
                <w:tcPr>
                  <w:tcW w:w="1128" w:type="pct"/>
                  <w:tcBorders>
                    <w:tl2br w:val="nil"/>
                    <w:tr2bl w:val="nil"/>
                  </w:tcBorders>
                  <w:vAlign w:val="center"/>
                </w:tcPr>
                <w:p w14:paraId="761EB7B4">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p>
              </w:tc>
              <w:tc>
                <w:tcPr>
                  <w:tcW w:w="2315" w:type="pct"/>
                  <w:tcBorders>
                    <w:tl2br w:val="nil"/>
                    <w:tr2bl w:val="nil"/>
                  </w:tcBorders>
                  <w:vAlign w:val="center"/>
                </w:tcPr>
                <w:p w14:paraId="137A6B74">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w:t>
                  </w:r>
                </w:p>
              </w:tc>
            </w:tr>
            <w:tr w14:paraId="0AF0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5" w:type="pct"/>
                  <w:tcBorders>
                    <w:tl2br w:val="nil"/>
                    <w:tr2bl w:val="nil"/>
                  </w:tcBorders>
                  <w:vAlign w:val="center"/>
                </w:tcPr>
                <w:p w14:paraId="00D9063C">
                  <w:pPr>
                    <w:pStyle w:val="47"/>
                    <w:kinsoku w:val="0"/>
                    <w:overflowPunct w:val="0"/>
                    <w:topLinePunct/>
                    <w:adjustRightInd/>
                    <w:snapToGrid/>
                    <w:spacing w:beforeLines="0" w:afterLines="0"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p>
              </w:tc>
              <w:tc>
                <w:tcPr>
                  <w:tcW w:w="1052" w:type="pct"/>
                  <w:tcBorders>
                    <w:tl2br w:val="nil"/>
                    <w:tr2bl w:val="nil"/>
                  </w:tcBorders>
                  <w:vAlign w:val="center"/>
                </w:tcPr>
                <w:p w14:paraId="20D0D7EF">
                  <w:pPr>
                    <w:pStyle w:val="47"/>
                    <w:kinsoku w:val="0"/>
                    <w:overflowPunct w:val="0"/>
                    <w:topLinePunct/>
                    <w:spacing w:before="24" w:after="24"/>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LAS</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mg/L</w:t>
                  </w:r>
                  <w:r>
                    <w:rPr>
                      <w:rFonts w:hint="eastAsia" w:ascii="Times New Roman"/>
                      <w:color w:val="000000" w:themeColor="text1"/>
                      <w14:textFill>
                        <w14:solidFill>
                          <w14:schemeClr w14:val="tx1"/>
                        </w14:solidFill>
                      </w14:textFill>
                    </w:rPr>
                    <w:t>）</w:t>
                  </w:r>
                </w:p>
              </w:tc>
              <w:tc>
                <w:tcPr>
                  <w:tcW w:w="1128" w:type="pct"/>
                  <w:tcBorders>
                    <w:tl2br w:val="nil"/>
                    <w:tr2bl w:val="nil"/>
                  </w:tcBorders>
                  <w:vAlign w:val="center"/>
                </w:tcPr>
                <w:p w14:paraId="06F89EC8">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20</w:t>
                  </w:r>
                </w:p>
              </w:tc>
              <w:tc>
                <w:tcPr>
                  <w:tcW w:w="2315" w:type="pct"/>
                  <w:tcBorders>
                    <w:tl2br w:val="nil"/>
                    <w:tr2bl w:val="nil"/>
                  </w:tcBorders>
                  <w:vAlign w:val="center"/>
                </w:tcPr>
                <w:p w14:paraId="34CA1F17">
                  <w:pPr>
                    <w:pStyle w:val="47"/>
                    <w:kinsoku w:val="0"/>
                    <w:overflowPunct w:val="0"/>
                    <w:topLinePunct/>
                    <w:spacing w:before="24" w:after="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w:t>
                  </w:r>
                </w:p>
              </w:tc>
            </w:tr>
          </w:tbl>
          <w:p w14:paraId="0974B0F9">
            <w:pPr>
              <w:pStyle w:val="2"/>
              <w:ind w:firstLine="480"/>
            </w:pPr>
          </w:p>
          <w:p w14:paraId="37FFC3A2">
            <w:pPr>
              <w:adjustRightInd w:val="0"/>
              <w:snapToGrid w:val="0"/>
              <w:spacing w:line="360" w:lineRule="auto"/>
              <w:rPr>
                <w:kern w:val="0"/>
                <w:sz w:val="24"/>
              </w:rPr>
            </w:pPr>
            <w:r>
              <w:rPr>
                <w:rFonts w:hint="eastAsia"/>
                <w:b/>
                <w:bCs/>
                <w:kern w:val="0"/>
                <w:sz w:val="24"/>
              </w:rPr>
              <w:t>3、噪声</w:t>
            </w:r>
          </w:p>
          <w:p w14:paraId="6A00DDEA">
            <w:pPr>
              <w:adjustRightInd w:val="0"/>
              <w:snapToGrid w:val="0"/>
              <w:spacing w:line="360" w:lineRule="auto"/>
              <w:ind w:firstLine="480" w:firstLineChars="200"/>
              <w:rPr>
                <w:kern w:val="0"/>
                <w:sz w:val="24"/>
              </w:rPr>
            </w:pPr>
            <w:r>
              <w:rPr>
                <w:rFonts w:hint="eastAsia" w:hAnsi="宋体"/>
                <w:sz w:val="24"/>
              </w:rPr>
              <w:t>运营期厂界噪声执行《工业企业厂界环境噪声排放标准》（</w:t>
            </w:r>
            <w:r>
              <w:rPr>
                <w:sz w:val="24"/>
              </w:rPr>
              <w:t>GB12348-2008</w:t>
            </w:r>
            <w:r>
              <w:rPr>
                <w:rFonts w:hint="eastAsia" w:hAnsi="宋体"/>
                <w:sz w:val="24"/>
              </w:rPr>
              <w:t>）中的2类标准。</w:t>
            </w:r>
          </w:p>
          <w:p w14:paraId="3E4E3F76">
            <w:pPr>
              <w:pStyle w:val="60"/>
              <w:ind w:firstLine="396" w:firstLineChars="188"/>
              <w:jc w:val="center"/>
              <w:rPr>
                <w:rFonts w:eastAsia="宋体"/>
                <w:b/>
                <w:bCs/>
                <w:szCs w:val="21"/>
              </w:rPr>
            </w:pPr>
            <w:r>
              <w:rPr>
                <w:rFonts w:eastAsia="宋体"/>
                <w:b/>
                <w:szCs w:val="21"/>
              </w:rPr>
              <w:t xml:space="preserve">表 </w:t>
            </w:r>
            <w:r>
              <w:rPr>
                <w:rFonts w:hint="eastAsia" w:eastAsia="宋体"/>
                <w:b/>
                <w:szCs w:val="21"/>
              </w:rPr>
              <w:t>3-10</w:t>
            </w:r>
            <w:r>
              <w:rPr>
                <w:rFonts w:eastAsia="宋体"/>
                <w:b/>
                <w:szCs w:val="21"/>
              </w:rPr>
              <w:t>工业企业厂界环境噪声</w:t>
            </w:r>
            <w:r>
              <w:rPr>
                <w:rFonts w:eastAsia="宋体"/>
                <w:b/>
                <w:bCs/>
                <w:szCs w:val="21"/>
              </w:rPr>
              <w:t>排放标准  单位：dB（A）</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9"/>
              <w:gridCol w:w="2302"/>
              <w:gridCol w:w="1916"/>
            </w:tblGrid>
            <w:tr w14:paraId="380B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7" w:type="pct"/>
                  <w:vAlign w:val="center"/>
                </w:tcPr>
                <w:p w14:paraId="5AE56975">
                  <w:pPr>
                    <w:jc w:val="center"/>
                    <w:rPr>
                      <w:bCs/>
                      <w:szCs w:val="21"/>
                    </w:rPr>
                  </w:pPr>
                  <w:r>
                    <w:rPr>
                      <w:rFonts w:hint="eastAsia"/>
                      <w:bCs/>
                      <w:szCs w:val="21"/>
                    </w:rPr>
                    <w:t>标准等级</w:t>
                  </w:r>
                </w:p>
              </w:tc>
              <w:tc>
                <w:tcPr>
                  <w:tcW w:w="1409" w:type="pct"/>
                  <w:vAlign w:val="center"/>
                </w:tcPr>
                <w:p w14:paraId="2E0B944F">
                  <w:pPr>
                    <w:jc w:val="center"/>
                    <w:rPr>
                      <w:bCs/>
                      <w:szCs w:val="21"/>
                    </w:rPr>
                  </w:pPr>
                  <w:r>
                    <w:rPr>
                      <w:bCs/>
                      <w:szCs w:val="21"/>
                    </w:rPr>
                    <w:t>昼间[d</w:t>
                  </w:r>
                  <w:r>
                    <w:rPr>
                      <w:rFonts w:hint="eastAsia"/>
                      <w:bCs/>
                      <w:szCs w:val="21"/>
                    </w:rPr>
                    <w:t>B</w:t>
                  </w:r>
                  <w:r>
                    <w:rPr>
                      <w:bCs/>
                      <w:szCs w:val="21"/>
                    </w:rPr>
                    <w:t>(A)]</w:t>
                  </w:r>
                </w:p>
              </w:tc>
              <w:tc>
                <w:tcPr>
                  <w:tcW w:w="1173" w:type="pct"/>
                  <w:vAlign w:val="center"/>
                </w:tcPr>
                <w:p w14:paraId="0D455645">
                  <w:pPr>
                    <w:jc w:val="center"/>
                    <w:rPr>
                      <w:bCs/>
                      <w:szCs w:val="21"/>
                    </w:rPr>
                  </w:pPr>
                  <w:r>
                    <w:rPr>
                      <w:bCs/>
                      <w:szCs w:val="21"/>
                    </w:rPr>
                    <w:t>夜间[d</w:t>
                  </w:r>
                  <w:r>
                    <w:rPr>
                      <w:rFonts w:hint="eastAsia"/>
                      <w:bCs/>
                      <w:szCs w:val="21"/>
                    </w:rPr>
                    <w:t>B</w:t>
                  </w:r>
                  <w:r>
                    <w:rPr>
                      <w:bCs/>
                      <w:szCs w:val="21"/>
                    </w:rPr>
                    <w:t>(A)]</w:t>
                  </w:r>
                </w:p>
              </w:tc>
            </w:tr>
            <w:tr w14:paraId="26A8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7" w:type="pct"/>
                  <w:vAlign w:val="center"/>
                </w:tcPr>
                <w:p w14:paraId="263DD366">
                  <w:pPr>
                    <w:jc w:val="center"/>
                    <w:rPr>
                      <w:bCs/>
                      <w:szCs w:val="21"/>
                    </w:rPr>
                  </w:pPr>
                  <w:r>
                    <w:rPr>
                      <w:rFonts w:hint="eastAsia"/>
                      <w:szCs w:val="21"/>
                    </w:rPr>
                    <w:t>（</w:t>
                  </w:r>
                  <w:r>
                    <w:rPr>
                      <w:szCs w:val="21"/>
                    </w:rPr>
                    <w:t>GB 12348-2008</w:t>
                  </w:r>
                  <w:r>
                    <w:rPr>
                      <w:rFonts w:hint="eastAsia"/>
                      <w:szCs w:val="21"/>
                    </w:rPr>
                    <w:t>）2</w:t>
                  </w:r>
                  <w:r>
                    <w:rPr>
                      <w:szCs w:val="21"/>
                    </w:rPr>
                    <w:t>类标准</w:t>
                  </w:r>
                </w:p>
              </w:tc>
              <w:tc>
                <w:tcPr>
                  <w:tcW w:w="1409" w:type="pct"/>
                  <w:vAlign w:val="center"/>
                </w:tcPr>
                <w:p w14:paraId="2CE3C061">
                  <w:pPr>
                    <w:jc w:val="center"/>
                    <w:rPr>
                      <w:szCs w:val="21"/>
                    </w:rPr>
                  </w:pPr>
                  <w:r>
                    <w:rPr>
                      <w:szCs w:val="21"/>
                    </w:rPr>
                    <w:t>6</w:t>
                  </w:r>
                  <w:r>
                    <w:rPr>
                      <w:rFonts w:hint="eastAsia"/>
                      <w:szCs w:val="21"/>
                    </w:rPr>
                    <w:t>0</w:t>
                  </w:r>
                </w:p>
              </w:tc>
              <w:tc>
                <w:tcPr>
                  <w:tcW w:w="1173" w:type="pct"/>
                  <w:vAlign w:val="center"/>
                </w:tcPr>
                <w:p w14:paraId="3858184A">
                  <w:pPr>
                    <w:jc w:val="center"/>
                    <w:rPr>
                      <w:szCs w:val="21"/>
                    </w:rPr>
                  </w:pPr>
                  <w:r>
                    <w:rPr>
                      <w:szCs w:val="21"/>
                    </w:rPr>
                    <w:t>5</w:t>
                  </w:r>
                  <w:r>
                    <w:rPr>
                      <w:rFonts w:hint="eastAsia"/>
                      <w:szCs w:val="21"/>
                    </w:rPr>
                    <w:t>0</w:t>
                  </w:r>
                </w:p>
              </w:tc>
            </w:tr>
          </w:tbl>
          <w:p w14:paraId="52CB52F1">
            <w:pPr>
              <w:adjustRightInd w:val="0"/>
              <w:snapToGrid w:val="0"/>
              <w:spacing w:line="360" w:lineRule="auto"/>
              <w:rPr>
                <w:b/>
                <w:bCs/>
                <w:kern w:val="0"/>
                <w:sz w:val="24"/>
              </w:rPr>
            </w:pPr>
          </w:p>
          <w:p w14:paraId="2D3E4B53">
            <w:pPr>
              <w:adjustRightInd w:val="0"/>
              <w:snapToGrid w:val="0"/>
              <w:spacing w:line="360" w:lineRule="auto"/>
              <w:rPr>
                <w:kern w:val="0"/>
                <w:sz w:val="24"/>
              </w:rPr>
            </w:pPr>
            <w:r>
              <w:rPr>
                <w:rFonts w:hint="eastAsia"/>
                <w:b/>
                <w:bCs/>
                <w:kern w:val="0"/>
                <w:sz w:val="24"/>
              </w:rPr>
              <w:t>4、固废</w:t>
            </w:r>
          </w:p>
          <w:p w14:paraId="49DC6DCB">
            <w:pPr>
              <w:adjustRightInd w:val="0"/>
              <w:snapToGrid w:val="0"/>
              <w:spacing w:line="360" w:lineRule="auto"/>
              <w:ind w:firstLine="480" w:firstLineChars="200"/>
              <w:rPr>
                <w:kern w:val="0"/>
                <w:sz w:val="24"/>
              </w:rPr>
            </w:pPr>
            <w:r>
              <w:rPr>
                <w:rFonts w:hint="eastAsia"/>
                <w:kern w:val="0"/>
                <w:sz w:val="24"/>
              </w:rPr>
              <w:t>一般工业固废执行《一般工业固体废物贮存和填埋污染控制标准》（GB18599-2020）；生活垃圾运至衡山县垃圾中转站进行妥善处置。</w:t>
            </w:r>
          </w:p>
        </w:tc>
      </w:tr>
      <w:tr w14:paraId="4C361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72C97BFD">
            <w:pPr>
              <w:adjustRightInd w:val="0"/>
              <w:snapToGrid w:val="0"/>
              <w:jc w:val="center"/>
              <w:rPr>
                <w:kern w:val="0"/>
                <w:sz w:val="24"/>
              </w:rPr>
            </w:pPr>
            <w:r>
              <w:rPr>
                <w:kern w:val="0"/>
                <w:sz w:val="24"/>
              </w:rPr>
              <w:t>总量</w:t>
            </w:r>
          </w:p>
          <w:p w14:paraId="36A69EF5">
            <w:pPr>
              <w:adjustRightInd w:val="0"/>
              <w:snapToGrid w:val="0"/>
              <w:jc w:val="center"/>
              <w:rPr>
                <w:kern w:val="0"/>
                <w:sz w:val="24"/>
              </w:rPr>
            </w:pPr>
            <w:r>
              <w:rPr>
                <w:kern w:val="0"/>
                <w:sz w:val="24"/>
              </w:rPr>
              <w:t>控制</w:t>
            </w:r>
          </w:p>
          <w:p w14:paraId="312CF532">
            <w:pPr>
              <w:adjustRightInd w:val="0"/>
              <w:snapToGrid w:val="0"/>
              <w:jc w:val="center"/>
              <w:rPr>
                <w:kern w:val="0"/>
                <w:sz w:val="24"/>
              </w:rPr>
            </w:pPr>
            <w:r>
              <w:rPr>
                <w:kern w:val="0"/>
                <w:sz w:val="24"/>
              </w:rPr>
              <w:t>指标</w:t>
            </w:r>
          </w:p>
        </w:tc>
        <w:tc>
          <w:tcPr>
            <w:tcW w:w="8190" w:type="dxa"/>
            <w:vAlign w:val="center"/>
          </w:tcPr>
          <w:p w14:paraId="545F483F">
            <w:pPr>
              <w:tabs>
                <w:tab w:val="left" w:pos="5640"/>
              </w:tabs>
              <w:spacing w:line="360" w:lineRule="auto"/>
              <w:ind w:firstLine="420" w:firstLineChars="200"/>
              <w:rPr>
                <w:szCs w:val="21"/>
              </w:rPr>
            </w:pPr>
          </w:p>
          <w:p w14:paraId="22B1C34D">
            <w:pPr>
              <w:tabs>
                <w:tab w:val="left" w:pos="5640"/>
              </w:tabs>
              <w:spacing w:line="360" w:lineRule="auto"/>
              <w:ind w:firstLine="480" w:firstLineChars="200"/>
              <w:rPr>
                <w:szCs w:val="21"/>
              </w:rPr>
            </w:pPr>
            <w:r>
              <w:rPr>
                <w:kern w:val="0"/>
                <w:sz w:val="24"/>
              </w:rPr>
              <w:t>国务院关于印发“十</w:t>
            </w:r>
            <w:r>
              <w:rPr>
                <w:rFonts w:hint="eastAsia"/>
                <w:kern w:val="0"/>
                <w:sz w:val="24"/>
              </w:rPr>
              <w:t>四</w:t>
            </w:r>
            <w:r>
              <w:rPr>
                <w:kern w:val="0"/>
                <w:sz w:val="24"/>
              </w:rPr>
              <w:t>五”生态环境保护规划的通知（国发〔2016〕65号）中对化学需氧量、氨氮、二氧化硫和氮氧化物四项指标实行排放总量控制计划。</w:t>
            </w:r>
          </w:p>
          <w:p w14:paraId="24C750FD">
            <w:pPr>
              <w:adjustRightInd w:val="0"/>
              <w:snapToGrid w:val="0"/>
              <w:spacing w:line="360" w:lineRule="auto"/>
              <w:ind w:firstLine="480" w:firstLineChars="200"/>
              <w:rPr>
                <w:kern w:val="0"/>
                <w:sz w:val="24"/>
              </w:rPr>
            </w:pPr>
            <w:r>
              <w:rPr>
                <w:kern w:val="0"/>
                <w:sz w:val="24"/>
              </w:rPr>
              <w:t>根据本项目污染物分析，建议本项目污染物总量控制指标如下：</w:t>
            </w:r>
          </w:p>
          <w:p w14:paraId="0D7ABAE0">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水污染物：</w:t>
            </w:r>
            <w:r>
              <w:rPr>
                <w:rFonts w:hint="eastAsia"/>
                <w:color w:val="000000" w:themeColor="text1"/>
                <w:kern w:val="0"/>
                <w:sz w:val="24"/>
                <w14:textFill>
                  <w14:solidFill>
                    <w14:schemeClr w14:val="tx1"/>
                  </w14:solidFill>
                </w14:textFill>
              </w:rPr>
              <w:t>COD</w:t>
            </w:r>
            <w:r>
              <w:rPr>
                <w:color w:val="000000" w:themeColor="text1"/>
                <w:kern w:val="0"/>
                <w:sz w:val="24"/>
                <w14:textFill>
                  <w14:solidFill>
                    <w14:schemeClr w14:val="tx1"/>
                  </w14:solidFill>
                </w14:textFill>
              </w:rPr>
              <w:t>、氨氮、总磷。</w:t>
            </w:r>
          </w:p>
          <w:p w14:paraId="682A0495">
            <w:pPr>
              <w:adjustRightInd w:val="0"/>
              <w:snapToGrid w:val="0"/>
              <w:spacing w:line="360" w:lineRule="auto"/>
              <w:ind w:firstLine="480" w:firstLineChars="200"/>
              <w:rPr>
                <w:kern w:val="0"/>
                <w:sz w:val="24"/>
              </w:rPr>
            </w:pPr>
            <w:r>
              <w:rPr>
                <w:rFonts w:hint="eastAsia"/>
                <w:kern w:val="0"/>
                <w:sz w:val="24"/>
              </w:rPr>
              <w:t>衡山国祯水处理有限公司</w:t>
            </w:r>
            <w:r>
              <w:rPr>
                <w:kern w:val="0"/>
                <w:sz w:val="24"/>
              </w:rPr>
              <w:t>的出水水质标准</w:t>
            </w:r>
            <w:r>
              <w:rPr>
                <w:rFonts w:hint="eastAsia"/>
                <w:kern w:val="0"/>
                <w:sz w:val="24"/>
              </w:rPr>
              <w:t>为</w:t>
            </w:r>
            <w:r>
              <w:rPr>
                <w:kern w:val="0"/>
                <w:sz w:val="24"/>
              </w:rPr>
              <w:t>（《城镇污水处理厂污染物排放标准》（GB18918-2002）中的一级B标准）</w:t>
            </w:r>
            <w:r>
              <w:rPr>
                <w:rFonts w:hint="eastAsia"/>
                <w:kern w:val="0"/>
                <w:sz w:val="24"/>
              </w:rPr>
              <w:t>：</w:t>
            </w:r>
          </w:p>
          <w:p w14:paraId="025BC694">
            <w:pPr>
              <w:adjustRightInd w:val="0"/>
              <w:snapToGrid w:val="0"/>
              <w:spacing w:line="360" w:lineRule="auto"/>
              <w:ind w:firstLine="480" w:firstLineChars="200"/>
              <w:rPr>
                <w:kern w:val="0"/>
                <w:sz w:val="24"/>
              </w:rPr>
            </w:pPr>
            <w:r>
              <w:rPr>
                <w:rFonts w:hint="eastAsia"/>
                <w:kern w:val="0"/>
                <w:sz w:val="24"/>
              </w:rPr>
              <w:t>COD排放量=60*21080.8=1.265t/a</w:t>
            </w:r>
          </w:p>
          <w:p w14:paraId="67ABA6B0">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氨氮</w:t>
            </w:r>
            <w:r>
              <w:rPr>
                <w:rFonts w:hint="eastAsia"/>
                <w:color w:val="000000" w:themeColor="text1"/>
                <w:kern w:val="0"/>
                <w:sz w:val="24"/>
                <w14:textFill>
                  <w14:solidFill>
                    <w14:schemeClr w14:val="tx1"/>
                  </w14:solidFill>
                </w14:textFill>
              </w:rPr>
              <w:t>排放量=</w:t>
            </w:r>
            <w:r>
              <w:rPr>
                <w:rFonts w:hint="eastAsia"/>
                <w:kern w:val="0"/>
                <w:sz w:val="24"/>
              </w:rPr>
              <w:t>8*21080.8=0.169t/a</w:t>
            </w:r>
          </w:p>
          <w:p w14:paraId="143C8566">
            <w:pPr>
              <w:adjustRightInd w:val="0"/>
              <w:snapToGrid w:val="0"/>
              <w:spacing w:line="360" w:lineRule="auto"/>
              <w:ind w:firstLine="480" w:firstLineChars="200"/>
              <w:rPr>
                <w:kern w:val="0"/>
                <w:sz w:val="24"/>
              </w:rPr>
            </w:pPr>
            <w:r>
              <w:rPr>
                <w:color w:val="000000" w:themeColor="text1"/>
                <w:kern w:val="0"/>
                <w:sz w:val="24"/>
                <w14:textFill>
                  <w14:solidFill>
                    <w14:schemeClr w14:val="tx1"/>
                  </w14:solidFill>
                </w14:textFill>
              </w:rPr>
              <w:t>总磷</w:t>
            </w:r>
            <w:r>
              <w:rPr>
                <w:rFonts w:hint="eastAsia"/>
                <w:color w:val="000000" w:themeColor="text1"/>
                <w:kern w:val="0"/>
                <w:sz w:val="24"/>
                <w14:textFill>
                  <w14:solidFill>
                    <w14:schemeClr w14:val="tx1"/>
                  </w14:solidFill>
                </w14:textFill>
              </w:rPr>
              <w:t>排放量=</w:t>
            </w:r>
            <w:r>
              <w:rPr>
                <w:rFonts w:hint="eastAsia"/>
                <w:kern w:val="0"/>
                <w:sz w:val="24"/>
              </w:rPr>
              <w:t>1*21080.8=0.0211t/a</w:t>
            </w:r>
          </w:p>
          <w:p w14:paraId="4BF34A1A">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废水</w:t>
            </w:r>
            <w:r>
              <w:rPr>
                <w:color w:val="000000" w:themeColor="text1"/>
                <w:kern w:val="0"/>
                <w:sz w:val="24"/>
                <w14:textFill>
                  <w14:solidFill>
                    <w14:schemeClr w14:val="tx1"/>
                  </w14:solidFill>
                </w14:textFill>
              </w:rPr>
              <w:t>污染物：</w:t>
            </w:r>
            <w:r>
              <w:rPr>
                <w:rFonts w:hint="eastAsia"/>
                <w:kern w:val="0"/>
                <w:sz w:val="24"/>
              </w:rPr>
              <w:t>COD：1.265t/a、氨氮：0.169t/a、总磷0.0211t/a</w:t>
            </w:r>
            <w:r>
              <w:rPr>
                <w:kern w:val="0"/>
                <w:sz w:val="24"/>
              </w:rPr>
              <w:t>。</w:t>
            </w:r>
          </w:p>
          <w:p w14:paraId="2E8E4A6A">
            <w:pPr>
              <w:adjustRightInd w:val="0"/>
              <w:snapToGrid w:val="0"/>
              <w:spacing w:line="360" w:lineRule="auto"/>
              <w:ind w:firstLine="480" w:firstLineChars="200"/>
              <w:rPr>
                <w:kern w:val="0"/>
                <w:sz w:val="24"/>
              </w:rPr>
            </w:pPr>
          </w:p>
          <w:p w14:paraId="58F80FC2">
            <w:pPr>
              <w:adjustRightInd w:val="0"/>
              <w:snapToGrid w:val="0"/>
              <w:spacing w:line="360" w:lineRule="auto"/>
              <w:ind w:firstLine="480" w:firstLineChars="200"/>
              <w:rPr>
                <w:kern w:val="0"/>
                <w:sz w:val="24"/>
              </w:rPr>
            </w:pPr>
            <w:r>
              <w:rPr>
                <w:kern w:val="0"/>
                <w:sz w:val="24"/>
              </w:rPr>
              <w:t>确定本项目的大气总量控制因子为</w:t>
            </w:r>
            <w:r>
              <w:rPr>
                <w:rFonts w:hint="eastAsia"/>
                <w:kern w:val="0"/>
                <w:sz w:val="24"/>
              </w:rPr>
              <w:t>二氧化硫、氮氧化物。</w:t>
            </w:r>
          </w:p>
          <w:p w14:paraId="385FE95C">
            <w:pPr>
              <w:adjustRightInd w:val="0"/>
              <w:snapToGrid w:val="0"/>
              <w:spacing w:line="360" w:lineRule="auto"/>
              <w:ind w:firstLine="480" w:firstLineChars="200"/>
            </w:pPr>
            <w:r>
              <w:rPr>
                <w:color w:val="000000" w:themeColor="text1"/>
                <w:kern w:val="0"/>
                <w:sz w:val="24"/>
                <w14:textFill>
                  <w14:solidFill>
                    <w14:schemeClr w14:val="tx1"/>
                  </w14:solidFill>
                </w14:textFill>
              </w:rPr>
              <w:t>大气污染物：</w:t>
            </w:r>
            <w:r>
              <w:rPr>
                <w:rFonts w:hint="eastAsia"/>
                <w:kern w:val="0"/>
                <w:sz w:val="24"/>
              </w:rPr>
              <w:t>SO</w:t>
            </w:r>
            <w:r>
              <w:rPr>
                <w:rFonts w:hint="eastAsia"/>
                <w:kern w:val="0"/>
                <w:sz w:val="24"/>
                <w:vertAlign w:val="subscript"/>
              </w:rPr>
              <w:t>2</w:t>
            </w:r>
            <w:r>
              <w:rPr>
                <w:rFonts w:hint="eastAsia"/>
                <w:kern w:val="0"/>
                <w:sz w:val="24"/>
              </w:rPr>
              <w:t>：0.192t/a、NOx：0.575t/a</w:t>
            </w:r>
            <w:r>
              <w:rPr>
                <w:kern w:val="0"/>
                <w:sz w:val="24"/>
              </w:rPr>
              <w:t>。</w:t>
            </w:r>
          </w:p>
          <w:p w14:paraId="52883AEC">
            <w:pPr>
              <w:adjustRightInd w:val="0"/>
              <w:snapToGrid w:val="0"/>
              <w:spacing w:line="360" w:lineRule="auto"/>
              <w:ind w:firstLine="480" w:firstLineChars="200"/>
              <w:rPr>
                <w:kern w:val="0"/>
                <w:sz w:val="24"/>
              </w:rPr>
            </w:pPr>
            <w:r>
              <w:rPr>
                <w:rFonts w:hint="eastAsia"/>
                <w:sz w:val="24"/>
              </w:rPr>
              <w:t>总量指标从衡阳市排污权交易中心购买</w:t>
            </w:r>
            <w:r>
              <w:rPr>
                <w:rStyle w:val="31"/>
                <w:rFonts w:hint="eastAsia"/>
                <w:kern w:val="0"/>
                <w:sz w:val="24"/>
              </w:rPr>
              <w:t>。</w:t>
            </w:r>
          </w:p>
          <w:p w14:paraId="4F495B08">
            <w:pPr>
              <w:adjustRightInd w:val="0"/>
              <w:snapToGrid w:val="0"/>
              <w:spacing w:line="360" w:lineRule="auto"/>
              <w:ind w:firstLine="480" w:firstLineChars="200"/>
              <w:rPr>
                <w:kern w:val="0"/>
                <w:sz w:val="24"/>
              </w:rPr>
            </w:pPr>
          </w:p>
        </w:tc>
      </w:tr>
    </w:tbl>
    <w:p w14:paraId="537438D1">
      <w:pPr>
        <w:pStyle w:val="24"/>
        <w:jc w:val="center"/>
        <w:outlineLvl w:val="0"/>
        <w:rPr>
          <w:rFonts w:hint="eastAsia" w:ascii="黑体" w:hAnsi="黑体" w:eastAsia="黑体"/>
          <w:snapToGrid w:val="0"/>
          <w:sz w:val="30"/>
          <w:szCs w:val="30"/>
        </w:rPr>
      </w:pPr>
      <w:r>
        <w:rPr>
          <w:rFonts w:ascii="黑体" w:hAnsi="黑体" w:eastAsia="黑体"/>
          <w:snapToGrid w:val="0"/>
          <w:sz w:val="36"/>
          <w:szCs w:val="36"/>
        </w:rPr>
        <w:br w:type="page"/>
      </w:r>
      <w:bookmarkStart w:id="6" w:name="_Toc31524"/>
      <w:r>
        <w:rPr>
          <w:rFonts w:hint="eastAsia" w:ascii="黑体" w:hAnsi="黑体" w:eastAsia="黑体"/>
          <w:snapToGrid w:val="0"/>
          <w:sz w:val="30"/>
          <w:szCs w:val="30"/>
        </w:rPr>
        <w:t>四、主要环境影响和保护措施</w:t>
      </w:r>
      <w:bookmarkEnd w:id="6"/>
    </w:p>
    <w:tbl>
      <w:tblPr>
        <w:tblStyle w:val="26"/>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220"/>
      </w:tblGrid>
      <w:tr w14:paraId="1B9D8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841" w:type="dxa"/>
            <w:tcMar>
              <w:left w:w="28" w:type="dxa"/>
              <w:right w:w="28" w:type="dxa"/>
            </w:tcMar>
            <w:vAlign w:val="center"/>
          </w:tcPr>
          <w:p w14:paraId="2CB482B8">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14:paraId="240789B0">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14:paraId="5039EB4B">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14:paraId="59048B97">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14:paraId="1E6BF68D">
            <w:pPr>
              <w:pStyle w:val="24"/>
              <w:adjustRightInd w:val="0"/>
              <w:snapToGrid w:val="0"/>
              <w:spacing w:before="0" w:beforeAutospacing="0" w:after="0" w:afterAutospacing="0"/>
              <w:jc w:val="center"/>
              <w:rPr>
                <w:rFonts w:ascii="Times New Roman" w:hAnsi="Times New Roman"/>
                <w:bCs/>
                <w:kern w:val="2"/>
                <w:szCs w:val="24"/>
              </w:rPr>
            </w:pPr>
            <w:r>
              <w:rPr>
                <w:rFonts w:ascii="Times New Roman" w:hAnsi="Times New Roman"/>
                <w:kern w:val="2"/>
                <w:szCs w:val="24"/>
              </w:rPr>
              <w:t>施</w:t>
            </w:r>
          </w:p>
        </w:tc>
        <w:tc>
          <w:tcPr>
            <w:tcW w:w="8220" w:type="dxa"/>
            <w:vAlign w:val="center"/>
          </w:tcPr>
          <w:p w14:paraId="2EDE38C5">
            <w:pPr>
              <w:adjustRightInd w:val="0"/>
              <w:snapToGrid w:val="0"/>
              <w:spacing w:line="360" w:lineRule="auto"/>
              <w:ind w:firstLine="440" w:firstLineChars="200"/>
              <w:rPr>
                <w:bCs/>
                <w:spacing w:val="-10"/>
                <w:sz w:val="24"/>
              </w:rPr>
            </w:pPr>
            <w:r>
              <w:rPr>
                <w:bCs/>
                <w:spacing w:val="-10"/>
                <w:sz w:val="24"/>
              </w:rPr>
              <w:t>本项目施工期主要环境影响为</w:t>
            </w:r>
            <w:r>
              <w:rPr>
                <w:rFonts w:hint="eastAsia"/>
                <w:bCs/>
                <w:spacing w:val="-10"/>
                <w:sz w:val="24"/>
              </w:rPr>
              <w:t>废气、</w:t>
            </w:r>
            <w:r>
              <w:rPr>
                <w:bCs/>
                <w:spacing w:val="-10"/>
                <w:sz w:val="24"/>
              </w:rPr>
              <w:t>噪声和固废。</w:t>
            </w:r>
          </w:p>
          <w:p w14:paraId="29ED9283">
            <w:pPr>
              <w:pStyle w:val="54"/>
              <w:numPr>
                <w:ilvl w:val="0"/>
                <w:numId w:val="4"/>
              </w:numPr>
              <w:spacing w:line="360" w:lineRule="auto"/>
              <w:ind w:firstLineChars="0"/>
              <w:rPr>
                <w:sz w:val="24"/>
              </w:rPr>
            </w:pPr>
            <w:r>
              <w:rPr>
                <w:sz w:val="24"/>
              </w:rPr>
              <w:t xml:space="preserve">施工期废气 </w:t>
            </w:r>
          </w:p>
          <w:p w14:paraId="448F075F">
            <w:pPr>
              <w:spacing w:line="360" w:lineRule="auto"/>
              <w:ind w:firstLine="360" w:firstLineChars="150"/>
              <w:rPr>
                <w:sz w:val="24"/>
              </w:rPr>
            </w:pPr>
            <w:r>
              <w:rPr>
                <w:sz w:val="24"/>
              </w:rPr>
              <w:t>本项目租赁现有厂房进行设备安装，不涉及土建施工。项目施工过程中的废气主要是装修时的少量装修废气及灰尘等， 加强通风及洒水降尘即可。</w:t>
            </w:r>
          </w:p>
          <w:p w14:paraId="1D90382C">
            <w:pPr>
              <w:pStyle w:val="54"/>
              <w:numPr>
                <w:ilvl w:val="0"/>
                <w:numId w:val="4"/>
              </w:numPr>
              <w:spacing w:line="360" w:lineRule="auto"/>
              <w:ind w:firstLineChars="0"/>
              <w:rPr>
                <w:sz w:val="24"/>
              </w:rPr>
            </w:pPr>
            <w:r>
              <w:rPr>
                <w:sz w:val="24"/>
              </w:rPr>
              <w:t xml:space="preserve">施工期废水 </w:t>
            </w:r>
          </w:p>
          <w:p w14:paraId="202E793C">
            <w:pPr>
              <w:spacing w:line="360" w:lineRule="auto"/>
              <w:ind w:firstLine="360" w:firstLineChars="150"/>
              <w:rPr>
                <w:sz w:val="24"/>
              </w:rPr>
            </w:pPr>
            <w:r>
              <w:rPr>
                <w:sz w:val="24"/>
              </w:rPr>
              <w:t xml:space="preserve">本项目不设施工营地，主要污水为施工人员的少量生活污水。依托厂房配 套的已建化粪池处理后进入市政管网。 </w:t>
            </w:r>
          </w:p>
          <w:p w14:paraId="080A5AD5">
            <w:pPr>
              <w:pStyle w:val="54"/>
              <w:numPr>
                <w:ilvl w:val="0"/>
                <w:numId w:val="4"/>
              </w:numPr>
              <w:spacing w:line="360" w:lineRule="auto"/>
              <w:ind w:firstLineChars="0"/>
              <w:rPr>
                <w:sz w:val="24"/>
              </w:rPr>
            </w:pPr>
            <w:r>
              <w:rPr>
                <w:sz w:val="24"/>
              </w:rPr>
              <w:t xml:space="preserve">施工期噪声 </w:t>
            </w:r>
          </w:p>
          <w:p w14:paraId="0236A4D3">
            <w:pPr>
              <w:spacing w:line="360" w:lineRule="auto"/>
              <w:ind w:firstLine="360" w:firstLineChars="150"/>
              <w:rPr>
                <w:sz w:val="24"/>
              </w:rPr>
            </w:pPr>
            <w:r>
              <w:rPr>
                <w:sz w:val="24"/>
              </w:rPr>
              <w:t>噪声主要来自设备安装和调试。设备安装过程不使用强噪声设备，噪声源 强预计≤75dB（A），对声环境影响较小。</w:t>
            </w:r>
          </w:p>
          <w:p w14:paraId="00045E23">
            <w:pPr>
              <w:pStyle w:val="54"/>
              <w:numPr>
                <w:ilvl w:val="0"/>
                <w:numId w:val="4"/>
              </w:numPr>
              <w:spacing w:line="360" w:lineRule="auto"/>
              <w:ind w:firstLineChars="0"/>
              <w:rPr>
                <w:sz w:val="24"/>
              </w:rPr>
            </w:pPr>
            <w:r>
              <w:rPr>
                <w:sz w:val="24"/>
              </w:rPr>
              <w:t xml:space="preserve">施工期固体废物 </w:t>
            </w:r>
          </w:p>
          <w:p w14:paraId="592C13A5">
            <w:pPr>
              <w:spacing w:line="360" w:lineRule="auto"/>
              <w:ind w:firstLine="360" w:firstLineChars="150"/>
              <w:rPr>
                <w:sz w:val="24"/>
              </w:rPr>
            </w:pPr>
            <w:r>
              <w:rPr>
                <w:sz w:val="24"/>
              </w:rPr>
              <w:t>固体废物主要是少量装修垃圾，少量设备包装垃圾及施工人员生活垃圾。 垃圾中无危险废物，均经垃圾收集桶收集后，定期运送至环卫部门指定地点， 最终运至生活垃圾填埋场处理。</w:t>
            </w:r>
          </w:p>
          <w:p w14:paraId="174BA274">
            <w:pPr>
              <w:spacing w:line="360" w:lineRule="auto"/>
              <w:ind w:firstLine="480" w:firstLineChars="200"/>
              <w:rPr>
                <w:sz w:val="24"/>
              </w:rPr>
            </w:pPr>
            <w:r>
              <w:rPr>
                <w:sz w:val="24"/>
              </w:rPr>
              <w:t>在采取以上措施后，项目施工期对周围环境的影响较小。</w:t>
            </w:r>
          </w:p>
          <w:p w14:paraId="0C3C4497">
            <w:pPr>
              <w:adjustRightInd w:val="0"/>
              <w:snapToGrid w:val="0"/>
              <w:spacing w:line="360" w:lineRule="auto"/>
              <w:ind w:firstLine="440" w:firstLineChars="200"/>
              <w:rPr>
                <w:bCs/>
                <w:spacing w:val="-10"/>
                <w:sz w:val="24"/>
              </w:rPr>
            </w:pPr>
          </w:p>
          <w:p w14:paraId="65955F6A">
            <w:pPr>
              <w:adjustRightInd w:val="0"/>
              <w:snapToGrid w:val="0"/>
              <w:spacing w:line="360" w:lineRule="auto"/>
              <w:ind w:firstLine="440" w:firstLineChars="200"/>
              <w:rPr>
                <w:bCs/>
                <w:spacing w:val="-10"/>
                <w:sz w:val="24"/>
              </w:rPr>
            </w:pPr>
          </w:p>
          <w:p w14:paraId="245879EF">
            <w:pPr>
              <w:pStyle w:val="2"/>
              <w:ind w:firstLine="480"/>
            </w:pPr>
          </w:p>
          <w:p w14:paraId="55C25B1A"/>
          <w:p w14:paraId="2746760D">
            <w:pPr>
              <w:pStyle w:val="2"/>
              <w:ind w:firstLine="480"/>
            </w:pPr>
          </w:p>
          <w:p w14:paraId="0519008F"/>
          <w:p w14:paraId="7F5489E2">
            <w:pPr>
              <w:pStyle w:val="2"/>
              <w:ind w:firstLine="480"/>
            </w:pPr>
          </w:p>
          <w:p w14:paraId="0A04F42C"/>
          <w:p w14:paraId="60CBADB8">
            <w:pPr>
              <w:pStyle w:val="2"/>
              <w:ind w:firstLine="480"/>
            </w:pPr>
          </w:p>
          <w:p w14:paraId="6A92C507"/>
        </w:tc>
      </w:tr>
      <w:tr w14:paraId="161F2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41" w:type="dxa"/>
            <w:tcMar>
              <w:left w:w="28" w:type="dxa"/>
              <w:right w:w="28" w:type="dxa"/>
            </w:tcMar>
            <w:vAlign w:val="center"/>
          </w:tcPr>
          <w:p w14:paraId="04610C1D">
            <w:pPr>
              <w:adjustRightInd w:val="0"/>
              <w:snapToGrid w:val="0"/>
              <w:jc w:val="center"/>
              <w:rPr>
                <w:bCs/>
                <w:sz w:val="24"/>
              </w:rPr>
            </w:pPr>
            <w:r>
              <w:rPr>
                <w:bCs/>
                <w:sz w:val="24"/>
              </w:rPr>
              <w:t>运营</w:t>
            </w:r>
          </w:p>
          <w:p w14:paraId="1A1A5728">
            <w:pPr>
              <w:adjustRightInd w:val="0"/>
              <w:snapToGrid w:val="0"/>
              <w:jc w:val="center"/>
              <w:rPr>
                <w:bCs/>
                <w:sz w:val="24"/>
              </w:rPr>
            </w:pPr>
            <w:r>
              <w:rPr>
                <w:bCs/>
                <w:sz w:val="24"/>
              </w:rPr>
              <w:t>期环</w:t>
            </w:r>
          </w:p>
          <w:p w14:paraId="7F8E49DB">
            <w:pPr>
              <w:adjustRightInd w:val="0"/>
              <w:snapToGrid w:val="0"/>
              <w:jc w:val="center"/>
              <w:rPr>
                <w:bCs/>
                <w:sz w:val="24"/>
              </w:rPr>
            </w:pPr>
            <w:r>
              <w:rPr>
                <w:bCs/>
                <w:sz w:val="24"/>
              </w:rPr>
              <w:t>境影</w:t>
            </w:r>
          </w:p>
          <w:p w14:paraId="10B45CD5">
            <w:pPr>
              <w:adjustRightInd w:val="0"/>
              <w:snapToGrid w:val="0"/>
              <w:jc w:val="center"/>
              <w:rPr>
                <w:bCs/>
                <w:sz w:val="24"/>
              </w:rPr>
            </w:pPr>
            <w:r>
              <w:rPr>
                <w:bCs/>
                <w:sz w:val="24"/>
              </w:rPr>
              <w:t>响和</w:t>
            </w:r>
          </w:p>
          <w:p w14:paraId="725A1E09">
            <w:pPr>
              <w:adjustRightInd w:val="0"/>
              <w:snapToGrid w:val="0"/>
              <w:jc w:val="center"/>
              <w:rPr>
                <w:bCs/>
                <w:sz w:val="24"/>
              </w:rPr>
            </w:pPr>
            <w:r>
              <w:rPr>
                <w:bCs/>
                <w:sz w:val="24"/>
              </w:rPr>
              <w:t>保护</w:t>
            </w:r>
          </w:p>
          <w:p w14:paraId="063F2420">
            <w:pPr>
              <w:adjustRightInd w:val="0"/>
              <w:snapToGrid w:val="0"/>
              <w:jc w:val="center"/>
              <w:rPr>
                <w:bCs/>
                <w:sz w:val="24"/>
              </w:rPr>
            </w:pPr>
            <w:r>
              <w:rPr>
                <w:bCs/>
                <w:sz w:val="24"/>
              </w:rPr>
              <w:t>措施</w:t>
            </w:r>
          </w:p>
        </w:tc>
        <w:tc>
          <w:tcPr>
            <w:tcW w:w="8220" w:type="dxa"/>
            <w:vAlign w:val="center"/>
          </w:tcPr>
          <w:p w14:paraId="3F59A5FC">
            <w:pPr>
              <w:adjustRightInd w:val="0"/>
              <w:snapToGrid w:val="0"/>
              <w:spacing w:line="360" w:lineRule="auto"/>
              <w:rPr>
                <w:bCs/>
                <w:spacing w:val="-10"/>
                <w:sz w:val="24"/>
              </w:rPr>
            </w:pPr>
            <w:r>
              <w:rPr>
                <w:b/>
                <w:spacing w:val="-10"/>
                <w:sz w:val="24"/>
              </w:rPr>
              <w:t>1</w:t>
            </w:r>
            <w:r>
              <w:rPr>
                <w:rFonts w:hint="eastAsia"/>
                <w:b/>
                <w:spacing w:val="-10"/>
                <w:sz w:val="24"/>
              </w:rPr>
              <w:t>、</w:t>
            </w:r>
            <w:r>
              <w:rPr>
                <w:b/>
                <w:spacing w:val="-10"/>
                <w:sz w:val="24"/>
              </w:rPr>
              <w:t>废气</w:t>
            </w:r>
            <w:r>
              <w:rPr>
                <w:rFonts w:hint="eastAsia"/>
                <w:b/>
                <w:spacing w:val="-10"/>
                <w:sz w:val="24"/>
              </w:rPr>
              <w:t>源强</w:t>
            </w:r>
          </w:p>
          <w:p w14:paraId="0BD3F4DE">
            <w:pPr>
              <w:pStyle w:val="2"/>
              <w:ind w:left="0" w:leftChars="0" w:firstLine="480"/>
            </w:pPr>
            <w:r>
              <w:rPr>
                <w:rFonts w:hint="eastAsia"/>
              </w:rPr>
              <w:t>本</w:t>
            </w:r>
            <w:r>
              <w:t>项目生物质颗粒燃烧过程中污染物的产生量参照《排放源统计调查产排污 核算方法和系数手册》（公告2021年第24号）中“4430工业锅炉（热力供应） 行业系数手册-生</w:t>
            </w:r>
            <w:r>
              <w:rPr>
                <w:color w:val="000000" w:themeColor="text1"/>
                <w14:textFill>
                  <w14:solidFill>
                    <w14:schemeClr w14:val="tx1"/>
                  </w14:solidFill>
                </w14:textFill>
              </w:rPr>
              <w:t>物质工业锅炉”中的产排污系数计算。生物质燃烧颗粒物、SO2 和NOx产污系数见下表4-1</w:t>
            </w:r>
            <w:r>
              <w:t>。</w:t>
            </w:r>
          </w:p>
          <w:p w14:paraId="2C48CC4F">
            <w:pPr>
              <w:jc w:val="center"/>
              <w:rPr>
                <w:b/>
                <w:bCs/>
              </w:rPr>
            </w:pPr>
            <w:r>
              <w:rPr>
                <w:b/>
                <w:bCs/>
              </w:rPr>
              <w:t>表4-1 工业锅炉（热力生产和供应行业）产污系数表-生物质工业锅炉</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134"/>
              <w:gridCol w:w="1276"/>
              <w:gridCol w:w="1138"/>
              <w:gridCol w:w="1142"/>
              <w:gridCol w:w="1142"/>
              <w:gridCol w:w="1142"/>
            </w:tblGrid>
            <w:tr w14:paraId="08E7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14:paraId="63988531">
                  <w:pPr>
                    <w:adjustRightInd w:val="0"/>
                    <w:snapToGrid w:val="0"/>
                    <w:spacing w:line="360" w:lineRule="auto"/>
                    <w:rPr>
                      <w:bCs/>
                      <w:spacing w:val="-10"/>
                      <w:szCs w:val="21"/>
                    </w:rPr>
                  </w:pPr>
                  <w:r>
                    <w:rPr>
                      <w:bCs/>
                      <w:spacing w:val="-10"/>
                      <w:szCs w:val="21"/>
                    </w:rPr>
                    <w:t>产品名称</w:t>
                  </w:r>
                </w:p>
              </w:tc>
              <w:tc>
                <w:tcPr>
                  <w:tcW w:w="1134" w:type="dxa"/>
                </w:tcPr>
                <w:p w14:paraId="6D3AA75A">
                  <w:pPr>
                    <w:adjustRightInd w:val="0"/>
                    <w:snapToGrid w:val="0"/>
                    <w:spacing w:line="360" w:lineRule="auto"/>
                    <w:rPr>
                      <w:bCs/>
                      <w:spacing w:val="-10"/>
                      <w:szCs w:val="21"/>
                    </w:rPr>
                  </w:pPr>
                  <w:r>
                    <w:rPr>
                      <w:bCs/>
                      <w:spacing w:val="-10"/>
                      <w:szCs w:val="21"/>
                    </w:rPr>
                    <w:t>原料名称</w:t>
                  </w:r>
                </w:p>
              </w:tc>
              <w:tc>
                <w:tcPr>
                  <w:tcW w:w="1276" w:type="dxa"/>
                </w:tcPr>
                <w:p w14:paraId="7E331FE0">
                  <w:pPr>
                    <w:adjustRightInd w:val="0"/>
                    <w:snapToGrid w:val="0"/>
                    <w:spacing w:line="360" w:lineRule="auto"/>
                    <w:rPr>
                      <w:bCs/>
                      <w:spacing w:val="-10"/>
                      <w:szCs w:val="21"/>
                    </w:rPr>
                  </w:pPr>
                  <w:r>
                    <w:rPr>
                      <w:bCs/>
                      <w:spacing w:val="-10"/>
                      <w:szCs w:val="21"/>
                    </w:rPr>
                    <w:t>污染物指标</w:t>
                  </w:r>
                </w:p>
              </w:tc>
              <w:tc>
                <w:tcPr>
                  <w:tcW w:w="1138" w:type="dxa"/>
                </w:tcPr>
                <w:p w14:paraId="0A5AE211">
                  <w:pPr>
                    <w:adjustRightInd w:val="0"/>
                    <w:snapToGrid w:val="0"/>
                    <w:spacing w:line="360" w:lineRule="auto"/>
                    <w:rPr>
                      <w:bCs/>
                      <w:spacing w:val="-10"/>
                      <w:szCs w:val="21"/>
                    </w:rPr>
                  </w:pPr>
                  <w:r>
                    <w:rPr>
                      <w:bCs/>
                      <w:spacing w:val="-10"/>
                      <w:szCs w:val="21"/>
                    </w:rPr>
                    <w:t>单位</w:t>
                  </w:r>
                </w:p>
              </w:tc>
              <w:tc>
                <w:tcPr>
                  <w:tcW w:w="1142" w:type="dxa"/>
                </w:tcPr>
                <w:p w14:paraId="5B9F6C3B">
                  <w:pPr>
                    <w:adjustRightInd w:val="0"/>
                    <w:snapToGrid w:val="0"/>
                    <w:spacing w:line="360" w:lineRule="auto"/>
                    <w:rPr>
                      <w:bCs/>
                      <w:spacing w:val="-10"/>
                      <w:szCs w:val="21"/>
                    </w:rPr>
                  </w:pPr>
                  <w:r>
                    <w:rPr>
                      <w:bCs/>
                      <w:spacing w:val="-10"/>
                      <w:szCs w:val="21"/>
                    </w:rPr>
                    <w:t>产污系数</w:t>
                  </w:r>
                </w:p>
              </w:tc>
              <w:tc>
                <w:tcPr>
                  <w:tcW w:w="1142" w:type="dxa"/>
                </w:tcPr>
                <w:p w14:paraId="0E080D45">
                  <w:pPr>
                    <w:adjustRightInd w:val="0"/>
                    <w:snapToGrid w:val="0"/>
                    <w:rPr>
                      <w:bCs/>
                      <w:spacing w:val="-10"/>
                      <w:szCs w:val="21"/>
                    </w:rPr>
                  </w:pPr>
                  <w:r>
                    <w:rPr>
                      <w:bCs/>
                      <w:spacing w:val="-10"/>
                      <w:szCs w:val="21"/>
                    </w:rPr>
                    <w:t>末端治理技术</w:t>
                  </w:r>
                </w:p>
              </w:tc>
              <w:tc>
                <w:tcPr>
                  <w:tcW w:w="1142" w:type="dxa"/>
                </w:tcPr>
                <w:p w14:paraId="65F1D0E1">
                  <w:pPr>
                    <w:adjustRightInd w:val="0"/>
                    <w:snapToGrid w:val="0"/>
                    <w:spacing w:line="360" w:lineRule="auto"/>
                    <w:rPr>
                      <w:bCs/>
                      <w:spacing w:val="-10"/>
                      <w:szCs w:val="21"/>
                    </w:rPr>
                  </w:pPr>
                  <w:r>
                    <w:rPr>
                      <w:bCs/>
                      <w:spacing w:val="-10"/>
                      <w:szCs w:val="21"/>
                    </w:rPr>
                    <w:t>去除效率%</w:t>
                  </w:r>
                </w:p>
              </w:tc>
            </w:tr>
            <w:tr w14:paraId="7258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14:paraId="26AF548D">
                  <w:pPr>
                    <w:adjustRightInd w:val="0"/>
                    <w:snapToGrid w:val="0"/>
                    <w:spacing w:line="360" w:lineRule="auto"/>
                    <w:jc w:val="center"/>
                    <w:rPr>
                      <w:bCs/>
                      <w:spacing w:val="-10"/>
                      <w:szCs w:val="21"/>
                    </w:rPr>
                  </w:pPr>
                  <w:r>
                    <w:rPr>
                      <w:bCs/>
                      <w:spacing w:val="-10"/>
                      <w:szCs w:val="21"/>
                    </w:rPr>
                    <w:t>蒸汽</w:t>
                  </w:r>
                </w:p>
              </w:tc>
              <w:tc>
                <w:tcPr>
                  <w:tcW w:w="1134" w:type="dxa"/>
                  <w:vMerge w:val="restart"/>
                  <w:vAlign w:val="center"/>
                </w:tcPr>
                <w:p w14:paraId="2F4B6969">
                  <w:pPr>
                    <w:adjustRightInd w:val="0"/>
                    <w:snapToGrid w:val="0"/>
                    <w:jc w:val="center"/>
                    <w:rPr>
                      <w:bCs/>
                      <w:spacing w:val="-10"/>
                      <w:szCs w:val="21"/>
                    </w:rPr>
                  </w:pPr>
                  <w:r>
                    <w:rPr>
                      <w:bCs/>
                      <w:spacing w:val="-10"/>
                      <w:szCs w:val="21"/>
                    </w:rPr>
                    <w:t>生物质燃 料</w:t>
                  </w:r>
                </w:p>
              </w:tc>
              <w:tc>
                <w:tcPr>
                  <w:tcW w:w="1276" w:type="dxa"/>
                  <w:vAlign w:val="center"/>
                </w:tcPr>
                <w:p w14:paraId="7B179FDB">
                  <w:pPr>
                    <w:adjustRightInd w:val="0"/>
                    <w:snapToGrid w:val="0"/>
                    <w:jc w:val="center"/>
                    <w:rPr>
                      <w:bCs/>
                      <w:spacing w:val="-10"/>
                      <w:szCs w:val="21"/>
                    </w:rPr>
                  </w:pPr>
                  <w:r>
                    <w:rPr>
                      <w:bCs/>
                      <w:spacing w:val="-10"/>
                      <w:szCs w:val="21"/>
                    </w:rPr>
                    <w:t>工业废气量</w:t>
                  </w:r>
                </w:p>
              </w:tc>
              <w:tc>
                <w:tcPr>
                  <w:tcW w:w="1138" w:type="dxa"/>
                  <w:vAlign w:val="center"/>
                </w:tcPr>
                <w:p w14:paraId="545C9609">
                  <w:pPr>
                    <w:adjustRightInd w:val="0"/>
                    <w:snapToGrid w:val="0"/>
                    <w:jc w:val="center"/>
                    <w:rPr>
                      <w:bCs/>
                      <w:spacing w:val="-10"/>
                      <w:szCs w:val="21"/>
                    </w:rPr>
                  </w:pPr>
                  <w:r>
                    <w:rPr>
                      <w:bCs/>
                      <w:spacing w:val="-10"/>
                      <w:szCs w:val="21"/>
                    </w:rPr>
                    <w:t>标立方米 /吨-原料</w:t>
                  </w:r>
                </w:p>
              </w:tc>
              <w:tc>
                <w:tcPr>
                  <w:tcW w:w="1142" w:type="dxa"/>
                  <w:vAlign w:val="center"/>
                </w:tcPr>
                <w:p w14:paraId="7EF4AC4F">
                  <w:pPr>
                    <w:adjustRightInd w:val="0"/>
                    <w:snapToGrid w:val="0"/>
                    <w:spacing w:line="360" w:lineRule="auto"/>
                    <w:jc w:val="center"/>
                    <w:rPr>
                      <w:bCs/>
                      <w:spacing w:val="-10"/>
                      <w:szCs w:val="21"/>
                    </w:rPr>
                  </w:pPr>
                  <w:r>
                    <w:rPr>
                      <w:bCs/>
                      <w:spacing w:val="-10"/>
                      <w:szCs w:val="21"/>
                    </w:rPr>
                    <w:t>6240</w:t>
                  </w:r>
                </w:p>
              </w:tc>
              <w:tc>
                <w:tcPr>
                  <w:tcW w:w="1142" w:type="dxa"/>
                  <w:vAlign w:val="center"/>
                </w:tcPr>
                <w:p w14:paraId="0B835920">
                  <w:pPr>
                    <w:adjustRightInd w:val="0"/>
                    <w:snapToGrid w:val="0"/>
                    <w:spacing w:line="360" w:lineRule="auto"/>
                    <w:jc w:val="center"/>
                    <w:rPr>
                      <w:bCs/>
                      <w:spacing w:val="-10"/>
                      <w:szCs w:val="21"/>
                    </w:rPr>
                  </w:pPr>
                  <w:r>
                    <w:rPr>
                      <w:bCs/>
                      <w:spacing w:val="-10"/>
                      <w:szCs w:val="21"/>
                    </w:rPr>
                    <w:t>/</w:t>
                  </w:r>
                </w:p>
              </w:tc>
              <w:tc>
                <w:tcPr>
                  <w:tcW w:w="1142" w:type="dxa"/>
                  <w:vAlign w:val="center"/>
                </w:tcPr>
                <w:p w14:paraId="48FECF01">
                  <w:pPr>
                    <w:adjustRightInd w:val="0"/>
                    <w:snapToGrid w:val="0"/>
                    <w:spacing w:line="360" w:lineRule="auto"/>
                    <w:jc w:val="center"/>
                    <w:rPr>
                      <w:bCs/>
                      <w:spacing w:val="-10"/>
                      <w:szCs w:val="21"/>
                    </w:rPr>
                  </w:pPr>
                  <w:r>
                    <w:rPr>
                      <w:bCs/>
                      <w:spacing w:val="-10"/>
                      <w:szCs w:val="21"/>
                    </w:rPr>
                    <w:t>/</w:t>
                  </w:r>
                </w:p>
              </w:tc>
            </w:tr>
            <w:tr w14:paraId="5666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14375696">
                  <w:pPr>
                    <w:adjustRightInd w:val="0"/>
                    <w:snapToGrid w:val="0"/>
                    <w:spacing w:line="360" w:lineRule="auto"/>
                    <w:rPr>
                      <w:bCs/>
                      <w:spacing w:val="-10"/>
                      <w:szCs w:val="21"/>
                    </w:rPr>
                  </w:pPr>
                </w:p>
              </w:tc>
              <w:tc>
                <w:tcPr>
                  <w:tcW w:w="1134" w:type="dxa"/>
                  <w:vMerge w:val="continue"/>
                </w:tcPr>
                <w:p w14:paraId="2A016560">
                  <w:pPr>
                    <w:adjustRightInd w:val="0"/>
                    <w:snapToGrid w:val="0"/>
                    <w:spacing w:line="360" w:lineRule="auto"/>
                    <w:rPr>
                      <w:bCs/>
                      <w:spacing w:val="-10"/>
                      <w:szCs w:val="21"/>
                    </w:rPr>
                  </w:pPr>
                </w:p>
              </w:tc>
              <w:tc>
                <w:tcPr>
                  <w:tcW w:w="1276" w:type="dxa"/>
                  <w:vAlign w:val="center"/>
                </w:tcPr>
                <w:p w14:paraId="129AE626">
                  <w:pPr>
                    <w:adjustRightInd w:val="0"/>
                    <w:snapToGrid w:val="0"/>
                    <w:jc w:val="center"/>
                    <w:rPr>
                      <w:bCs/>
                      <w:spacing w:val="-10"/>
                      <w:szCs w:val="21"/>
                    </w:rPr>
                  </w:pPr>
                  <w:r>
                    <w:rPr>
                      <w:bCs/>
                      <w:spacing w:val="-10"/>
                      <w:szCs w:val="21"/>
                    </w:rPr>
                    <w:t>颗粒物</w:t>
                  </w:r>
                </w:p>
              </w:tc>
              <w:tc>
                <w:tcPr>
                  <w:tcW w:w="1138" w:type="dxa"/>
                  <w:vAlign w:val="center"/>
                </w:tcPr>
                <w:p w14:paraId="5B7C0436">
                  <w:pPr>
                    <w:adjustRightInd w:val="0"/>
                    <w:snapToGrid w:val="0"/>
                    <w:jc w:val="center"/>
                    <w:rPr>
                      <w:bCs/>
                      <w:spacing w:val="-10"/>
                      <w:szCs w:val="21"/>
                    </w:rPr>
                  </w:pPr>
                  <w:r>
                    <w:rPr>
                      <w:bCs/>
                      <w:spacing w:val="-10"/>
                      <w:szCs w:val="21"/>
                    </w:rPr>
                    <w:t>千克/吨- 原料</w:t>
                  </w:r>
                </w:p>
              </w:tc>
              <w:tc>
                <w:tcPr>
                  <w:tcW w:w="1142" w:type="dxa"/>
                  <w:vAlign w:val="center"/>
                </w:tcPr>
                <w:p w14:paraId="3FBA859A">
                  <w:pPr>
                    <w:adjustRightInd w:val="0"/>
                    <w:snapToGrid w:val="0"/>
                    <w:spacing w:line="360" w:lineRule="auto"/>
                    <w:jc w:val="center"/>
                    <w:rPr>
                      <w:bCs/>
                      <w:spacing w:val="-10"/>
                      <w:szCs w:val="21"/>
                    </w:rPr>
                  </w:pPr>
                  <w:r>
                    <w:rPr>
                      <w:bCs/>
                      <w:spacing w:val="-10"/>
                      <w:szCs w:val="21"/>
                    </w:rPr>
                    <w:t>0.5</w:t>
                  </w:r>
                </w:p>
              </w:tc>
              <w:tc>
                <w:tcPr>
                  <w:tcW w:w="1142" w:type="dxa"/>
                  <w:vAlign w:val="center"/>
                </w:tcPr>
                <w:p w14:paraId="71A433B1">
                  <w:pPr>
                    <w:adjustRightInd w:val="0"/>
                    <w:snapToGrid w:val="0"/>
                    <w:spacing w:line="360" w:lineRule="auto"/>
                    <w:jc w:val="center"/>
                    <w:rPr>
                      <w:bCs/>
                      <w:spacing w:val="-10"/>
                      <w:szCs w:val="21"/>
                    </w:rPr>
                  </w:pPr>
                  <w:r>
                    <w:rPr>
                      <w:bCs/>
                      <w:spacing w:val="-10"/>
                      <w:szCs w:val="21"/>
                    </w:rPr>
                    <w:t>喷淋塔</w:t>
                  </w:r>
                </w:p>
              </w:tc>
              <w:tc>
                <w:tcPr>
                  <w:tcW w:w="1142" w:type="dxa"/>
                  <w:vAlign w:val="center"/>
                </w:tcPr>
                <w:p w14:paraId="436009D5">
                  <w:pPr>
                    <w:adjustRightInd w:val="0"/>
                    <w:snapToGrid w:val="0"/>
                    <w:spacing w:line="360" w:lineRule="auto"/>
                    <w:jc w:val="center"/>
                    <w:rPr>
                      <w:bCs/>
                      <w:spacing w:val="-10"/>
                      <w:szCs w:val="21"/>
                    </w:rPr>
                  </w:pPr>
                  <w:r>
                    <w:rPr>
                      <w:bCs/>
                      <w:spacing w:val="-10"/>
                      <w:szCs w:val="21"/>
                    </w:rPr>
                    <w:t>87</w:t>
                  </w:r>
                </w:p>
              </w:tc>
            </w:tr>
            <w:tr w14:paraId="1A04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F78BFB8">
                  <w:pPr>
                    <w:adjustRightInd w:val="0"/>
                    <w:snapToGrid w:val="0"/>
                    <w:spacing w:line="360" w:lineRule="auto"/>
                    <w:rPr>
                      <w:bCs/>
                      <w:spacing w:val="-10"/>
                      <w:szCs w:val="21"/>
                    </w:rPr>
                  </w:pPr>
                </w:p>
              </w:tc>
              <w:tc>
                <w:tcPr>
                  <w:tcW w:w="1134" w:type="dxa"/>
                  <w:vMerge w:val="continue"/>
                </w:tcPr>
                <w:p w14:paraId="565FF080">
                  <w:pPr>
                    <w:adjustRightInd w:val="0"/>
                    <w:snapToGrid w:val="0"/>
                    <w:spacing w:line="360" w:lineRule="auto"/>
                    <w:rPr>
                      <w:bCs/>
                      <w:spacing w:val="-10"/>
                      <w:szCs w:val="21"/>
                    </w:rPr>
                  </w:pPr>
                </w:p>
              </w:tc>
              <w:tc>
                <w:tcPr>
                  <w:tcW w:w="1276" w:type="dxa"/>
                  <w:vAlign w:val="center"/>
                </w:tcPr>
                <w:p w14:paraId="399A45AD">
                  <w:pPr>
                    <w:adjustRightInd w:val="0"/>
                    <w:snapToGrid w:val="0"/>
                    <w:jc w:val="center"/>
                    <w:rPr>
                      <w:bCs/>
                      <w:spacing w:val="-10"/>
                      <w:szCs w:val="21"/>
                    </w:rPr>
                  </w:pPr>
                  <w:r>
                    <w:rPr>
                      <w:bCs/>
                      <w:spacing w:val="-10"/>
                      <w:szCs w:val="21"/>
                    </w:rPr>
                    <w:t>二氧化硫</w:t>
                  </w:r>
                </w:p>
              </w:tc>
              <w:tc>
                <w:tcPr>
                  <w:tcW w:w="1138" w:type="dxa"/>
                  <w:vAlign w:val="center"/>
                </w:tcPr>
                <w:p w14:paraId="6E6FDC41">
                  <w:pPr>
                    <w:adjustRightInd w:val="0"/>
                    <w:snapToGrid w:val="0"/>
                    <w:jc w:val="center"/>
                    <w:rPr>
                      <w:bCs/>
                      <w:spacing w:val="-10"/>
                      <w:szCs w:val="21"/>
                    </w:rPr>
                  </w:pPr>
                  <w:r>
                    <w:rPr>
                      <w:bCs/>
                      <w:spacing w:val="-10"/>
                      <w:szCs w:val="21"/>
                    </w:rPr>
                    <w:t>千克/吨- 原料</w:t>
                  </w:r>
                </w:p>
              </w:tc>
              <w:tc>
                <w:tcPr>
                  <w:tcW w:w="1142" w:type="dxa"/>
                  <w:vAlign w:val="center"/>
                </w:tcPr>
                <w:p w14:paraId="5461A4B8">
                  <w:pPr>
                    <w:adjustRightInd w:val="0"/>
                    <w:snapToGrid w:val="0"/>
                    <w:spacing w:line="360" w:lineRule="auto"/>
                    <w:jc w:val="center"/>
                    <w:rPr>
                      <w:bCs/>
                      <w:spacing w:val="-10"/>
                      <w:szCs w:val="21"/>
                    </w:rPr>
                  </w:pPr>
                  <w:r>
                    <w:rPr>
                      <w:bCs/>
                      <w:spacing w:val="-10"/>
                      <w:szCs w:val="21"/>
                    </w:rPr>
                    <w:t>17S</w:t>
                  </w:r>
                </w:p>
              </w:tc>
              <w:tc>
                <w:tcPr>
                  <w:tcW w:w="1142" w:type="dxa"/>
                  <w:vAlign w:val="center"/>
                </w:tcPr>
                <w:p w14:paraId="40F91178">
                  <w:pPr>
                    <w:adjustRightInd w:val="0"/>
                    <w:snapToGrid w:val="0"/>
                    <w:spacing w:line="360" w:lineRule="auto"/>
                    <w:jc w:val="center"/>
                    <w:rPr>
                      <w:bCs/>
                      <w:spacing w:val="-10"/>
                      <w:szCs w:val="21"/>
                    </w:rPr>
                  </w:pPr>
                  <w:r>
                    <w:rPr>
                      <w:bCs/>
                      <w:spacing w:val="-10"/>
                      <w:szCs w:val="21"/>
                    </w:rPr>
                    <w:t>/</w:t>
                  </w:r>
                </w:p>
              </w:tc>
              <w:tc>
                <w:tcPr>
                  <w:tcW w:w="1142" w:type="dxa"/>
                  <w:vAlign w:val="center"/>
                </w:tcPr>
                <w:p w14:paraId="2E1FEE47">
                  <w:pPr>
                    <w:adjustRightInd w:val="0"/>
                    <w:snapToGrid w:val="0"/>
                    <w:spacing w:line="360" w:lineRule="auto"/>
                    <w:jc w:val="center"/>
                    <w:rPr>
                      <w:bCs/>
                      <w:spacing w:val="-10"/>
                      <w:szCs w:val="21"/>
                    </w:rPr>
                  </w:pPr>
                  <w:r>
                    <w:rPr>
                      <w:bCs/>
                      <w:spacing w:val="-10"/>
                      <w:szCs w:val="21"/>
                    </w:rPr>
                    <w:t>/</w:t>
                  </w:r>
                </w:p>
              </w:tc>
            </w:tr>
            <w:tr w14:paraId="044F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3F3226B9">
                  <w:pPr>
                    <w:adjustRightInd w:val="0"/>
                    <w:snapToGrid w:val="0"/>
                    <w:spacing w:line="360" w:lineRule="auto"/>
                    <w:rPr>
                      <w:bCs/>
                      <w:spacing w:val="-10"/>
                      <w:szCs w:val="21"/>
                    </w:rPr>
                  </w:pPr>
                </w:p>
              </w:tc>
              <w:tc>
                <w:tcPr>
                  <w:tcW w:w="1134" w:type="dxa"/>
                  <w:vMerge w:val="continue"/>
                </w:tcPr>
                <w:p w14:paraId="02046266">
                  <w:pPr>
                    <w:adjustRightInd w:val="0"/>
                    <w:snapToGrid w:val="0"/>
                    <w:spacing w:line="360" w:lineRule="auto"/>
                    <w:rPr>
                      <w:bCs/>
                      <w:spacing w:val="-10"/>
                      <w:szCs w:val="21"/>
                    </w:rPr>
                  </w:pPr>
                </w:p>
              </w:tc>
              <w:tc>
                <w:tcPr>
                  <w:tcW w:w="1276" w:type="dxa"/>
                  <w:vAlign w:val="center"/>
                </w:tcPr>
                <w:p w14:paraId="7D3F98B3">
                  <w:pPr>
                    <w:adjustRightInd w:val="0"/>
                    <w:snapToGrid w:val="0"/>
                    <w:jc w:val="center"/>
                    <w:rPr>
                      <w:bCs/>
                      <w:spacing w:val="-10"/>
                      <w:szCs w:val="21"/>
                    </w:rPr>
                  </w:pPr>
                  <w:r>
                    <w:rPr>
                      <w:bCs/>
                      <w:spacing w:val="-10"/>
                      <w:szCs w:val="21"/>
                    </w:rPr>
                    <w:t>氮氧化物</w:t>
                  </w:r>
                </w:p>
              </w:tc>
              <w:tc>
                <w:tcPr>
                  <w:tcW w:w="1138" w:type="dxa"/>
                  <w:vAlign w:val="center"/>
                </w:tcPr>
                <w:p w14:paraId="0BD20D55">
                  <w:pPr>
                    <w:adjustRightInd w:val="0"/>
                    <w:snapToGrid w:val="0"/>
                    <w:jc w:val="center"/>
                    <w:rPr>
                      <w:bCs/>
                      <w:spacing w:val="-10"/>
                      <w:szCs w:val="21"/>
                    </w:rPr>
                  </w:pPr>
                  <w:r>
                    <w:rPr>
                      <w:bCs/>
                      <w:spacing w:val="-10"/>
                      <w:szCs w:val="21"/>
                    </w:rPr>
                    <w:t>千克/吨- 原料</w:t>
                  </w:r>
                </w:p>
              </w:tc>
              <w:tc>
                <w:tcPr>
                  <w:tcW w:w="1142" w:type="dxa"/>
                  <w:vAlign w:val="center"/>
                </w:tcPr>
                <w:p w14:paraId="14563B7E">
                  <w:pPr>
                    <w:adjustRightInd w:val="0"/>
                    <w:snapToGrid w:val="0"/>
                    <w:spacing w:line="360" w:lineRule="auto"/>
                    <w:jc w:val="center"/>
                    <w:rPr>
                      <w:bCs/>
                      <w:spacing w:val="-10"/>
                      <w:szCs w:val="21"/>
                    </w:rPr>
                  </w:pPr>
                  <w:r>
                    <w:rPr>
                      <w:bCs/>
                      <w:spacing w:val="-10"/>
                      <w:szCs w:val="21"/>
                    </w:rPr>
                    <w:t>1.02</w:t>
                  </w:r>
                </w:p>
              </w:tc>
              <w:tc>
                <w:tcPr>
                  <w:tcW w:w="1142" w:type="dxa"/>
                  <w:vAlign w:val="center"/>
                </w:tcPr>
                <w:p w14:paraId="4B34FA6F">
                  <w:pPr>
                    <w:adjustRightInd w:val="0"/>
                    <w:snapToGrid w:val="0"/>
                    <w:spacing w:line="360" w:lineRule="auto"/>
                    <w:jc w:val="center"/>
                    <w:rPr>
                      <w:bCs/>
                      <w:spacing w:val="-10"/>
                      <w:szCs w:val="21"/>
                    </w:rPr>
                  </w:pPr>
                  <w:r>
                    <w:rPr>
                      <w:bCs/>
                      <w:spacing w:val="-10"/>
                      <w:szCs w:val="21"/>
                    </w:rPr>
                    <w:t>/</w:t>
                  </w:r>
                </w:p>
              </w:tc>
              <w:tc>
                <w:tcPr>
                  <w:tcW w:w="1142" w:type="dxa"/>
                  <w:vAlign w:val="center"/>
                </w:tcPr>
                <w:p w14:paraId="4A784DDD">
                  <w:pPr>
                    <w:adjustRightInd w:val="0"/>
                    <w:snapToGrid w:val="0"/>
                    <w:spacing w:line="360" w:lineRule="auto"/>
                    <w:jc w:val="center"/>
                    <w:rPr>
                      <w:bCs/>
                      <w:spacing w:val="-10"/>
                      <w:szCs w:val="21"/>
                    </w:rPr>
                  </w:pPr>
                  <w:r>
                    <w:rPr>
                      <w:bCs/>
                      <w:spacing w:val="-10"/>
                      <w:szCs w:val="21"/>
                    </w:rPr>
                    <w:t>/</w:t>
                  </w:r>
                </w:p>
              </w:tc>
            </w:tr>
            <w:tr w14:paraId="4B5F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4" w:type="dxa"/>
                  <w:gridSpan w:val="7"/>
                </w:tcPr>
                <w:p w14:paraId="39389956">
                  <w:pPr>
                    <w:adjustRightInd w:val="0"/>
                    <w:snapToGrid w:val="0"/>
                    <w:jc w:val="center"/>
                    <w:rPr>
                      <w:bCs/>
                      <w:spacing w:val="-10"/>
                      <w:szCs w:val="21"/>
                    </w:rPr>
                  </w:pPr>
                  <w:r>
                    <w:rPr>
                      <w:bCs/>
                      <w:spacing w:val="-10"/>
                      <w:szCs w:val="21"/>
                    </w:rPr>
                    <w:t>注：二氧化硫的产污系数是以含硫量（S%）的形式表示的，其中含硫量（S%）是指生物质收到基硫分含量，以质量百分数的形式表示。本项目生物质含硫量为0.02%，则S取值0.02。</w:t>
                  </w:r>
                </w:p>
              </w:tc>
            </w:tr>
          </w:tbl>
          <w:p w14:paraId="761D6184">
            <w:pPr>
              <w:adjustRightInd w:val="0"/>
              <w:snapToGrid w:val="0"/>
              <w:spacing w:line="360" w:lineRule="auto"/>
              <w:ind w:firstLine="442" w:firstLineChars="200"/>
              <w:rPr>
                <w:rFonts w:hint="eastAsia" w:ascii="宋体" w:hAnsi="宋体"/>
                <w:b/>
                <w:spacing w:val="-10"/>
                <w:sz w:val="24"/>
              </w:rPr>
            </w:pPr>
          </w:p>
          <w:p w14:paraId="7E187902">
            <w:pPr>
              <w:adjustRightInd w:val="0"/>
              <w:snapToGrid w:val="0"/>
              <w:spacing w:line="360" w:lineRule="auto"/>
              <w:ind w:firstLine="480" w:firstLineChars="200"/>
              <w:rPr>
                <w:kern w:val="0"/>
                <w:sz w:val="24"/>
                <w:szCs w:val="20"/>
              </w:rPr>
            </w:pPr>
            <w:r>
              <w:rPr>
                <w:kern w:val="0"/>
                <w:sz w:val="24"/>
                <w:szCs w:val="20"/>
              </w:rPr>
              <w:t>项目生物质蒸汽发生器年工作时间为</w:t>
            </w:r>
            <w:r>
              <w:rPr>
                <w:rFonts w:hint="eastAsia"/>
                <w:kern w:val="0"/>
                <w:sz w:val="24"/>
                <w:szCs w:val="20"/>
              </w:rPr>
              <w:t>300天/年</w:t>
            </w:r>
            <w:r>
              <w:rPr>
                <w:kern w:val="0"/>
                <w:sz w:val="24"/>
                <w:szCs w:val="20"/>
              </w:rPr>
              <w:t>，8h/d，生物质燃料使用量约为</w:t>
            </w:r>
            <w:r>
              <w:rPr>
                <w:rFonts w:hint="eastAsia"/>
                <w:kern w:val="0"/>
                <w:sz w:val="24"/>
                <w:szCs w:val="20"/>
              </w:rPr>
              <w:t>564</w:t>
            </w:r>
            <w:r>
              <w:rPr>
                <w:kern w:val="0"/>
                <w:sz w:val="24"/>
                <w:szCs w:val="20"/>
              </w:rPr>
              <w:t xml:space="preserve">t/a。废气量及各污染物产生量情况核算如下表： </w:t>
            </w:r>
          </w:p>
          <w:p w14:paraId="58BA8B6C">
            <w:pPr>
              <w:adjustRightInd w:val="0"/>
              <w:snapToGrid w:val="0"/>
              <w:spacing w:line="360" w:lineRule="auto"/>
              <w:ind w:firstLine="422" w:firstLineChars="200"/>
              <w:jc w:val="center"/>
              <w:rPr>
                <w:b/>
                <w:bCs/>
                <w:kern w:val="0"/>
                <w:szCs w:val="21"/>
              </w:rPr>
            </w:pPr>
            <w:r>
              <w:rPr>
                <w:b/>
                <w:bCs/>
                <w:kern w:val="0"/>
                <w:szCs w:val="21"/>
              </w:rPr>
              <w:t>表4-2 项目污染物产生量核算情况表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32"/>
              <w:gridCol w:w="1332"/>
              <w:gridCol w:w="1332"/>
              <w:gridCol w:w="1333"/>
              <w:gridCol w:w="1333"/>
            </w:tblGrid>
            <w:tr w14:paraId="6656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40824E51">
                  <w:pPr>
                    <w:adjustRightInd w:val="0"/>
                    <w:snapToGrid w:val="0"/>
                    <w:spacing w:line="360" w:lineRule="auto"/>
                    <w:rPr>
                      <w:bCs/>
                      <w:spacing w:val="-10"/>
                      <w:szCs w:val="21"/>
                    </w:rPr>
                  </w:pPr>
                  <w:r>
                    <w:rPr>
                      <w:rFonts w:hint="eastAsia"/>
                      <w:bCs/>
                      <w:spacing w:val="-10"/>
                      <w:szCs w:val="21"/>
                    </w:rPr>
                    <w:t>原料使用量</w:t>
                  </w:r>
                </w:p>
              </w:tc>
              <w:tc>
                <w:tcPr>
                  <w:tcW w:w="1332" w:type="dxa"/>
                </w:tcPr>
                <w:p w14:paraId="620340FB">
                  <w:pPr>
                    <w:adjustRightInd w:val="0"/>
                    <w:snapToGrid w:val="0"/>
                    <w:spacing w:line="360" w:lineRule="auto"/>
                    <w:rPr>
                      <w:bCs/>
                      <w:spacing w:val="-10"/>
                      <w:szCs w:val="21"/>
                    </w:rPr>
                  </w:pPr>
                  <w:r>
                    <w:rPr>
                      <w:rFonts w:hint="eastAsia"/>
                      <w:bCs/>
                      <w:spacing w:val="-10"/>
                      <w:szCs w:val="21"/>
                    </w:rPr>
                    <w:t>工作时间</w:t>
                  </w:r>
                </w:p>
              </w:tc>
              <w:tc>
                <w:tcPr>
                  <w:tcW w:w="1332" w:type="dxa"/>
                </w:tcPr>
                <w:p w14:paraId="31E0C8EF">
                  <w:pPr>
                    <w:adjustRightInd w:val="0"/>
                    <w:snapToGrid w:val="0"/>
                    <w:spacing w:line="360" w:lineRule="auto"/>
                    <w:rPr>
                      <w:bCs/>
                      <w:spacing w:val="-10"/>
                      <w:szCs w:val="21"/>
                    </w:rPr>
                  </w:pPr>
                  <w:r>
                    <w:rPr>
                      <w:rFonts w:hint="eastAsia"/>
                      <w:bCs/>
                      <w:spacing w:val="-10"/>
                      <w:szCs w:val="21"/>
                    </w:rPr>
                    <w:t>污染物名称</w:t>
                  </w:r>
                </w:p>
              </w:tc>
              <w:tc>
                <w:tcPr>
                  <w:tcW w:w="1332" w:type="dxa"/>
                </w:tcPr>
                <w:p w14:paraId="178933F2">
                  <w:pPr>
                    <w:adjustRightInd w:val="0"/>
                    <w:snapToGrid w:val="0"/>
                    <w:spacing w:line="360" w:lineRule="auto"/>
                    <w:ind w:firstLine="190" w:firstLineChars="100"/>
                    <w:rPr>
                      <w:bCs/>
                      <w:spacing w:val="-10"/>
                      <w:szCs w:val="21"/>
                    </w:rPr>
                  </w:pPr>
                  <w:r>
                    <w:rPr>
                      <w:rFonts w:hint="eastAsia"/>
                      <w:bCs/>
                      <w:spacing w:val="-10"/>
                      <w:szCs w:val="21"/>
                    </w:rPr>
                    <w:t>产污系数</w:t>
                  </w:r>
                </w:p>
              </w:tc>
              <w:tc>
                <w:tcPr>
                  <w:tcW w:w="2666" w:type="dxa"/>
                  <w:gridSpan w:val="2"/>
                </w:tcPr>
                <w:p w14:paraId="14BE5F2E">
                  <w:pPr>
                    <w:adjustRightInd w:val="0"/>
                    <w:snapToGrid w:val="0"/>
                    <w:spacing w:line="360" w:lineRule="auto"/>
                    <w:jc w:val="center"/>
                    <w:rPr>
                      <w:bCs/>
                      <w:spacing w:val="-10"/>
                      <w:szCs w:val="21"/>
                    </w:rPr>
                  </w:pPr>
                  <w:r>
                    <w:rPr>
                      <w:rFonts w:hint="eastAsia"/>
                      <w:bCs/>
                      <w:spacing w:val="-10"/>
                      <w:szCs w:val="21"/>
                    </w:rPr>
                    <w:t>产生量</w:t>
                  </w:r>
                </w:p>
              </w:tc>
            </w:tr>
            <w:tr w14:paraId="302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Merge w:val="restart"/>
                  <w:vAlign w:val="center"/>
                </w:tcPr>
                <w:p w14:paraId="145A4434">
                  <w:pPr>
                    <w:adjustRightInd w:val="0"/>
                    <w:snapToGrid w:val="0"/>
                    <w:spacing w:line="360" w:lineRule="auto"/>
                    <w:jc w:val="center"/>
                    <w:rPr>
                      <w:bCs/>
                      <w:spacing w:val="-10"/>
                      <w:szCs w:val="21"/>
                    </w:rPr>
                  </w:pPr>
                  <w:r>
                    <w:rPr>
                      <w:rFonts w:hint="eastAsia"/>
                      <w:bCs/>
                      <w:spacing w:val="-10"/>
                      <w:szCs w:val="21"/>
                    </w:rPr>
                    <w:t>564t/a</w:t>
                  </w:r>
                </w:p>
              </w:tc>
              <w:tc>
                <w:tcPr>
                  <w:tcW w:w="1332" w:type="dxa"/>
                  <w:vMerge w:val="restart"/>
                  <w:vAlign w:val="center"/>
                </w:tcPr>
                <w:p w14:paraId="65F72CBF">
                  <w:pPr>
                    <w:adjustRightInd w:val="0"/>
                    <w:snapToGrid w:val="0"/>
                    <w:spacing w:line="360" w:lineRule="auto"/>
                    <w:jc w:val="center"/>
                    <w:rPr>
                      <w:bCs/>
                      <w:spacing w:val="-10"/>
                      <w:szCs w:val="21"/>
                    </w:rPr>
                  </w:pPr>
                  <w:r>
                    <w:rPr>
                      <w:rFonts w:hint="eastAsia"/>
                      <w:bCs/>
                      <w:spacing w:val="-10"/>
                      <w:szCs w:val="21"/>
                    </w:rPr>
                    <w:t>2400</w:t>
                  </w:r>
                </w:p>
              </w:tc>
              <w:tc>
                <w:tcPr>
                  <w:tcW w:w="1332" w:type="dxa"/>
                  <w:vAlign w:val="center"/>
                </w:tcPr>
                <w:p w14:paraId="567C7B85">
                  <w:pPr>
                    <w:adjustRightInd w:val="0"/>
                    <w:snapToGrid w:val="0"/>
                    <w:spacing w:line="360" w:lineRule="auto"/>
                    <w:jc w:val="center"/>
                    <w:rPr>
                      <w:bCs/>
                      <w:spacing w:val="-10"/>
                      <w:szCs w:val="21"/>
                    </w:rPr>
                  </w:pPr>
                  <w:r>
                    <w:rPr>
                      <w:bCs/>
                      <w:spacing w:val="-10"/>
                      <w:szCs w:val="21"/>
                    </w:rPr>
                    <w:t>工业废气量</w:t>
                  </w:r>
                </w:p>
              </w:tc>
              <w:tc>
                <w:tcPr>
                  <w:tcW w:w="1332" w:type="dxa"/>
                  <w:vAlign w:val="center"/>
                </w:tcPr>
                <w:p w14:paraId="009B78E2">
                  <w:pPr>
                    <w:adjustRightInd w:val="0"/>
                    <w:snapToGrid w:val="0"/>
                    <w:spacing w:line="360" w:lineRule="auto"/>
                    <w:jc w:val="center"/>
                    <w:rPr>
                      <w:bCs/>
                      <w:spacing w:val="-10"/>
                      <w:szCs w:val="21"/>
                    </w:rPr>
                  </w:pPr>
                  <w:r>
                    <w:rPr>
                      <w:rFonts w:hint="eastAsia"/>
                      <w:bCs/>
                      <w:spacing w:val="-10"/>
                      <w:szCs w:val="21"/>
                    </w:rPr>
                    <w:t>6240</w:t>
                  </w:r>
                </w:p>
              </w:tc>
              <w:tc>
                <w:tcPr>
                  <w:tcW w:w="1333" w:type="dxa"/>
                </w:tcPr>
                <w:p w14:paraId="6779283A">
                  <w:pPr>
                    <w:adjustRightInd w:val="0"/>
                    <w:snapToGrid w:val="0"/>
                    <w:spacing w:line="360" w:lineRule="auto"/>
                    <w:rPr>
                      <w:bCs/>
                      <w:spacing w:val="-10"/>
                      <w:szCs w:val="21"/>
                    </w:rPr>
                  </w:pPr>
                  <w:r>
                    <w:rPr>
                      <w:rFonts w:hint="eastAsia"/>
                      <w:bCs/>
                      <w:spacing w:val="-10"/>
                      <w:szCs w:val="21"/>
                    </w:rPr>
                    <w:t>3519360 m</w:t>
                  </w:r>
                  <w:r>
                    <w:rPr>
                      <w:rFonts w:hint="eastAsia"/>
                      <w:bCs/>
                      <w:spacing w:val="-10"/>
                      <w:szCs w:val="21"/>
                      <w:vertAlign w:val="superscript"/>
                    </w:rPr>
                    <w:t>3</w:t>
                  </w:r>
                  <w:r>
                    <w:rPr>
                      <w:rFonts w:hint="eastAsia"/>
                      <w:bCs/>
                      <w:spacing w:val="-10"/>
                      <w:szCs w:val="21"/>
                    </w:rPr>
                    <w:t>/a</w:t>
                  </w:r>
                </w:p>
              </w:tc>
              <w:tc>
                <w:tcPr>
                  <w:tcW w:w="1333" w:type="dxa"/>
                </w:tcPr>
                <w:p w14:paraId="2E0926C5">
                  <w:pPr>
                    <w:adjustRightInd w:val="0"/>
                    <w:snapToGrid w:val="0"/>
                    <w:spacing w:line="360" w:lineRule="auto"/>
                    <w:rPr>
                      <w:bCs/>
                      <w:spacing w:val="-10"/>
                      <w:szCs w:val="21"/>
                    </w:rPr>
                  </w:pPr>
                  <w:r>
                    <w:rPr>
                      <w:rFonts w:hint="eastAsia"/>
                      <w:bCs/>
                      <w:spacing w:val="-10"/>
                      <w:szCs w:val="21"/>
                    </w:rPr>
                    <w:t>1466.4 m</w:t>
                  </w:r>
                  <w:r>
                    <w:rPr>
                      <w:rFonts w:hint="eastAsia"/>
                      <w:bCs/>
                      <w:spacing w:val="-10"/>
                      <w:szCs w:val="21"/>
                      <w:vertAlign w:val="superscript"/>
                    </w:rPr>
                    <w:t>3</w:t>
                  </w:r>
                  <w:r>
                    <w:rPr>
                      <w:rFonts w:hint="eastAsia"/>
                      <w:bCs/>
                      <w:spacing w:val="-10"/>
                      <w:szCs w:val="21"/>
                    </w:rPr>
                    <w:t>/h</w:t>
                  </w:r>
                </w:p>
              </w:tc>
            </w:tr>
            <w:tr w14:paraId="71FA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Merge w:val="continue"/>
                </w:tcPr>
                <w:p w14:paraId="4546D9ED">
                  <w:pPr>
                    <w:adjustRightInd w:val="0"/>
                    <w:snapToGrid w:val="0"/>
                    <w:spacing w:line="360" w:lineRule="auto"/>
                    <w:jc w:val="center"/>
                    <w:rPr>
                      <w:bCs/>
                      <w:spacing w:val="-10"/>
                      <w:szCs w:val="21"/>
                    </w:rPr>
                  </w:pPr>
                </w:p>
              </w:tc>
              <w:tc>
                <w:tcPr>
                  <w:tcW w:w="1332" w:type="dxa"/>
                  <w:vMerge w:val="continue"/>
                </w:tcPr>
                <w:p w14:paraId="4A2340B9">
                  <w:pPr>
                    <w:adjustRightInd w:val="0"/>
                    <w:snapToGrid w:val="0"/>
                    <w:spacing w:line="360" w:lineRule="auto"/>
                    <w:jc w:val="center"/>
                    <w:rPr>
                      <w:bCs/>
                      <w:spacing w:val="-10"/>
                      <w:szCs w:val="21"/>
                    </w:rPr>
                  </w:pPr>
                </w:p>
              </w:tc>
              <w:tc>
                <w:tcPr>
                  <w:tcW w:w="1332" w:type="dxa"/>
                  <w:vAlign w:val="center"/>
                </w:tcPr>
                <w:p w14:paraId="4576DB10">
                  <w:pPr>
                    <w:adjustRightInd w:val="0"/>
                    <w:snapToGrid w:val="0"/>
                    <w:spacing w:line="360" w:lineRule="auto"/>
                    <w:jc w:val="center"/>
                    <w:rPr>
                      <w:bCs/>
                      <w:spacing w:val="-10"/>
                      <w:szCs w:val="21"/>
                    </w:rPr>
                  </w:pPr>
                  <w:r>
                    <w:rPr>
                      <w:bCs/>
                      <w:spacing w:val="-10"/>
                      <w:szCs w:val="21"/>
                    </w:rPr>
                    <w:t>颗粒物</w:t>
                  </w:r>
                </w:p>
              </w:tc>
              <w:tc>
                <w:tcPr>
                  <w:tcW w:w="1332" w:type="dxa"/>
                  <w:vAlign w:val="center"/>
                </w:tcPr>
                <w:p w14:paraId="7BBED731">
                  <w:pPr>
                    <w:adjustRightInd w:val="0"/>
                    <w:snapToGrid w:val="0"/>
                    <w:spacing w:line="360" w:lineRule="auto"/>
                    <w:jc w:val="center"/>
                    <w:rPr>
                      <w:bCs/>
                      <w:spacing w:val="-10"/>
                      <w:szCs w:val="21"/>
                    </w:rPr>
                  </w:pPr>
                  <w:r>
                    <w:rPr>
                      <w:bCs/>
                      <w:spacing w:val="-10"/>
                      <w:szCs w:val="21"/>
                    </w:rPr>
                    <w:t>0.5</w:t>
                  </w:r>
                </w:p>
              </w:tc>
              <w:tc>
                <w:tcPr>
                  <w:tcW w:w="1333" w:type="dxa"/>
                </w:tcPr>
                <w:p w14:paraId="63525F98">
                  <w:pPr>
                    <w:adjustRightInd w:val="0"/>
                    <w:snapToGrid w:val="0"/>
                    <w:spacing w:line="360" w:lineRule="auto"/>
                    <w:rPr>
                      <w:bCs/>
                      <w:spacing w:val="-10"/>
                      <w:szCs w:val="21"/>
                    </w:rPr>
                  </w:pPr>
                  <w:r>
                    <w:rPr>
                      <w:rFonts w:hint="eastAsia"/>
                      <w:bCs/>
                      <w:spacing w:val="-10"/>
                      <w:szCs w:val="21"/>
                    </w:rPr>
                    <w:t xml:space="preserve">0.282t/a </w:t>
                  </w:r>
                </w:p>
              </w:tc>
              <w:tc>
                <w:tcPr>
                  <w:tcW w:w="1333" w:type="dxa"/>
                </w:tcPr>
                <w:p w14:paraId="6A2A4087">
                  <w:pPr>
                    <w:adjustRightInd w:val="0"/>
                    <w:snapToGrid w:val="0"/>
                    <w:spacing w:line="360" w:lineRule="auto"/>
                    <w:rPr>
                      <w:bCs/>
                      <w:spacing w:val="-10"/>
                      <w:szCs w:val="21"/>
                    </w:rPr>
                  </w:pPr>
                  <w:r>
                    <w:rPr>
                      <w:rFonts w:hint="eastAsia"/>
                      <w:bCs/>
                      <w:spacing w:val="-10"/>
                      <w:szCs w:val="21"/>
                    </w:rPr>
                    <w:t>0.1175kg/h</w:t>
                  </w:r>
                </w:p>
              </w:tc>
            </w:tr>
            <w:tr w14:paraId="550D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Merge w:val="continue"/>
                </w:tcPr>
                <w:p w14:paraId="0798B9E0">
                  <w:pPr>
                    <w:adjustRightInd w:val="0"/>
                    <w:snapToGrid w:val="0"/>
                    <w:spacing w:line="360" w:lineRule="auto"/>
                    <w:jc w:val="center"/>
                    <w:rPr>
                      <w:bCs/>
                      <w:spacing w:val="-10"/>
                      <w:szCs w:val="21"/>
                    </w:rPr>
                  </w:pPr>
                </w:p>
              </w:tc>
              <w:tc>
                <w:tcPr>
                  <w:tcW w:w="1332" w:type="dxa"/>
                  <w:vMerge w:val="continue"/>
                </w:tcPr>
                <w:p w14:paraId="091F8817">
                  <w:pPr>
                    <w:adjustRightInd w:val="0"/>
                    <w:snapToGrid w:val="0"/>
                    <w:spacing w:line="360" w:lineRule="auto"/>
                    <w:jc w:val="center"/>
                    <w:rPr>
                      <w:bCs/>
                      <w:spacing w:val="-10"/>
                      <w:szCs w:val="21"/>
                    </w:rPr>
                  </w:pPr>
                </w:p>
              </w:tc>
              <w:tc>
                <w:tcPr>
                  <w:tcW w:w="1332" w:type="dxa"/>
                  <w:vAlign w:val="center"/>
                </w:tcPr>
                <w:p w14:paraId="19B4994C">
                  <w:pPr>
                    <w:adjustRightInd w:val="0"/>
                    <w:snapToGrid w:val="0"/>
                    <w:spacing w:line="360" w:lineRule="auto"/>
                    <w:jc w:val="center"/>
                    <w:rPr>
                      <w:bCs/>
                      <w:spacing w:val="-10"/>
                      <w:szCs w:val="21"/>
                    </w:rPr>
                  </w:pPr>
                  <w:r>
                    <w:rPr>
                      <w:bCs/>
                      <w:spacing w:val="-10"/>
                      <w:szCs w:val="21"/>
                    </w:rPr>
                    <w:t>二氧化硫</w:t>
                  </w:r>
                </w:p>
              </w:tc>
              <w:tc>
                <w:tcPr>
                  <w:tcW w:w="1332" w:type="dxa"/>
                  <w:vAlign w:val="center"/>
                </w:tcPr>
                <w:p w14:paraId="4069C244">
                  <w:pPr>
                    <w:adjustRightInd w:val="0"/>
                    <w:snapToGrid w:val="0"/>
                    <w:spacing w:line="360" w:lineRule="auto"/>
                    <w:jc w:val="center"/>
                    <w:rPr>
                      <w:bCs/>
                      <w:spacing w:val="-10"/>
                      <w:szCs w:val="21"/>
                    </w:rPr>
                  </w:pPr>
                  <w:r>
                    <w:rPr>
                      <w:rFonts w:hint="eastAsia"/>
                      <w:bCs/>
                      <w:spacing w:val="-10"/>
                      <w:szCs w:val="21"/>
                    </w:rPr>
                    <w:t>17S</w:t>
                  </w:r>
                </w:p>
              </w:tc>
              <w:tc>
                <w:tcPr>
                  <w:tcW w:w="1333" w:type="dxa"/>
                </w:tcPr>
                <w:p w14:paraId="344E7362">
                  <w:pPr>
                    <w:adjustRightInd w:val="0"/>
                    <w:snapToGrid w:val="0"/>
                    <w:spacing w:line="360" w:lineRule="auto"/>
                    <w:rPr>
                      <w:bCs/>
                      <w:spacing w:val="-10"/>
                      <w:szCs w:val="21"/>
                    </w:rPr>
                  </w:pPr>
                  <w:r>
                    <w:rPr>
                      <w:rFonts w:hint="eastAsia"/>
                      <w:bCs/>
                      <w:spacing w:val="-10"/>
                      <w:szCs w:val="21"/>
                    </w:rPr>
                    <w:t xml:space="preserve">0.192t/a </w:t>
                  </w:r>
                </w:p>
              </w:tc>
              <w:tc>
                <w:tcPr>
                  <w:tcW w:w="1333" w:type="dxa"/>
                </w:tcPr>
                <w:p w14:paraId="40AD57C9">
                  <w:pPr>
                    <w:adjustRightInd w:val="0"/>
                    <w:snapToGrid w:val="0"/>
                    <w:spacing w:line="360" w:lineRule="auto"/>
                    <w:rPr>
                      <w:bCs/>
                      <w:spacing w:val="-10"/>
                      <w:szCs w:val="21"/>
                    </w:rPr>
                  </w:pPr>
                  <w:r>
                    <w:rPr>
                      <w:rFonts w:hint="eastAsia"/>
                      <w:bCs/>
                      <w:spacing w:val="-10"/>
                      <w:szCs w:val="21"/>
                    </w:rPr>
                    <w:t>0.08kg/h</w:t>
                  </w:r>
                </w:p>
              </w:tc>
            </w:tr>
            <w:tr w14:paraId="757F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Merge w:val="continue"/>
                </w:tcPr>
                <w:p w14:paraId="7F5CD40D">
                  <w:pPr>
                    <w:adjustRightInd w:val="0"/>
                    <w:snapToGrid w:val="0"/>
                    <w:spacing w:line="360" w:lineRule="auto"/>
                    <w:jc w:val="center"/>
                    <w:rPr>
                      <w:bCs/>
                      <w:spacing w:val="-10"/>
                      <w:szCs w:val="21"/>
                    </w:rPr>
                  </w:pPr>
                </w:p>
              </w:tc>
              <w:tc>
                <w:tcPr>
                  <w:tcW w:w="1332" w:type="dxa"/>
                  <w:vMerge w:val="continue"/>
                </w:tcPr>
                <w:p w14:paraId="273FF128">
                  <w:pPr>
                    <w:adjustRightInd w:val="0"/>
                    <w:snapToGrid w:val="0"/>
                    <w:spacing w:line="360" w:lineRule="auto"/>
                    <w:jc w:val="center"/>
                    <w:rPr>
                      <w:bCs/>
                      <w:spacing w:val="-10"/>
                      <w:szCs w:val="21"/>
                    </w:rPr>
                  </w:pPr>
                </w:p>
              </w:tc>
              <w:tc>
                <w:tcPr>
                  <w:tcW w:w="1332" w:type="dxa"/>
                  <w:vAlign w:val="center"/>
                </w:tcPr>
                <w:p w14:paraId="5B135DE0">
                  <w:pPr>
                    <w:adjustRightInd w:val="0"/>
                    <w:snapToGrid w:val="0"/>
                    <w:spacing w:line="360" w:lineRule="auto"/>
                    <w:jc w:val="center"/>
                    <w:rPr>
                      <w:bCs/>
                      <w:spacing w:val="-10"/>
                      <w:szCs w:val="21"/>
                    </w:rPr>
                  </w:pPr>
                  <w:r>
                    <w:rPr>
                      <w:rFonts w:hint="eastAsia"/>
                      <w:bCs/>
                      <w:spacing w:val="-10"/>
                      <w:szCs w:val="21"/>
                    </w:rPr>
                    <w:t>氮氧化物</w:t>
                  </w:r>
                </w:p>
              </w:tc>
              <w:tc>
                <w:tcPr>
                  <w:tcW w:w="1332" w:type="dxa"/>
                  <w:vAlign w:val="center"/>
                </w:tcPr>
                <w:p w14:paraId="11054C1F">
                  <w:pPr>
                    <w:adjustRightInd w:val="0"/>
                    <w:snapToGrid w:val="0"/>
                    <w:spacing w:line="360" w:lineRule="auto"/>
                    <w:jc w:val="center"/>
                    <w:rPr>
                      <w:bCs/>
                      <w:spacing w:val="-10"/>
                      <w:szCs w:val="21"/>
                    </w:rPr>
                  </w:pPr>
                  <w:r>
                    <w:rPr>
                      <w:rFonts w:hint="eastAsia"/>
                      <w:bCs/>
                      <w:spacing w:val="-10"/>
                      <w:szCs w:val="21"/>
                    </w:rPr>
                    <w:t>1.02</w:t>
                  </w:r>
                </w:p>
              </w:tc>
              <w:tc>
                <w:tcPr>
                  <w:tcW w:w="1333" w:type="dxa"/>
                </w:tcPr>
                <w:p w14:paraId="1345EA67">
                  <w:pPr>
                    <w:adjustRightInd w:val="0"/>
                    <w:snapToGrid w:val="0"/>
                    <w:spacing w:line="360" w:lineRule="auto"/>
                    <w:rPr>
                      <w:bCs/>
                      <w:spacing w:val="-10"/>
                      <w:szCs w:val="21"/>
                    </w:rPr>
                  </w:pPr>
                  <w:r>
                    <w:rPr>
                      <w:rFonts w:hint="eastAsia"/>
                      <w:bCs/>
                      <w:spacing w:val="-10"/>
                      <w:szCs w:val="21"/>
                    </w:rPr>
                    <w:t xml:space="preserve">0.575t/a </w:t>
                  </w:r>
                </w:p>
              </w:tc>
              <w:tc>
                <w:tcPr>
                  <w:tcW w:w="1333" w:type="dxa"/>
                </w:tcPr>
                <w:p w14:paraId="7C3E1A2D">
                  <w:pPr>
                    <w:adjustRightInd w:val="0"/>
                    <w:snapToGrid w:val="0"/>
                    <w:spacing w:line="360" w:lineRule="auto"/>
                    <w:rPr>
                      <w:bCs/>
                      <w:spacing w:val="-10"/>
                      <w:szCs w:val="21"/>
                    </w:rPr>
                  </w:pPr>
                  <w:r>
                    <w:rPr>
                      <w:rFonts w:hint="eastAsia"/>
                      <w:bCs/>
                      <w:spacing w:val="-10"/>
                      <w:szCs w:val="21"/>
                    </w:rPr>
                    <w:t>0.2397kg/h</w:t>
                  </w:r>
                </w:p>
              </w:tc>
            </w:tr>
          </w:tbl>
          <w:p w14:paraId="0260EB71">
            <w:pPr>
              <w:pStyle w:val="2"/>
              <w:ind w:left="0" w:leftChars="0" w:firstLine="600" w:firstLineChars="250"/>
            </w:pPr>
            <w:r>
              <w:t>根据建设单位提供的资料，项目生物质蒸汽发生器配套</w:t>
            </w:r>
            <w:r>
              <w:rPr>
                <w:rFonts w:hint="eastAsia"/>
              </w:rPr>
              <w:t>安装水喷淋</w:t>
            </w:r>
            <w:r>
              <w:t>设施，颗粒物去除效率按</w:t>
            </w:r>
            <w:r>
              <w:rPr>
                <w:rFonts w:hint="eastAsia"/>
              </w:rPr>
              <w:t>85</w:t>
            </w:r>
            <w:r>
              <w:t>%计，</w:t>
            </w:r>
            <w:r>
              <w:rPr>
                <w:rFonts w:hint="eastAsia"/>
              </w:rPr>
              <w:t>水喷淋</w:t>
            </w:r>
            <w:r>
              <w:t>设施对二氧化硫和氮氧化物无去除效率。蒸汽发生器燃烧废气经</w:t>
            </w:r>
            <w:r>
              <w:rPr>
                <w:rFonts w:hint="eastAsia"/>
              </w:rPr>
              <w:t>水喷淋装置</w:t>
            </w:r>
            <w:r>
              <w:t>处理后通过一个</w:t>
            </w:r>
            <w:r>
              <w:rPr>
                <w:rFonts w:hint="eastAsia"/>
              </w:rPr>
              <w:t>25</w:t>
            </w:r>
            <w:r>
              <w:t>m高的排气筒排放</w:t>
            </w:r>
            <w:r>
              <w:rPr>
                <w:rFonts w:hint="eastAsia"/>
              </w:rPr>
              <w:t>，废气排放情况如下表:</w:t>
            </w:r>
          </w:p>
          <w:p w14:paraId="6F5C81C7">
            <w:pPr>
              <w:adjustRightInd w:val="0"/>
              <w:snapToGrid w:val="0"/>
              <w:spacing w:line="360" w:lineRule="auto"/>
              <w:ind w:firstLine="422" w:firstLineChars="200"/>
              <w:jc w:val="center"/>
              <w:rPr>
                <w:b/>
                <w:bCs/>
                <w:kern w:val="0"/>
                <w:szCs w:val="21"/>
              </w:rPr>
            </w:pPr>
          </w:p>
          <w:p w14:paraId="4B7112A5">
            <w:pPr>
              <w:adjustRightInd w:val="0"/>
              <w:snapToGrid w:val="0"/>
              <w:spacing w:line="360" w:lineRule="auto"/>
              <w:ind w:firstLine="422" w:firstLineChars="200"/>
              <w:jc w:val="center"/>
              <w:rPr>
                <w:b/>
                <w:bCs/>
                <w:kern w:val="0"/>
                <w:szCs w:val="21"/>
              </w:rPr>
            </w:pPr>
          </w:p>
          <w:p w14:paraId="32CACFC4">
            <w:pPr>
              <w:adjustRightInd w:val="0"/>
              <w:snapToGrid w:val="0"/>
              <w:spacing w:line="360" w:lineRule="auto"/>
              <w:ind w:firstLine="422" w:firstLineChars="200"/>
              <w:jc w:val="center"/>
              <w:rPr>
                <w:b/>
                <w:bCs/>
                <w:kern w:val="0"/>
                <w:szCs w:val="21"/>
              </w:rPr>
            </w:pPr>
          </w:p>
          <w:p w14:paraId="3A67677A">
            <w:pPr>
              <w:adjustRightInd w:val="0"/>
              <w:snapToGrid w:val="0"/>
              <w:spacing w:line="360" w:lineRule="auto"/>
              <w:ind w:firstLine="422" w:firstLineChars="200"/>
              <w:jc w:val="center"/>
              <w:rPr>
                <w:b/>
                <w:bCs/>
                <w:kern w:val="0"/>
                <w:szCs w:val="21"/>
              </w:rPr>
            </w:pPr>
            <w:r>
              <w:rPr>
                <w:b/>
                <w:bCs/>
                <w:kern w:val="0"/>
                <w:szCs w:val="21"/>
              </w:rPr>
              <w:t>表4-</w:t>
            </w:r>
            <w:r>
              <w:rPr>
                <w:rFonts w:hint="eastAsia"/>
                <w:b/>
                <w:bCs/>
                <w:kern w:val="0"/>
                <w:szCs w:val="21"/>
              </w:rPr>
              <w:t>3</w:t>
            </w:r>
            <w:r>
              <w:rPr>
                <w:b/>
                <w:bCs/>
                <w:kern w:val="0"/>
                <w:szCs w:val="21"/>
              </w:rPr>
              <w:t>项目</w:t>
            </w:r>
            <w:r>
              <w:rPr>
                <w:rFonts w:hint="eastAsia"/>
                <w:b/>
                <w:bCs/>
                <w:kern w:val="0"/>
                <w:szCs w:val="21"/>
              </w:rPr>
              <w:t>燃烧废气产排情况一览表</w:t>
            </w:r>
          </w:p>
          <w:tbl>
            <w:tblPr>
              <w:tblStyle w:val="26"/>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23"/>
              <w:gridCol w:w="722"/>
              <w:gridCol w:w="661"/>
              <w:gridCol w:w="680"/>
              <w:gridCol w:w="642"/>
              <w:gridCol w:w="696"/>
              <w:gridCol w:w="1215"/>
              <w:gridCol w:w="730"/>
              <w:gridCol w:w="742"/>
              <w:gridCol w:w="744"/>
              <w:gridCol w:w="528"/>
            </w:tblGrid>
            <w:tr w14:paraId="2BD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9" w:hRule="atLeast"/>
                <w:tblHeader/>
                <w:jc w:val="center"/>
              </w:trPr>
              <w:tc>
                <w:tcPr>
                  <w:tcW w:w="523" w:type="dxa"/>
                  <w:vMerge w:val="restart"/>
                  <w:vAlign w:val="center"/>
                </w:tcPr>
                <w:p w14:paraId="347BB5E1">
                  <w:pPr>
                    <w:spacing w:line="260" w:lineRule="exact"/>
                    <w:jc w:val="center"/>
                    <w:rPr>
                      <w:color w:val="000000"/>
                      <w:szCs w:val="21"/>
                    </w:rPr>
                  </w:pPr>
                  <w:r>
                    <w:rPr>
                      <w:color w:val="000000"/>
                      <w:szCs w:val="21"/>
                    </w:rPr>
                    <w:t>排放源</w:t>
                  </w:r>
                </w:p>
              </w:tc>
              <w:tc>
                <w:tcPr>
                  <w:tcW w:w="722" w:type="dxa"/>
                  <w:vMerge w:val="restart"/>
                  <w:vAlign w:val="center"/>
                </w:tcPr>
                <w:p w14:paraId="08FD549B">
                  <w:pPr>
                    <w:spacing w:line="260" w:lineRule="exact"/>
                    <w:jc w:val="center"/>
                    <w:rPr>
                      <w:color w:val="000000"/>
                      <w:szCs w:val="21"/>
                    </w:rPr>
                  </w:pPr>
                  <w:r>
                    <w:rPr>
                      <w:color w:val="000000"/>
                      <w:szCs w:val="21"/>
                    </w:rPr>
                    <w:t>名称</w:t>
                  </w:r>
                </w:p>
              </w:tc>
              <w:tc>
                <w:tcPr>
                  <w:tcW w:w="661" w:type="dxa"/>
                  <w:vMerge w:val="restart"/>
                  <w:vAlign w:val="center"/>
                </w:tcPr>
                <w:p w14:paraId="79A365F1">
                  <w:pPr>
                    <w:spacing w:line="260" w:lineRule="exact"/>
                    <w:jc w:val="center"/>
                    <w:rPr>
                      <w:color w:val="000000"/>
                      <w:szCs w:val="21"/>
                    </w:rPr>
                  </w:pPr>
                  <w:r>
                    <w:rPr>
                      <w:rFonts w:hint="eastAsia"/>
                      <w:color w:val="000000"/>
                      <w:szCs w:val="21"/>
                    </w:rPr>
                    <w:t>风量</w:t>
                  </w:r>
                  <w:r>
                    <w:rPr>
                      <w:color w:val="000000"/>
                      <w:szCs w:val="21"/>
                    </w:rPr>
                    <w:t>m</w:t>
                  </w:r>
                  <w:r>
                    <w:rPr>
                      <w:color w:val="000000"/>
                      <w:szCs w:val="21"/>
                      <w:vertAlign w:val="superscript"/>
                    </w:rPr>
                    <w:t>3</w:t>
                  </w:r>
                  <w:r>
                    <w:rPr>
                      <w:color w:val="000000"/>
                      <w:szCs w:val="21"/>
                    </w:rPr>
                    <w:t>/h</w:t>
                  </w:r>
                </w:p>
              </w:tc>
              <w:tc>
                <w:tcPr>
                  <w:tcW w:w="2018" w:type="dxa"/>
                  <w:gridSpan w:val="3"/>
                  <w:vAlign w:val="center"/>
                </w:tcPr>
                <w:p w14:paraId="0C8AD221">
                  <w:pPr>
                    <w:spacing w:line="260" w:lineRule="exact"/>
                    <w:jc w:val="center"/>
                    <w:rPr>
                      <w:color w:val="000000"/>
                      <w:szCs w:val="21"/>
                    </w:rPr>
                  </w:pPr>
                  <w:r>
                    <w:rPr>
                      <w:color w:val="000000"/>
                      <w:szCs w:val="21"/>
                    </w:rPr>
                    <w:t>产生情况</w:t>
                  </w:r>
                </w:p>
              </w:tc>
              <w:tc>
                <w:tcPr>
                  <w:tcW w:w="1215" w:type="dxa"/>
                  <w:vMerge w:val="restart"/>
                  <w:vAlign w:val="center"/>
                </w:tcPr>
                <w:p w14:paraId="44ABEDF7">
                  <w:pPr>
                    <w:spacing w:line="260" w:lineRule="exact"/>
                    <w:jc w:val="center"/>
                    <w:rPr>
                      <w:color w:val="000000"/>
                      <w:szCs w:val="21"/>
                    </w:rPr>
                  </w:pPr>
                  <w:r>
                    <w:rPr>
                      <w:color w:val="000000"/>
                      <w:szCs w:val="21"/>
                    </w:rPr>
                    <w:t>拟采取措施</w:t>
                  </w:r>
                </w:p>
              </w:tc>
              <w:tc>
                <w:tcPr>
                  <w:tcW w:w="2216" w:type="dxa"/>
                  <w:gridSpan w:val="3"/>
                  <w:vAlign w:val="center"/>
                </w:tcPr>
                <w:p w14:paraId="12D4FC7E">
                  <w:pPr>
                    <w:spacing w:line="260" w:lineRule="exact"/>
                    <w:jc w:val="center"/>
                    <w:rPr>
                      <w:color w:val="000000"/>
                      <w:szCs w:val="21"/>
                    </w:rPr>
                  </w:pPr>
                  <w:r>
                    <w:rPr>
                      <w:color w:val="000000"/>
                      <w:szCs w:val="21"/>
                    </w:rPr>
                    <w:t>排放情况</w:t>
                  </w:r>
                </w:p>
              </w:tc>
              <w:tc>
                <w:tcPr>
                  <w:tcW w:w="528" w:type="dxa"/>
                  <w:vMerge w:val="restart"/>
                  <w:vAlign w:val="center"/>
                </w:tcPr>
                <w:p w14:paraId="0FE7267F">
                  <w:pPr>
                    <w:adjustRightInd w:val="0"/>
                    <w:snapToGrid w:val="0"/>
                    <w:spacing w:line="260" w:lineRule="exact"/>
                    <w:ind w:left="-105" w:leftChars="-50" w:right="-105" w:rightChars="-50"/>
                    <w:jc w:val="center"/>
                    <w:rPr>
                      <w:color w:val="000000"/>
                      <w:szCs w:val="21"/>
                    </w:rPr>
                  </w:pPr>
                  <w:r>
                    <w:rPr>
                      <w:color w:val="000000"/>
                      <w:szCs w:val="21"/>
                    </w:rPr>
                    <w:t>排放</w:t>
                  </w:r>
                </w:p>
                <w:p w14:paraId="31BC9CDF">
                  <w:pPr>
                    <w:adjustRightInd w:val="0"/>
                    <w:snapToGrid w:val="0"/>
                    <w:spacing w:line="260" w:lineRule="exact"/>
                    <w:ind w:left="-105" w:leftChars="-50" w:right="-105" w:rightChars="-50"/>
                    <w:jc w:val="center"/>
                    <w:rPr>
                      <w:color w:val="000000"/>
                      <w:szCs w:val="21"/>
                    </w:rPr>
                  </w:pPr>
                  <w:r>
                    <w:rPr>
                      <w:color w:val="000000"/>
                      <w:szCs w:val="21"/>
                    </w:rPr>
                    <w:t>方式</w:t>
                  </w:r>
                </w:p>
              </w:tc>
            </w:tr>
            <w:tr w14:paraId="1339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tblHeader/>
                <w:jc w:val="center"/>
              </w:trPr>
              <w:tc>
                <w:tcPr>
                  <w:tcW w:w="523" w:type="dxa"/>
                  <w:vMerge w:val="continue"/>
                  <w:vAlign w:val="center"/>
                </w:tcPr>
                <w:p w14:paraId="0648D00C">
                  <w:pPr>
                    <w:spacing w:line="260" w:lineRule="exact"/>
                    <w:jc w:val="center"/>
                    <w:rPr>
                      <w:color w:val="000000"/>
                      <w:szCs w:val="21"/>
                    </w:rPr>
                  </w:pPr>
                </w:p>
              </w:tc>
              <w:tc>
                <w:tcPr>
                  <w:tcW w:w="722" w:type="dxa"/>
                  <w:vMerge w:val="continue"/>
                  <w:vAlign w:val="center"/>
                </w:tcPr>
                <w:p w14:paraId="326217C7">
                  <w:pPr>
                    <w:spacing w:line="260" w:lineRule="exact"/>
                    <w:jc w:val="center"/>
                    <w:rPr>
                      <w:color w:val="000000"/>
                      <w:szCs w:val="21"/>
                    </w:rPr>
                  </w:pPr>
                </w:p>
              </w:tc>
              <w:tc>
                <w:tcPr>
                  <w:tcW w:w="661" w:type="dxa"/>
                  <w:vMerge w:val="continue"/>
                  <w:vAlign w:val="center"/>
                </w:tcPr>
                <w:p w14:paraId="783708B4">
                  <w:pPr>
                    <w:spacing w:line="260" w:lineRule="exact"/>
                    <w:jc w:val="center"/>
                    <w:rPr>
                      <w:color w:val="000000"/>
                      <w:szCs w:val="21"/>
                    </w:rPr>
                  </w:pPr>
                </w:p>
              </w:tc>
              <w:tc>
                <w:tcPr>
                  <w:tcW w:w="680" w:type="dxa"/>
                  <w:vAlign w:val="center"/>
                </w:tcPr>
                <w:p w14:paraId="7255D24E">
                  <w:pPr>
                    <w:spacing w:line="260" w:lineRule="exact"/>
                    <w:jc w:val="center"/>
                    <w:rPr>
                      <w:color w:val="000000"/>
                      <w:szCs w:val="21"/>
                    </w:rPr>
                  </w:pPr>
                  <w:r>
                    <w:rPr>
                      <w:color w:val="000000"/>
                      <w:szCs w:val="21"/>
                    </w:rPr>
                    <w:t>产生量t/a</w:t>
                  </w:r>
                </w:p>
              </w:tc>
              <w:tc>
                <w:tcPr>
                  <w:tcW w:w="642" w:type="dxa"/>
                  <w:vAlign w:val="center"/>
                </w:tcPr>
                <w:p w14:paraId="6171F059">
                  <w:pPr>
                    <w:spacing w:line="260" w:lineRule="exact"/>
                    <w:jc w:val="center"/>
                    <w:rPr>
                      <w:color w:val="000000"/>
                      <w:szCs w:val="21"/>
                    </w:rPr>
                  </w:pPr>
                  <w:r>
                    <w:rPr>
                      <w:color w:val="000000"/>
                      <w:szCs w:val="21"/>
                    </w:rPr>
                    <w:t>速率</w:t>
                  </w:r>
                </w:p>
                <w:p w14:paraId="6B1E6377">
                  <w:pPr>
                    <w:spacing w:line="260" w:lineRule="exact"/>
                    <w:jc w:val="center"/>
                    <w:rPr>
                      <w:color w:val="000000"/>
                      <w:szCs w:val="21"/>
                    </w:rPr>
                  </w:pPr>
                  <w:r>
                    <w:rPr>
                      <w:color w:val="000000"/>
                      <w:szCs w:val="21"/>
                    </w:rPr>
                    <w:t>kg/h</w:t>
                  </w:r>
                </w:p>
              </w:tc>
              <w:tc>
                <w:tcPr>
                  <w:tcW w:w="696" w:type="dxa"/>
                  <w:vAlign w:val="center"/>
                </w:tcPr>
                <w:p w14:paraId="07DAC3F8">
                  <w:pPr>
                    <w:spacing w:line="260" w:lineRule="exact"/>
                    <w:jc w:val="center"/>
                    <w:rPr>
                      <w:color w:val="000000"/>
                      <w:szCs w:val="21"/>
                    </w:rPr>
                  </w:pPr>
                  <w:r>
                    <w:rPr>
                      <w:color w:val="000000"/>
                      <w:szCs w:val="21"/>
                    </w:rPr>
                    <w:t>浓度</w:t>
                  </w:r>
                </w:p>
                <w:p w14:paraId="6E9CBEC2">
                  <w:pPr>
                    <w:spacing w:line="260" w:lineRule="exact"/>
                    <w:jc w:val="center"/>
                    <w:rPr>
                      <w:color w:val="000000"/>
                      <w:szCs w:val="21"/>
                    </w:rPr>
                  </w:pPr>
                  <w:r>
                    <w:rPr>
                      <w:color w:val="000000"/>
                      <w:szCs w:val="21"/>
                    </w:rPr>
                    <w:t>mg/m</w:t>
                  </w:r>
                  <w:r>
                    <w:rPr>
                      <w:color w:val="000000"/>
                      <w:szCs w:val="21"/>
                      <w:vertAlign w:val="superscript"/>
                    </w:rPr>
                    <w:t>3</w:t>
                  </w:r>
                </w:p>
              </w:tc>
              <w:tc>
                <w:tcPr>
                  <w:tcW w:w="1215" w:type="dxa"/>
                  <w:vMerge w:val="continue"/>
                  <w:vAlign w:val="center"/>
                </w:tcPr>
                <w:p w14:paraId="0E4F0520">
                  <w:pPr>
                    <w:spacing w:line="260" w:lineRule="exact"/>
                    <w:jc w:val="center"/>
                    <w:rPr>
                      <w:color w:val="000000"/>
                      <w:szCs w:val="21"/>
                    </w:rPr>
                  </w:pPr>
                </w:p>
              </w:tc>
              <w:tc>
                <w:tcPr>
                  <w:tcW w:w="730" w:type="dxa"/>
                  <w:vAlign w:val="center"/>
                </w:tcPr>
                <w:p w14:paraId="08845ECA">
                  <w:pPr>
                    <w:spacing w:line="260" w:lineRule="exact"/>
                    <w:jc w:val="center"/>
                    <w:rPr>
                      <w:color w:val="000000"/>
                      <w:szCs w:val="21"/>
                    </w:rPr>
                  </w:pPr>
                  <w:r>
                    <w:rPr>
                      <w:color w:val="000000"/>
                      <w:szCs w:val="21"/>
                    </w:rPr>
                    <w:t>排放量</w:t>
                  </w:r>
                </w:p>
                <w:p w14:paraId="59352DC5">
                  <w:pPr>
                    <w:spacing w:line="260" w:lineRule="exact"/>
                    <w:jc w:val="center"/>
                    <w:rPr>
                      <w:color w:val="000000"/>
                      <w:szCs w:val="21"/>
                    </w:rPr>
                  </w:pPr>
                  <w:r>
                    <w:rPr>
                      <w:color w:val="000000"/>
                      <w:szCs w:val="21"/>
                    </w:rPr>
                    <w:t>t/a</w:t>
                  </w:r>
                </w:p>
              </w:tc>
              <w:tc>
                <w:tcPr>
                  <w:tcW w:w="742" w:type="dxa"/>
                  <w:vAlign w:val="center"/>
                </w:tcPr>
                <w:p w14:paraId="6829B5DB">
                  <w:pPr>
                    <w:spacing w:line="260" w:lineRule="exact"/>
                    <w:jc w:val="center"/>
                    <w:rPr>
                      <w:color w:val="000000"/>
                      <w:szCs w:val="21"/>
                    </w:rPr>
                  </w:pPr>
                  <w:r>
                    <w:rPr>
                      <w:color w:val="000000"/>
                      <w:szCs w:val="21"/>
                    </w:rPr>
                    <w:t>速率</w:t>
                  </w:r>
                </w:p>
                <w:p w14:paraId="233283DA">
                  <w:pPr>
                    <w:spacing w:line="260" w:lineRule="exact"/>
                    <w:jc w:val="center"/>
                    <w:rPr>
                      <w:color w:val="000000"/>
                      <w:szCs w:val="21"/>
                    </w:rPr>
                  </w:pPr>
                  <w:r>
                    <w:rPr>
                      <w:color w:val="000000"/>
                      <w:szCs w:val="21"/>
                    </w:rPr>
                    <w:t>kg/h</w:t>
                  </w:r>
                </w:p>
              </w:tc>
              <w:tc>
                <w:tcPr>
                  <w:tcW w:w="744" w:type="dxa"/>
                  <w:vAlign w:val="center"/>
                </w:tcPr>
                <w:p w14:paraId="63F90E3F">
                  <w:pPr>
                    <w:spacing w:line="260" w:lineRule="exact"/>
                    <w:jc w:val="center"/>
                    <w:rPr>
                      <w:color w:val="000000"/>
                      <w:szCs w:val="21"/>
                    </w:rPr>
                  </w:pPr>
                  <w:r>
                    <w:rPr>
                      <w:color w:val="000000"/>
                      <w:szCs w:val="21"/>
                    </w:rPr>
                    <w:t>浓度mg/m</w:t>
                  </w:r>
                  <w:r>
                    <w:rPr>
                      <w:color w:val="000000"/>
                      <w:szCs w:val="21"/>
                      <w:vertAlign w:val="superscript"/>
                    </w:rPr>
                    <w:t>3</w:t>
                  </w:r>
                </w:p>
              </w:tc>
              <w:tc>
                <w:tcPr>
                  <w:tcW w:w="528" w:type="dxa"/>
                  <w:vMerge w:val="continue"/>
                  <w:vAlign w:val="center"/>
                </w:tcPr>
                <w:p w14:paraId="64A46EBC">
                  <w:pPr>
                    <w:spacing w:line="260" w:lineRule="exact"/>
                    <w:jc w:val="center"/>
                    <w:rPr>
                      <w:color w:val="000000"/>
                      <w:szCs w:val="21"/>
                    </w:rPr>
                  </w:pPr>
                </w:p>
              </w:tc>
            </w:tr>
            <w:tr w14:paraId="5FB1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jc w:val="center"/>
              </w:trPr>
              <w:tc>
                <w:tcPr>
                  <w:tcW w:w="523" w:type="dxa"/>
                  <w:vMerge w:val="restart"/>
                  <w:vAlign w:val="center"/>
                </w:tcPr>
                <w:p w14:paraId="10832A78">
                  <w:pPr>
                    <w:spacing w:line="260" w:lineRule="exact"/>
                    <w:jc w:val="center"/>
                    <w:rPr>
                      <w:color w:val="000000"/>
                      <w:szCs w:val="21"/>
                    </w:rPr>
                  </w:pPr>
                  <w:r>
                    <w:rPr>
                      <w:rFonts w:hint="eastAsia"/>
                      <w:color w:val="000000"/>
                      <w:szCs w:val="21"/>
                    </w:rPr>
                    <w:t>燃烧废气</w:t>
                  </w:r>
                </w:p>
              </w:tc>
              <w:tc>
                <w:tcPr>
                  <w:tcW w:w="722" w:type="dxa"/>
                  <w:vAlign w:val="center"/>
                </w:tcPr>
                <w:p w14:paraId="13010527">
                  <w:pPr>
                    <w:spacing w:line="260" w:lineRule="exact"/>
                    <w:jc w:val="center"/>
                    <w:rPr>
                      <w:color w:val="000000"/>
                      <w:szCs w:val="21"/>
                    </w:rPr>
                  </w:pPr>
                  <w:r>
                    <w:rPr>
                      <w:rFonts w:hint="eastAsia"/>
                      <w:color w:val="000000"/>
                      <w:szCs w:val="21"/>
                    </w:rPr>
                    <w:t>颗粒物</w:t>
                  </w:r>
                </w:p>
              </w:tc>
              <w:tc>
                <w:tcPr>
                  <w:tcW w:w="661" w:type="dxa"/>
                  <w:vMerge w:val="restart"/>
                  <w:vAlign w:val="center"/>
                </w:tcPr>
                <w:p w14:paraId="292F6E8E">
                  <w:pPr>
                    <w:spacing w:line="260" w:lineRule="exact"/>
                    <w:jc w:val="center"/>
                    <w:rPr>
                      <w:color w:val="000000" w:themeColor="text1"/>
                      <w:szCs w:val="21"/>
                      <w14:textFill>
                        <w14:solidFill>
                          <w14:schemeClr w14:val="tx1"/>
                        </w14:solidFill>
                      </w14:textFill>
                    </w:rPr>
                  </w:pPr>
                  <w:r>
                    <w:rPr>
                      <w:rFonts w:hint="eastAsia"/>
                      <w:bCs/>
                      <w:spacing w:val="-10"/>
                      <w:szCs w:val="21"/>
                    </w:rPr>
                    <w:t>1466.4</w:t>
                  </w:r>
                </w:p>
              </w:tc>
              <w:tc>
                <w:tcPr>
                  <w:tcW w:w="680" w:type="dxa"/>
                  <w:vAlign w:val="center"/>
                </w:tcPr>
                <w:p w14:paraId="1BB0F8B5">
                  <w:pPr>
                    <w:spacing w:line="260" w:lineRule="exact"/>
                    <w:jc w:val="center"/>
                    <w:rPr>
                      <w:color w:val="000000" w:themeColor="text1"/>
                      <w:szCs w:val="21"/>
                      <w:u w:val="single"/>
                      <w14:textFill>
                        <w14:solidFill>
                          <w14:schemeClr w14:val="tx1"/>
                        </w14:solidFill>
                      </w14:textFill>
                    </w:rPr>
                  </w:pPr>
                  <w:r>
                    <w:rPr>
                      <w:rFonts w:hint="eastAsia"/>
                      <w:bCs/>
                      <w:spacing w:val="-10"/>
                      <w:szCs w:val="21"/>
                    </w:rPr>
                    <w:t>0.282</w:t>
                  </w:r>
                </w:p>
              </w:tc>
              <w:tc>
                <w:tcPr>
                  <w:tcW w:w="642" w:type="dxa"/>
                  <w:vAlign w:val="center"/>
                </w:tcPr>
                <w:p w14:paraId="6F41F74A">
                  <w:pPr>
                    <w:spacing w:line="260" w:lineRule="exact"/>
                    <w:jc w:val="center"/>
                    <w:rPr>
                      <w:color w:val="000000" w:themeColor="text1"/>
                      <w:szCs w:val="21"/>
                      <w:u w:val="single"/>
                      <w14:textFill>
                        <w14:solidFill>
                          <w14:schemeClr w14:val="tx1"/>
                        </w14:solidFill>
                      </w14:textFill>
                    </w:rPr>
                  </w:pPr>
                  <w:r>
                    <w:rPr>
                      <w:rFonts w:hint="eastAsia"/>
                      <w:bCs/>
                      <w:spacing w:val="-10"/>
                      <w:szCs w:val="21"/>
                    </w:rPr>
                    <w:t>0.1175</w:t>
                  </w:r>
                </w:p>
              </w:tc>
              <w:tc>
                <w:tcPr>
                  <w:tcW w:w="696" w:type="dxa"/>
                  <w:vAlign w:val="center"/>
                </w:tcPr>
                <w:p w14:paraId="50B8D349">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80.1</w:t>
                  </w:r>
                </w:p>
              </w:tc>
              <w:tc>
                <w:tcPr>
                  <w:tcW w:w="1215" w:type="dxa"/>
                  <w:vMerge w:val="restart"/>
                  <w:vAlign w:val="center"/>
                </w:tcPr>
                <w:p w14:paraId="5D8E65AB">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水喷淋塔装置</w:t>
                  </w:r>
                </w:p>
              </w:tc>
              <w:tc>
                <w:tcPr>
                  <w:tcW w:w="730" w:type="dxa"/>
                  <w:vAlign w:val="center"/>
                </w:tcPr>
                <w:p w14:paraId="3ADF3C45">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0.0423</w:t>
                  </w:r>
                </w:p>
              </w:tc>
              <w:tc>
                <w:tcPr>
                  <w:tcW w:w="742" w:type="dxa"/>
                  <w:vAlign w:val="center"/>
                </w:tcPr>
                <w:p w14:paraId="2117F32B">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0.01763</w:t>
                  </w:r>
                </w:p>
              </w:tc>
              <w:tc>
                <w:tcPr>
                  <w:tcW w:w="744" w:type="dxa"/>
                  <w:vAlign w:val="center"/>
                </w:tcPr>
                <w:p w14:paraId="2ED872C4">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528" w:type="dxa"/>
                  <w:vMerge w:val="restart"/>
                  <w:vAlign w:val="center"/>
                </w:tcPr>
                <w:p w14:paraId="40B7A13F">
                  <w:pPr>
                    <w:spacing w:line="260" w:lineRule="exact"/>
                    <w:jc w:val="center"/>
                    <w:rPr>
                      <w:color w:val="000000"/>
                      <w:szCs w:val="21"/>
                    </w:rPr>
                  </w:pPr>
                  <w:r>
                    <w:rPr>
                      <w:rFonts w:hint="eastAsia"/>
                      <w:color w:val="000000"/>
                      <w:szCs w:val="21"/>
                    </w:rPr>
                    <w:t>连续</w:t>
                  </w:r>
                </w:p>
              </w:tc>
            </w:tr>
            <w:tr w14:paraId="118D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jc w:val="center"/>
              </w:trPr>
              <w:tc>
                <w:tcPr>
                  <w:tcW w:w="523" w:type="dxa"/>
                  <w:vMerge w:val="continue"/>
                  <w:vAlign w:val="center"/>
                </w:tcPr>
                <w:p w14:paraId="3EFDC223">
                  <w:pPr>
                    <w:spacing w:line="260" w:lineRule="exact"/>
                    <w:jc w:val="center"/>
                    <w:rPr>
                      <w:color w:val="000000"/>
                      <w:szCs w:val="21"/>
                    </w:rPr>
                  </w:pPr>
                </w:p>
              </w:tc>
              <w:tc>
                <w:tcPr>
                  <w:tcW w:w="722" w:type="dxa"/>
                  <w:vAlign w:val="center"/>
                </w:tcPr>
                <w:p w14:paraId="280D7DF3">
                  <w:pPr>
                    <w:spacing w:line="260" w:lineRule="exact"/>
                    <w:jc w:val="center"/>
                    <w:rPr>
                      <w:color w:val="000000"/>
                      <w:szCs w:val="21"/>
                    </w:rPr>
                  </w:pPr>
                  <w:r>
                    <w:rPr>
                      <w:rFonts w:hint="eastAsia"/>
                      <w:color w:val="000000"/>
                      <w:szCs w:val="21"/>
                    </w:rPr>
                    <w:t>S</w:t>
                  </w:r>
                  <w:r>
                    <w:rPr>
                      <w:color w:val="000000"/>
                      <w:szCs w:val="21"/>
                    </w:rPr>
                    <w:t>O</w:t>
                  </w:r>
                  <w:r>
                    <w:rPr>
                      <w:color w:val="000000"/>
                      <w:szCs w:val="21"/>
                      <w:vertAlign w:val="subscript"/>
                    </w:rPr>
                    <w:t>2</w:t>
                  </w:r>
                </w:p>
              </w:tc>
              <w:tc>
                <w:tcPr>
                  <w:tcW w:w="661" w:type="dxa"/>
                  <w:vMerge w:val="continue"/>
                  <w:vAlign w:val="center"/>
                </w:tcPr>
                <w:p w14:paraId="28A5A6D3">
                  <w:pPr>
                    <w:spacing w:line="260" w:lineRule="exact"/>
                    <w:jc w:val="center"/>
                    <w:rPr>
                      <w:color w:val="000000" w:themeColor="text1"/>
                      <w:szCs w:val="21"/>
                      <w14:textFill>
                        <w14:solidFill>
                          <w14:schemeClr w14:val="tx1"/>
                        </w14:solidFill>
                      </w14:textFill>
                    </w:rPr>
                  </w:pPr>
                </w:p>
              </w:tc>
              <w:tc>
                <w:tcPr>
                  <w:tcW w:w="680" w:type="dxa"/>
                  <w:vAlign w:val="center"/>
                </w:tcPr>
                <w:p w14:paraId="75FDB46E">
                  <w:pPr>
                    <w:spacing w:line="260" w:lineRule="exact"/>
                    <w:jc w:val="center"/>
                    <w:rPr>
                      <w:color w:val="000000" w:themeColor="text1"/>
                      <w:szCs w:val="21"/>
                      <w:u w:val="single"/>
                      <w14:textFill>
                        <w14:solidFill>
                          <w14:schemeClr w14:val="tx1"/>
                        </w14:solidFill>
                      </w14:textFill>
                    </w:rPr>
                  </w:pPr>
                  <w:r>
                    <w:rPr>
                      <w:rFonts w:hint="eastAsia"/>
                      <w:bCs/>
                      <w:spacing w:val="-10"/>
                      <w:szCs w:val="21"/>
                    </w:rPr>
                    <w:t>0.192</w:t>
                  </w:r>
                </w:p>
              </w:tc>
              <w:tc>
                <w:tcPr>
                  <w:tcW w:w="642" w:type="dxa"/>
                  <w:vAlign w:val="center"/>
                </w:tcPr>
                <w:p w14:paraId="20FFE09D">
                  <w:pPr>
                    <w:spacing w:line="260" w:lineRule="exact"/>
                    <w:jc w:val="center"/>
                    <w:rPr>
                      <w:color w:val="000000" w:themeColor="text1"/>
                      <w:szCs w:val="21"/>
                      <w:u w:val="single"/>
                      <w14:textFill>
                        <w14:solidFill>
                          <w14:schemeClr w14:val="tx1"/>
                        </w14:solidFill>
                      </w14:textFill>
                    </w:rPr>
                  </w:pPr>
                  <w:r>
                    <w:rPr>
                      <w:rFonts w:hint="eastAsia"/>
                      <w:bCs/>
                      <w:spacing w:val="-10"/>
                      <w:szCs w:val="21"/>
                    </w:rPr>
                    <w:t>0.08</w:t>
                  </w:r>
                </w:p>
              </w:tc>
              <w:tc>
                <w:tcPr>
                  <w:tcW w:w="696" w:type="dxa"/>
                  <w:vAlign w:val="center"/>
                </w:tcPr>
                <w:p w14:paraId="1358BC3B">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1215" w:type="dxa"/>
                  <w:vMerge w:val="continue"/>
                  <w:vAlign w:val="center"/>
                </w:tcPr>
                <w:p w14:paraId="4E39EB11">
                  <w:pPr>
                    <w:spacing w:line="260" w:lineRule="exact"/>
                    <w:jc w:val="center"/>
                    <w:rPr>
                      <w:color w:val="000000" w:themeColor="text1"/>
                      <w:szCs w:val="21"/>
                      <w14:textFill>
                        <w14:solidFill>
                          <w14:schemeClr w14:val="tx1"/>
                        </w14:solidFill>
                      </w14:textFill>
                    </w:rPr>
                  </w:pPr>
                </w:p>
              </w:tc>
              <w:tc>
                <w:tcPr>
                  <w:tcW w:w="730" w:type="dxa"/>
                  <w:vAlign w:val="center"/>
                </w:tcPr>
                <w:p w14:paraId="1EFBB788">
                  <w:pPr>
                    <w:spacing w:line="260" w:lineRule="exact"/>
                    <w:jc w:val="center"/>
                    <w:rPr>
                      <w:color w:val="000000" w:themeColor="text1"/>
                      <w:szCs w:val="21"/>
                      <w14:textFill>
                        <w14:solidFill>
                          <w14:schemeClr w14:val="tx1"/>
                        </w14:solidFill>
                      </w14:textFill>
                    </w:rPr>
                  </w:pPr>
                  <w:r>
                    <w:rPr>
                      <w:rFonts w:hint="eastAsia"/>
                      <w:bCs/>
                      <w:spacing w:val="-10"/>
                      <w:szCs w:val="21"/>
                    </w:rPr>
                    <w:t>0.192</w:t>
                  </w:r>
                </w:p>
              </w:tc>
              <w:tc>
                <w:tcPr>
                  <w:tcW w:w="742" w:type="dxa"/>
                  <w:vAlign w:val="center"/>
                </w:tcPr>
                <w:p w14:paraId="39BC9368">
                  <w:pPr>
                    <w:spacing w:line="260" w:lineRule="exact"/>
                    <w:jc w:val="center"/>
                    <w:rPr>
                      <w:color w:val="000000" w:themeColor="text1"/>
                      <w:szCs w:val="21"/>
                      <w14:textFill>
                        <w14:solidFill>
                          <w14:schemeClr w14:val="tx1"/>
                        </w14:solidFill>
                      </w14:textFill>
                    </w:rPr>
                  </w:pPr>
                  <w:r>
                    <w:rPr>
                      <w:rFonts w:hint="eastAsia"/>
                      <w:bCs/>
                      <w:spacing w:val="-10"/>
                      <w:szCs w:val="21"/>
                    </w:rPr>
                    <w:t>0.08</w:t>
                  </w:r>
                </w:p>
              </w:tc>
              <w:tc>
                <w:tcPr>
                  <w:tcW w:w="744" w:type="dxa"/>
                  <w:vAlign w:val="center"/>
                </w:tcPr>
                <w:p w14:paraId="126FBCB3">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528" w:type="dxa"/>
                  <w:vMerge w:val="continue"/>
                  <w:vAlign w:val="center"/>
                </w:tcPr>
                <w:p w14:paraId="63A6D02E">
                  <w:pPr>
                    <w:spacing w:line="260" w:lineRule="exact"/>
                    <w:jc w:val="center"/>
                    <w:rPr>
                      <w:color w:val="000000"/>
                      <w:szCs w:val="21"/>
                    </w:rPr>
                  </w:pPr>
                </w:p>
              </w:tc>
            </w:tr>
            <w:tr w14:paraId="55E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4" w:hRule="atLeast"/>
                <w:jc w:val="center"/>
              </w:trPr>
              <w:tc>
                <w:tcPr>
                  <w:tcW w:w="523" w:type="dxa"/>
                  <w:vMerge w:val="continue"/>
                  <w:vAlign w:val="center"/>
                </w:tcPr>
                <w:p w14:paraId="75F13E8C">
                  <w:pPr>
                    <w:spacing w:line="260" w:lineRule="exact"/>
                    <w:jc w:val="center"/>
                    <w:rPr>
                      <w:color w:val="000000"/>
                      <w:szCs w:val="21"/>
                    </w:rPr>
                  </w:pPr>
                </w:p>
              </w:tc>
              <w:tc>
                <w:tcPr>
                  <w:tcW w:w="722" w:type="dxa"/>
                  <w:vAlign w:val="center"/>
                </w:tcPr>
                <w:p w14:paraId="42F969D6">
                  <w:pPr>
                    <w:spacing w:line="260" w:lineRule="exact"/>
                    <w:jc w:val="center"/>
                    <w:rPr>
                      <w:color w:val="000000"/>
                      <w:szCs w:val="21"/>
                    </w:rPr>
                  </w:pPr>
                  <w:r>
                    <w:rPr>
                      <w:rFonts w:hint="eastAsia"/>
                      <w:color w:val="000000"/>
                      <w:szCs w:val="21"/>
                    </w:rPr>
                    <w:t>N</w:t>
                  </w:r>
                  <w:r>
                    <w:rPr>
                      <w:color w:val="000000"/>
                      <w:szCs w:val="21"/>
                    </w:rPr>
                    <w:t>O</w:t>
                  </w:r>
                  <w:r>
                    <w:rPr>
                      <w:color w:val="000000"/>
                      <w:szCs w:val="21"/>
                      <w:vertAlign w:val="subscript"/>
                    </w:rPr>
                    <w:t>X</w:t>
                  </w:r>
                </w:p>
              </w:tc>
              <w:tc>
                <w:tcPr>
                  <w:tcW w:w="661" w:type="dxa"/>
                  <w:vMerge w:val="continue"/>
                  <w:vAlign w:val="center"/>
                </w:tcPr>
                <w:p w14:paraId="755DFCA6">
                  <w:pPr>
                    <w:spacing w:line="260" w:lineRule="exact"/>
                    <w:jc w:val="center"/>
                    <w:rPr>
                      <w:color w:val="000000" w:themeColor="text1"/>
                      <w:szCs w:val="21"/>
                      <w14:textFill>
                        <w14:solidFill>
                          <w14:schemeClr w14:val="tx1"/>
                        </w14:solidFill>
                      </w14:textFill>
                    </w:rPr>
                  </w:pPr>
                </w:p>
              </w:tc>
              <w:tc>
                <w:tcPr>
                  <w:tcW w:w="680" w:type="dxa"/>
                  <w:vAlign w:val="center"/>
                </w:tcPr>
                <w:p w14:paraId="31B25834">
                  <w:pPr>
                    <w:spacing w:line="260" w:lineRule="exact"/>
                    <w:jc w:val="center"/>
                    <w:rPr>
                      <w:color w:val="000000" w:themeColor="text1"/>
                      <w:szCs w:val="21"/>
                      <w:u w:val="single"/>
                      <w14:textFill>
                        <w14:solidFill>
                          <w14:schemeClr w14:val="tx1"/>
                        </w14:solidFill>
                      </w14:textFill>
                    </w:rPr>
                  </w:pPr>
                  <w:r>
                    <w:rPr>
                      <w:rFonts w:hint="eastAsia"/>
                      <w:bCs/>
                      <w:spacing w:val="-10"/>
                      <w:szCs w:val="21"/>
                    </w:rPr>
                    <w:t>0.575</w:t>
                  </w:r>
                </w:p>
              </w:tc>
              <w:tc>
                <w:tcPr>
                  <w:tcW w:w="642" w:type="dxa"/>
                  <w:vAlign w:val="center"/>
                </w:tcPr>
                <w:p w14:paraId="21EE8BF3">
                  <w:pPr>
                    <w:spacing w:line="260" w:lineRule="exact"/>
                    <w:jc w:val="center"/>
                    <w:rPr>
                      <w:color w:val="000000" w:themeColor="text1"/>
                      <w:szCs w:val="21"/>
                      <w:u w:val="single"/>
                      <w14:textFill>
                        <w14:solidFill>
                          <w14:schemeClr w14:val="tx1"/>
                        </w14:solidFill>
                      </w14:textFill>
                    </w:rPr>
                  </w:pPr>
                  <w:r>
                    <w:rPr>
                      <w:rFonts w:hint="eastAsia"/>
                      <w:bCs/>
                      <w:spacing w:val="-10"/>
                      <w:szCs w:val="21"/>
                    </w:rPr>
                    <w:t>0.2397</w:t>
                  </w:r>
                </w:p>
              </w:tc>
              <w:tc>
                <w:tcPr>
                  <w:tcW w:w="696" w:type="dxa"/>
                  <w:vAlign w:val="center"/>
                </w:tcPr>
                <w:p w14:paraId="577BA093">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163.5</w:t>
                  </w:r>
                </w:p>
              </w:tc>
              <w:tc>
                <w:tcPr>
                  <w:tcW w:w="1215" w:type="dxa"/>
                  <w:vMerge w:val="continue"/>
                  <w:vAlign w:val="center"/>
                </w:tcPr>
                <w:p w14:paraId="3CCC0331">
                  <w:pPr>
                    <w:spacing w:line="260" w:lineRule="exact"/>
                    <w:jc w:val="center"/>
                    <w:rPr>
                      <w:color w:val="000000" w:themeColor="text1"/>
                      <w:szCs w:val="21"/>
                      <w14:textFill>
                        <w14:solidFill>
                          <w14:schemeClr w14:val="tx1"/>
                        </w14:solidFill>
                      </w14:textFill>
                    </w:rPr>
                  </w:pPr>
                </w:p>
              </w:tc>
              <w:tc>
                <w:tcPr>
                  <w:tcW w:w="730" w:type="dxa"/>
                  <w:vAlign w:val="center"/>
                </w:tcPr>
                <w:p w14:paraId="79A335D4">
                  <w:pPr>
                    <w:spacing w:line="260" w:lineRule="exact"/>
                    <w:jc w:val="center"/>
                    <w:rPr>
                      <w:color w:val="000000" w:themeColor="text1"/>
                      <w:szCs w:val="21"/>
                      <w14:textFill>
                        <w14:solidFill>
                          <w14:schemeClr w14:val="tx1"/>
                        </w14:solidFill>
                      </w14:textFill>
                    </w:rPr>
                  </w:pPr>
                  <w:r>
                    <w:rPr>
                      <w:rFonts w:hint="eastAsia"/>
                      <w:bCs/>
                      <w:spacing w:val="-10"/>
                      <w:szCs w:val="21"/>
                    </w:rPr>
                    <w:t>0.575</w:t>
                  </w:r>
                </w:p>
              </w:tc>
              <w:tc>
                <w:tcPr>
                  <w:tcW w:w="742" w:type="dxa"/>
                  <w:vAlign w:val="center"/>
                </w:tcPr>
                <w:p w14:paraId="05550DB7">
                  <w:pPr>
                    <w:spacing w:line="260" w:lineRule="exact"/>
                    <w:jc w:val="center"/>
                    <w:rPr>
                      <w:color w:val="000000" w:themeColor="text1"/>
                      <w:szCs w:val="21"/>
                      <w14:textFill>
                        <w14:solidFill>
                          <w14:schemeClr w14:val="tx1"/>
                        </w14:solidFill>
                      </w14:textFill>
                    </w:rPr>
                  </w:pPr>
                  <w:r>
                    <w:rPr>
                      <w:rFonts w:hint="eastAsia"/>
                      <w:bCs/>
                      <w:spacing w:val="-10"/>
                      <w:szCs w:val="21"/>
                    </w:rPr>
                    <w:t>0.2397</w:t>
                  </w:r>
                </w:p>
              </w:tc>
              <w:tc>
                <w:tcPr>
                  <w:tcW w:w="744" w:type="dxa"/>
                  <w:vAlign w:val="center"/>
                </w:tcPr>
                <w:p w14:paraId="2AFBD729">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163.5</w:t>
                  </w:r>
                </w:p>
              </w:tc>
              <w:tc>
                <w:tcPr>
                  <w:tcW w:w="528" w:type="dxa"/>
                  <w:vMerge w:val="continue"/>
                  <w:vAlign w:val="center"/>
                </w:tcPr>
                <w:p w14:paraId="1A7A03C8">
                  <w:pPr>
                    <w:spacing w:line="260" w:lineRule="exact"/>
                    <w:jc w:val="center"/>
                    <w:rPr>
                      <w:color w:val="000000"/>
                      <w:szCs w:val="21"/>
                    </w:rPr>
                  </w:pPr>
                </w:p>
              </w:tc>
            </w:tr>
          </w:tbl>
          <w:p w14:paraId="5D7AE1E4">
            <w:pPr>
              <w:adjustRightInd w:val="0"/>
              <w:snapToGrid w:val="0"/>
              <w:spacing w:line="360" w:lineRule="auto"/>
              <w:rPr>
                <w:rFonts w:hint="eastAsia" w:ascii="宋体" w:hAnsi="宋体"/>
                <w:b/>
                <w:spacing w:val="-10"/>
                <w:sz w:val="24"/>
              </w:rPr>
            </w:pPr>
          </w:p>
          <w:p w14:paraId="43665E48">
            <w:pPr>
              <w:adjustRightInd w:val="0"/>
              <w:snapToGrid w:val="0"/>
              <w:spacing w:line="360" w:lineRule="auto"/>
              <w:ind w:firstLine="440" w:firstLineChars="200"/>
              <w:rPr>
                <w:rFonts w:hint="eastAsia" w:ascii="宋体" w:hAnsi="宋体"/>
                <w:bCs/>
                <w:spacing w:val="-10"/>
                <w:sz w:val="24"/>
              </w:rPr>
            </w:pPr>
            <w:r>
              <w:rPr>
                <w:rFonts w:ascii="宋体" w:hAnsi="宋体"/>
                <w:bCs/>
                <w:spacing w:val="-10"/>
                <w:sz w:val="24"/>
              </w:rPr>
              <w:t>根据《建设项目环境影响报告表编制技术指南（污染影响类）》（试行）中的相关要求填写下表中的内容。</w:t>
            </w:r>
          </w:p>
          <w:p w14:paraId="64598CCF">
            <w:pPr>
              <w:adjustRightInd w:val="0"/>
              <w:snapToGrid w:val="0"/>
              <w:ind w:firstLine="382" w:firstLineChars="200"/>
              <w:jc w:val="center"/>
              <w:rPr>
                <w:b/>
                <w:color w:val="000000"/>
                <w:spacing w:val="-10"/>
                <w:szCs w:val="21"/>
              </w:rPr>
            </w:pPr>
            <w:r>
              <w:rPr>
                <w:b/>
                <w:color w:val="000000"/>
                <w:spacing w:val="-10"/>
                <w:szCs w:val="21"/>
              </w:rPr>
              <w:t>表</w:t>
            </w:r>
            <w:r>
              <w:rPr>
                <w:rFonts w:hint="eastAsia"/>
                <w:b/>
                <w:color w:val="000000"/>
                <w:spacing w:val="-10"/>
                <w:szCs w:val="21"/>
              </w:rPr>
              <w:t>4-4 项目废气污染源产生及排放情况一览表</w:t>
            </w:r>
          </w:p>
          <w:p w14:paraId="5CCDE63C"/>
          <w:tbl>
            <w:tblPr>
              <w:tblStyle w:val="26"/>
              <w:tblW w:w="7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338"/>
              <w:gridCol w:w="339"/>
              <w:gridCol w:w="551"/>
              <w:gridCol w:w="546"/>
              <w:gridCol w:w="599"/>
              <w:gridCol w:w="483"/>
              <w:gridCol w:w="339"/>
              <w:gridCol w:w="569"/>
              <w:gridCol w:w="491"/>
              <w:gridCol w:w="551"/>
              <w:gridCol w:w="633"/>
              <w:gridCol w:w="599"/>
              <w:gridCol w:w="741"/>
              <w:gridCol w:w="709"/>
            </w:tblGrid>
            <w:tr w14:paraId="72D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00" w:type="pct"/>
                  <w:vAlign w:val="center"/>
                </w:tcPr>
                <w:p w14:paraId="382F1AF9">
                  <w:pPr>
                    <w:adjustRightInd w:val="0"/>
                    <w:snapToGrid w:val="0"/>
                    <w:jc w:val="center"/>
                    <w:rPr>
                      <w:b/>
                      <w:color w:val="000000"/>
                      <w:spacing w:val="-10"/>
                      <w:szCs w:val="21"/>
                    </w:rPr>
                  </w:pPr>
                  <w:bookmarkStart w:id="7" w:name="_Hlk110328521"/>
                  <w:r>
                    <w:rPr>
                      <w:b/>
                      <w:color w:val="000000"/>
                      <w:spacing w:val="-10"/>
                      <w:szCs w:val="21"/>
                    </w:rPr>
                    <w:t>产排污环节</w:t>
                  </w:r>
                </w:p>
              </w:tc>
              <w:tc>
                <w:tcPr>
                  <w:tcW w:w="212" w:type="pct"/>
                  <w:vAlign w:val="center"/>
                </w:tcPr>
                <w:p w14:paraId="022A9BDA">
                  <w:pPr>
                    <w:adjustRightInd w:val="0"/>
                    <w:snapToGrid w:val="0"/>
                    <w:jc w:val="center"/>
                    <w:rPr>
                      <w:b/>
                      <w:color w:val="000000"/>
                      <w:spacing w:val="-10"/>
                      <w:szCs w:val="21"/>
                    </w:rPr>
                  </w:pPr>
                  <w:r>
                    <w:rPr>
                      <w:b/>
                      <w:color w:val="000000"/>
                      <w:spacing w:val="-10"/>
                      <w:szCs w:val="21"/>
                    </w:rPr>
                    <w:t>排放</w:t>
                  </w:r>
                </w:p>
                <w:p w14:paraId="37A9A20F">
                  <w:pPr>
                    <w:adjustRightInd w:val="0"/>
                    <w:snapToGrid w:val="0"/>
                    <w:jc w:val="center"/>
                    <w:rPr>
                      <w:b/>
                      <w:color w:val="000000"/>
                      <w:spacing w:val="-10"/>
                      <w:szCs w:val="21"/>
                    </w:rPr>
                  </w:pPr>
                  <w:r>
                    <w:rPr>
                      <w:b/>
                      <w:color w:val="000000"/>
                      <w:spacing w:val="-10"/>
                      <w:szCs w:val="21"/>
                    </w:rPr>
                    <w:t>形式</w:t>
                  </w:r>
                </w:p>
              </w:tc>
              <w:tc>
                <w:tcPr>
                  <w:tcW w:w="213" w:type="pct"/>
                  <w:vAlign w:val="center"/>
                </w:tcPr>
                <w:p w14:paraId="01BAE535">
                  <w:pPr>
                    <w:adjustRightInd w:val="0"/>
                    <w:snapToGrid w:val="0"/>
                    <w:jc w:val="center"/>
                    <w:rPr>
                      <w:b/>
                      <w:color w:val="000000"/>
                      <w:spacing w:val="-10"/>
                      <w:szCs w:val="21"/>
                    </w:rPr>
                  </w:pPr>
                  <w:r>
                    <w:rPr>
                      <w:b/>
                      <w:color w:val="000000"/>
                      <w:spacing w:val="-10"/>
                      <w:szCs w:val="21"/>
                    </w:rPr>
                    <w:t>污染物</w:t>
                  </w:r>
                </w:p>
                <w:p w14:paraId="79F7DEDE">
                  <w:pPr>
                    <w:adjustRightInd w:val="0"/>
                    <w:snapToGrid w:val="0"/>
                    <w:jc w:val="center"/>
                    <w:rPr>
                      <w:b/>
                      <w:color w:val="000000"/>
                      <w:spacing w:val="-10"/>
                      <w:szCs w:val="21"/>
                    </w:rPr>
                  </w:pPr>
                  <w:r>
                    <w:rPr>
                      <w:b/>
                      <w:color w:val="000000"/>
                      <w:spacing w:val="-10"/>
                      <w:szCs w:val="21"/>
                    </w:rPr>
                    <w:t>种类</w:t>
                  </w:r>
                </w:p>
              </w:tc>
              <w:tc>
                <w:tcPr>
                  <w:tcW w:w="346" w:type="pct"/>
                  <w:vAlign w:val="center"/>
                </w:tcPr>
                <w:p w14:paraId="352DE8D5">
                  <w:pPr>
                    <w:adjustRightInd w:val="0"/>
                    <w:snapToGrid w:val="0"/>
                    <w:jc w:val="center"/>
                    <w:rPr>
                      <w:b/>
                      <w:color w:val="000000"/>
                      <w:spacing w:val="-10"/>
                      <w:szCs w:val="21"/>
                    </w:rPr>
                  </w:pPr>
                  <w:r>
                    <w:rPr>
                      <w:b/>
                      <w:color w:val="000000"/>
                      <w:spacing w:val="-10"/>
                      <w:szCs w:val="21"/>
                    </w:rPr>
                    <w:t>污染物产生量t/a</w:t>
                  </w:r>
                </w:p>
              </w:tc>
              <w:tc>
                <w:tcPr>
                  <w:tcW w:w="343" w:type="pct"/>
                  <w:vAlign w:val="center"/>
                </w:tcPr>
                <w:p w14:paraId="3D49F970">
                  <w:pPr>
                    <w:adjustRightInd w:val="0"/>
                    <w:snapToGrid w:val="0"/>
                    <w:jc w:val="center"/>
                    <w:rPr>
                      <w:b/>
                      <w:color w:val="000000"/>
                      <w:spacing w:val="-10"/>
                      <w:szCs w:val="21"/>
                    </w:rPr>
                  </w:pPr>
                  <w:r>
                    <w:rPr>
                      <w:b/>
                      <w:color w:val="000000"/>
                      <w:spacing w:val="-10"/>
                      <w:szCs w:val="21"/>
                    </w:rPr>
                    <w:t>污染物产生速率kg/h</w:t>
                  </w:r>
                </w:p>
              </w:tc>
              <w:tc>
                <w:tcPr>
                  <w:tcW w:w="376" w:type="pct"/>
                  <w:vAlign w:val="center"/>
                </w:tcPr>
                <w:p w14:paraId="59F31128">
                  <w:pPr>
                    <w:adjustRightInd w:val="0"/>
                    <w:snapToGrid w:val="0"/>
                    <w:jc w:val="center"/>
                    <w:rPr>
                      <w:b/>
                      <w:color w:val="000000"/>
                      <w:spacing w:val="-10"/>
                      <w:szCs w:val="21"/>
                    </w:rPr>
                  </w:pPr>
                  <w:r>
                    <w:rPr>
                      <w:b/>
                      <w:color w:val="000000"/>
                      <w:spacing w:val="-10"/>
                      <w:szCs w:val="21"/>
                    </w:rPr>
                    <w:t>污染物</w:t>
                  </w:r>
                  <w:r>
                    <w:rPr>
                      <w:rFonts w:hint="eastAsia"/>
                      <w:b/>
                      <w:color w:val="000000"/>
                      <w:spacing w:val="-10"/>
                      <w:szCs w:val="21"/>
                    </w:rPr>
                    <w:t>产生</w:t>
                  </w:r>
                  <w:r>
                    <w:rPr>
                      <w:b/>
                      <w:color w:val="000000"/>
                      <w:spacing w:val="-10"/>
                      <w:szCs w:val="21"/>
                    </w:rPr>
                    <w:t>浓度mg/m</w:t>
                  </w:r>
                  <w:r>
                    <w:rPr>
                      <w:b/>
                      <w:color w:val="000000"/>
                      <w:spacing w:val="-10"/>
                      <w:szCs w:val="21"/>
                      <w:vertAlign w:val="superscript"/>
                    </w:rPr>
                    <w:t>3</w:t>
                  </w:r>
                </w:p>
              </w:tc>
              <w:tc>
                <w:tcPr>
                  <w:tcW w:w="303" w:type="pct"/>
                  <w:vAlign w:val="center"/>
                </w:tcPr>
                <w:p w14:paraId="5CE612B5">
                  <w:pPr>
                    <w:adjustRightInd w:val="0"/>
                    <w:snapToGrid w:val="0"/>
                    <w:jc w:val="center"/>
                    <w:rPr>
                      <w:b/>
                      <w:color w:val="000000"/>
                      <w:spacing w:val="-10"/>
                      <w:szCs w:val="21"/>
                    </w:rPr>
                  </w:pPr>
                  <w:r>
                    <w:rPr>
                      <w:b/>
                      <w:color w:val="000000"/>
                      <w:spacing w:val="-10"/>
                      <w:szCs w:val="21"/>
                    </w:rPr>
                    <w:t>治理</w:t>
                  </w:r>
                </w:p>
                <w:p w14:paraId="0168882B">
                  <w:pPr>
                    <w:adjustRightInd w:val="0"/>
                    <w:snapToGrid w:val="0"/>
                    <w:jc w:val="center"/>
                    <w:rPr>
                      <w:b/>
                      <w:color w:val="000000"/>
                      <w:spacing w:val="-10"/>
                      <w:szCs w:val="21"/>
                    </w:rPr>
                  </w:pPr>
                  <w:r>
                    <w:rPr>
                      <w:b/>
                      <w:color w:val="000000"/>
                      <w:spacing w:val="-10"/>
                      <w:szCs w:val="21"/>
                    </w:rPr>
                    <w:t>设施</w:t>
                  </w:r>
                </w:p>
              </w:tc>
              <w:tc>
                <w:tcPr>
                  <w:tcW w:w="213" w:type="pct"/>
                  <w:vAlign w:val="center"/>
                </w:tcPr>
                <w:p w14:paraId="223C8801">
                  <w:pPr>
                    <w:adjustRightInd w:val="0"/>
                    <w:snapToGrid w:val="0"/>
                    <w:jc w:val="center"/>
                    <w:rPr>
                      <w:b/>
                      <w:color w:val="000000"/>
                      <w:spacing w:val="-10"/>
                      <w:szCs w:val="21"/>
                    </w:rPr>
                  </w:pPr>
                  <w:r>
                    <w:rPr>
                      <w:b/>
                      <w:color w:val="000000"/>
                      <w:spacing w:val="-10"/>
                      <w:szCs w:val="21"/>
                    </w:rPr>
                    <w:t>是否为可行技术</w:t>
                  </w:r>
                </w:p>
              </w:tc>
              <w:tc>
                <w:tcPr>
                  <w:tcW w:w="357" w:type="pct"/>
                  <w:vAlign w:val="center"/>
                </w:tcPr>
                <w:p w14:paraId="073A528E">
                  <w:pPr>
                    <w:adjustRightInd w:val="0"/>
                    <w:snapToGrid w:val="0"/>
                    <w:jc w:val="center"/>
                    <w:rPr>
                      <w:b/>
                      <w:color w:val="000000"/>
                      <w:spacing w:val="-10"/>
                      <w:szCs w:val="21"/>
                    </w:rPr>
                  </w:pPr>
                  <w:r>
                    <w:rPr>
                      <w:rFonts w:hint="eastAsia"/>
                      <w:b/>
                      <w:color w:val="000000"/>
                      <w:spacing w:val="-10"/>
                      <w:szCs w:val="21"/>
                    </w:rPr>
                    <w:t>收集效率%</w:t>
                  </w:r>
                </w:p>
              </w:tc>
              <w:tc>
                <w:tcPr>
                  <w:tcW w:w="308" w:type="pct"/>
                  <w:vAlign w:val="center"/>
                </w:tcPr>
                <w:p w14:paraId="637DB570">
                  <w:pPr>
                    <w:adjustRightInd w:val="0"/>
                    <w:snapToGrid w:val="0"/>
                    <w:jc w:val="center"/>
                    <w:rPr>
                      <w:b/>
                      <w:color w:val="000000"/>
                      <w:spacing w:val="-10"/>
                      <w:szCs w:val="21"/>
                    </w:rPr>
                  </w:pPr>
                  <w:r>
                    <w:rPr>
                      <w:rFonts w:hint="eastAsia"/>
                      <w:b/>
                      <w:color w:val="000000"/>
                      <w:spacing w:val="-10"/>
                      <w:szCs w:val="21"/>
                    </w:rPr>
                    <w:t>处理效率%</w:t>
                  </w:r>
                </w:p>
              </w:tc>
              <w:tc>
                <w:tcPr>
                  <w:tcW w:w="346" w:type="pct"/>
                  <w:vAlign w:val="center"/>
                </w:tcPr>
                <w:p w14:paraId="68A67372">
                  <w:pPr>
                    <w:adjustRightInd w:val="0"/>
                    <w:snapToGrid w:val="0"/>
                    <w:jc w:val="center"/>
                    <w:rPr>
                      <w:b/>
                      <w:color w:val="000000"/>
                      <w:spacing w:val="-10"/>
                      <w:szCs w:val="21"/>
                    </w:rPr>
                  </w:pPr>
                  <w:r>
                    <w:rPr>
                      <w:b/>
                      <w:color w:val="000000"/>
                      <w:spacing w:val="-10"/>
                      <w:szCs w:val="21"/>
                    </w:rPr>
                    <w:t>污染物排放量t/a</w:t>
                  </w:r>
                </w:p>
              </w:tc>
              <w:tc>
                <w:tcPr>
                  <w:tcW w:w="397" w:type="pct"/>
                  <w:vAlign w:val="center"/>
                </w:tcPr>
                <w:p w14:paraId="54A7D832">
                  <w:pPr>
                    <w:adjustRightInd w:val="0"/>
                    <w:snapToGrid w:val="0"/>
                    <w:jc w:val="center"/>
                    <w:rPr>
                      <w:b/>
                      <w:color w:val="000000"/>
                      <w:spacing w:val="-10"/>
                      <w:szCs w:val="21"/>
                    </w:rPr>
                  </w:pPr>
                  <w:r>
                    <w:rPr>
                      <w:b/>
                      <w:color w:val="000000"/>
                      <w:spacing w:val="-10"/>
                      <w:szCs w:val="21"/>
                    </w:rPr>
                    <w:t>污染物</w:t>
                  </w:r>
                  <w:r>
                    <w:rPr>
                      <w:rFonts w:hint="eastAsia"/>
                      <w:b/>
                      <w:color w:val="000000"/>
                      <w:spacing w:val="-10"/>
                      <w:szCs w:val="21"/>
                    </w:rPr>
                    <w:t>排放</w:t>
                  </w:r>
                  <w:r>
                    <w:rPr>
                      <w:b/>
                      <w:color w:val="000000"/>
                      <w:spacing w:val="-10"/>
                      <w:szCs w:val="21"/>
                    </w:rPr>
                    <w:t>速率kg/h</w:t>
                  </w:r>
                </w:p>
              </w:tc>
              <w:tc>
                <w:tcPr>
                  <w:tcW w:w="376" w:type="pct"/>
                  <w:vAlign w:val="center"/>
                </w:tcPr>
                <w:p w14:paraId="461DD2B3">
                  <w:pPr>
                    <w:adjustRightInd w:val="0"/>
                    <w:snapToGrid w:val="0"/>
                    <w:jc w:val="center"/>
                    <w:rPr>
                      <w:b/>
                      <w:color w:val="000000"/>
                      <w:spacing w:val="-10"/>
                      <w:szCs w:val="21"/>
                    </w:rPr>
                  </w:pPr>
                  <w:r>
                    <w:rPr>
                      <w:b/>
                      <w:color w:val="000000"/>
                      <w:spacing w:val="-10"/>
                      <w:szCs w:val="21"/>
                    </w:rPr>
                    <w:t>污染物排放浓度mg/m</w:t>
                  </w:r>
                  <w:r>
                    <w:rPr>
                      <w:b/>
                      <w:color w:val="000000"/>
                      <w:spacing w:val="-10"/>
                      <w:szCs w:val="21"/>
                      <w:vertAlign w:val="superscript"/>
                    </w:rPr>
                    <w:t>3</w:t>
                  </w:r>
                </w:p>
              </w:tc>
              <w:tc>
                <w:tcPr>
                  <w:tcW w:w="465" w:type="pct"/>
                  <w:vAlign w:val="center"/>
                </w:tcPr>
                <w:p w14:paraId="01290362">
                  <w:pPr>
                    <w:adjustRightInd w:val="0"/>
                    <w:snapToGrid w:val="0"/>
                    <w:jc w:val="center"/>
                    <w:rPr>
                      <w:b/>
                      <w:color w:val="000000"/>
                      <w:spacing w:val="-10"/>
                      <w:szCs w:val="21"/>
                    </w:rPr>
                  </w:pPr>
                  <w:r>
                    <w:rPr>
                      <w:b/>
                      <w:color w:val="000000"/>
                      <w:spacing w:val="-10"/>
                      <w:szCs w:val="21"/>
                    </w:rPr>
                    <w:t>排气筒编号</w:t>
                  </w:r>
                </w:p>
              </w:tc>
              <w:tc>
                <w:tcPr>
                  <w:tcW w:w="445" w:type="pct"/>
                  <w:vAlign w:val="center"/>
                </w:tcPr>
                <w:p w14:paraId="1D737EBA">
                  <w:pPr>
                    <w:adjustRightInd w:val="0"/>
                    <w:snapToGrid w:val="0"/>
                    <w:jc w:val="center"/>
                    <w:rPr>
                      <w:b/>
                      <w:color w:val="000000"/>
                      <w:spacing w:val="-10"/>
                      <w:szCs w:val="21"/>
                    </w:rPr>
                  </w:pPr>
                  <w:r>
                    <w:rPr>
                      <w:b/>
                      <w:color w:val="000000"/>
                      <w:spacing w:val="-10"/>
                      <w:szCs w:val="21"/>
                    </w:rPr>
                    <w:t>风量m</w:t>
                  </w:r>
                  <w:r>
                    <w:rPr>
                      <w:b/>
                      <w:color w:val="000000"/>
                      <w:spacing w:val="-10"/>
                      <w:szCs w:val="21"/>
                      <w:vertAlign w:val="superscript"/>
                    </w:rPr>
                    <w:t>3</w:t>
                  </w:r>
                  <w:r>
                    <w:rPr>
                      <w:b/>
                      <w:color w:val="000000"/>
                      <w:spacing w:val="-10"/>
                      <w:szCs w:val="21"/>
                    </w:rPr>
                    <w:t>/h</w:t>
                  </w:r>
                </w:p>
              </w:tc>
            </w:tr>
            <w:tr w14:paraId="3FDC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0" w:type="pct"/>
                  <w:vMerge w:val="restart"/>
                  <w:vAlign w:val="center"/>
                </w:tcPr>
                <w:p w14:paraId="6499DB4C">
                  <w:pPr>
                    <w:adjustRightInd w:val="0"/>
                    <w:snapToGrid w:val="0"/>
                    <w:jc w:val="center"/>
                    <w:rPr>
                      <w:bCs/>
                      <w:color w:val="000000"/>
                      <w:spacing w:val="-10"/>
                      <w:szCs w:val="21"/>
                    </w:rPr>
                  </w:pPr>
                  <w:r>
                    <w:rPr>
                      <w:rFonts w:hint="eastAsia"/>
                      <w:bCs/>
                      <w:color w:val="000000"/>
                      <w:spacing w:val="-10"/>
                      <w:szCs w:val="21"/>
                    </w:rPr>
                    <w:t>蒸汽发生器供热</w:t>
                  </w:r>
                </w:p>
              </w:tc>
              <w:tc>
                <w:tcPr>
                  <w:tcW w:w="212" w:type="pct"/>
                  <w:vMerge w:val="restart"/>
                  <w:vAlign w:val="center"/>
                </w:tcPr>
                <w:p w14:paraId="7D7EE6D2">
                  <w:pPr>
                    <w:adjustRightInd w:val="0"/>
                    <w:snapToGrid w:val="0"/>
                    <w:jc w:val="center"/>
                    <w:rPr>
                      <w:bCs/>
                      <w:color w:val="000000"/>
                      <w:spacing w:val="-10"/>
                      <w:szCs w:val="21"/>
                    </w:rPr>
                  </w:pPr>
                  <w:r>
                    <w:rPr>
                      <w:rFonts w:hint="eastAsia"/>
                      <w:bCs/>
                      <w:color w:val="000000"/>
                      <w:spacing w:val="-10"/>
                      <w:szCs w:val="21"/>
                    </w:rPr>
                    <w:t>有组织</w:t>
                  </w:r>
                </w:p>
              </w:tc>
              <w:tc>
                <w:tcPr>
                  <w:tcW w:w="213" w:type="pct"/>
                  <w:vAlign w:val="center"/>
                </w:tcPr>
                <w:p w14:paraId="0869FBEE">
                  <w:pPr>
                    <w:adjustRightInd w:val="0"/>
                    <w:snapToGrid w:val="0"/>
                    <w:jc w:val="center"/>
                    <w:rPr>
                      <w:bCs/>
                      <w:color w:val="000000"/>
                      <w:spacing w:val="-10"/>
                      <w:szCs w:val="21"/>
                    </w:rPr>
                  </w:pPr>
                  <w:r>
                    <w:rPr>
                      <w:bCs/>
                      <w:color w:val="000000"/>
                      <w:spacing w:val="-10"/>
                      <w:szCs w:val="21"/>
                    </w:rPr>
                    <w:t>颗粒物</w:t>
                  </w:r>
                </w:p>
              </w:tc>
              <w:tc>
                <w:tcPr>
                  <w:tcW w:w="346" w:type="pct"/>
                  <w:vAlign w:val="center"/>
                </w:tcPr>
                <w:p w14:paraId="64F293D4">
                  <w:pPr>
                    <w:adjustRightInd w:val="0"/>
                    <w:snapToGrid w:val="0"/>
                    <w:jc w:val="center"/>
                    <w:rPr>
                      <w:color w:val="000000"/>
                      <w:spacing w:val="-10"/>
                      <w:szCs w:val="21"/>
                    </w:rPr>
                  </w:pPr>
                  <w:r>
                    <w:rPr>
                      <w:rFonts w:hint="eastAsia"/>
                      <w:bCs/>
                      <w:spacing w:val="-10"/>
                      <w:szCs w:val="21"/>
                    </w:rPr>
                    <w:t>0.282</w:t>
                  </w:r>
                </w:p>
              </w:tc>
              <w:tc>
                <w:tcPr>
                  <w:tcW w:w="343" w:type="pct"/>
                  <w:vAlign w:val="center"/>
                </w:tcPr>
                <w:p w14:paraId="491E18F6">
                  <w:pPr>
                    <w:adjustRightInd w:val="0"/>
                    <w:snapToGrid w:val="0"/>
                    <w:jc w:val="center"/>
                    <w:rPr>
                      <w:color w:val="ED0000"/>
                      <w:spacing w:val="-10"/>
                      <w:szCs w:val="21"/>
                    </w:rPr>
                  </w:pPr>
                  <w:r>
                    <w:rPr>
                      <w:rFonts w:hint="eastAsia"/>
                      <w:bCs/>
                      <w:spacing w:val="-10"/>
                      <w:szCs w:val="21"/>
                    </w:rPr>
                    <w:t>0.1175</w:t>
                  </w:r>
                </w:p>
              </w:tc>
              <w:tc>
                <w:tcPr>
                  <w:tcW w:w="376" w:type="pct"/>
                  <w:vAlign w:val="center"/>
                </w:tcPr>
                <w:p w14:paraId="22B07341">
                  <w:pPr>
                    <w:adjustRightInd w:val="0"/>
                    <w:snapToGrid w:val="0"/>
                    <w:jc w:val="center"/>
                    <w:rPr>
                      <w:color w:val="ED0000"/>
                      <w:spacing w:val="-10"/>
                      <w:szCs w:val="21"/>
                    </w:rPr>
                  </w:pPr>
                  <w:r>
                    <w:rPr>
                      <w:rFonts w:hint="eastAsia"/>
                      <w:color w:val="000000" w:themeColor="text1"/>
                      <w:szCs w:val="21"/>
                      <w14:textFill>
                        <w14:solidFill>
                          <w14:schemeClr w14:val="tx1"/>
                        </w14:solidFill>
                      </w14:textFill>
                    </w:rPr>
                    <w:t>80.1</w:t>
                  </w:r>
                </w:p>
              </w:tc>
              <w:tc>
                <w:tcPr>
                  <w:tcW w:w="303" w:type="pct"/>
                  <w:vMerge w:val="restart"/>
                  <w:vAlign w:val="center"/>
                </w:tcPr>
                <w:p w14:paraId="66424EF1">
                  <w:pPr>
                    <w:adjustRightInd w:val="0"/>
                    <w:snapToGrid w:val="0"/>
                    <w:jc w:val="center"/>
                    <w:rPr>
                      <w:bCs/>
                      <w:color w:val="000000"/>
                      <w:spacing w:val="-10"/>
                      <w:szCs w:val="21"/>
                    </w:rPr>
                  </w:pPr>
                  <w:r>
                    <w:rPr>
                      <w:rFonts w:hint="eastAsia"/>
                      <w:bCs/>
                      <w:color w:val="000000"/>
                      <w:spacing w:val="-10"/>
                      <w:szCs w:val="21"/>
                    </w:rPr>
                    <w:t>水喷淋塔</w:t>
                  </w:r>
                  <w:r>
                    <w:rPr>
                      <w:bCs/>
                      <w:color w:val="000000"/>
                      <w:spacing w:val="-10"/>
                      <w:szCs w:val="21"/>
                    </w:rPr>
                    <w:t>除尘</w:t>
                  </w:r>
                </w:p>
              </w:tc>
              <w:tc>
                <w:tcPr>
                  <w:tcW w:w="213" w:type="pct"/>
                  <w:vMerge w:val="restart"/>
                  <w:vAlign w:val="center"/>
                </w:tcPr>
                <w:p w14:paraId="18DB5496">
                  <w:pPr>
                    <w:adjustRightInd w:val="0"/>
                    <w:snapToGrid w:val="0"/>
                    <w:jc w:val="center"/>
                    <w:rPr>
                      <w:bCs/>
                      <w:color w:val="000000"/>
                      <w:spacing w:val="-10"/>
                      <w:szCs w:val="21"/>
                    </w:rPr>
                  </w:pPr>
                  <w:r>
                    <w:rPr>
                      <w:rFonts w:hint="eastAsia"/>
                      <w:bCs/>
                      <w:color w:val="000000"/>
                      <w:spacing w:val="-10"/>
                      <w:szCs w:val="21"/>
                    </w:rPr>
                    <w:t>是</w:t>
                  </w:r>
                </w:p>
              </w:tc>
              <w:tc>
                <w:tcPr>
                  <w:tcW w:w="357" w:type="pct"/>
                  <w:vMerge w:val="restart"/>
                  <w:vAlign w:val="center"/>
                </w:tcPr>
                <w:p w14:paraId="3148BA96">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10</w:t>
                  </w:r>
                  <w:r>
                    <w:rPr>
                      <w:bCs/>
                      <w:color w:val="000000" w:themeColor="text1"/>
                      <w:spacing w:val="-10"/>
                      <w:szCs w:val="21"/>
                      <w14:textFill>
                        <w14:solidFill>
                          <w14:schemeClr w14:val="tx1"/>
                        </w14:solidFill>
                      </w14:textFill>
                    </w:rPr>
                    <w:t>0%</w:t>
                  </w:r>
                </w:p>
              </w:tc>
              <w:tc>
                <w:tcPr>
                  <w:tcW w:w="308" w:type="pct"/>
                  <w:vAlign w:val="center"/>
                </w:tcPr>
                <w:p w14:paraId="4E2AD9E4">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85</w:t>
                  </w:r>
                </w:p>
              </w:tc>
              <w:tc>
                <w:tcPr>
                  <w:tcW w:w="346" w:type="pct"/>
                  <w:vAlign w:val="center"/>
                </w:tcPr>
                <w:p w14:paraId="5CF5F204">
                  <w:pPr>
                    <w:adjustRightInd w:val="0"/>
                    <w:snapToGrid w:val="0"/>
                    <w:jc w:val="center"/>
                    <w:rPr>
                      <w:color w:val="000000"/>
                      <w:spacing w:val="-10"/>
                      <w:szCs w:val="21"/>
                    </w:rPr>
                  </w:pPr>
                  <w:r>
                    <w:rPr>
                      <w:rFonts w:hint="eastAsia"/>
                      <w:color w:val="000000" w:themeColor="text1"/>
                      <w:szCs w:val="21"/>
                      <w14:textFill>
                        <w14:solidFill>
                          <w14:schemeClr w14:val="tx1"/>
                        </w14:solidFill>
                      </w14:textFill>
                    </w:rPr>
                    <w:t>0.0423</w:t>
                  </w:r>
                </w:p>
              </w:tc>
              <w:tc>
                <w:tcPr>
                  <w:tcW w:w="397" w:type="pct"/>
                  <w:vAlign w:val="center"/>
                </w:tcPr>
                <w:p w14:paraId="62527CC3">
                  <w:pPr>
                    <w:adjustRightInd w:val="0"/>
                    <w:snapToGrid w:val="0"/>
                    <w:jc w:val="center"/>
                    <w:rPr>
                      <w:color w:val="000000"/>
                      <w:spacing w:val="-10"/>
                      <w:szCs w:val="21"/>
                    </w:rPr>
                  </w:pPr>
                  <w:r>
                    <w:rPr>
                      <w:rFonts w:hint="eastAsia"/>
                      <w:color w:val="000000" w:themeColor="text1"/>
                      <w:szCs w:val="21"/>
                      <w14:textFill>
                        <w14:solidFill>
                          <w14:schemeClr w14:val="tx1"/>
                        </w14:solidFill>
                      </w14:textFill>
                    </w:rPr>
                    <w:t>0.01763</w:t>
                  </w:r>
                </w:p>
              </w:tc>
              <w:tc>
                <w:tcPr>
                  <w:tcW w:w="376" w:type="pct"/>
                  <w:vAlign w:val="center"/>
                </w:tcPr>
                <w:p w14:paraId="1189219B">
                  <w:pPr>
                    <w:adjustRightInd w:val="0"/>
                    <w:snapToGrid w:val="0"/>
                    <w:jc w:val="center"/>
                    <w:rPr>
                      <w:color w:val="000000"/>
                      <w:spacing w:val="-10"/>
                      <w:szCs w:val="21"/>
                    </w:rPr>
                  </w:pPr>
                  <w:r>
                    <w:rPr>
                      <w:rFonts w:hint="eastAsia"/>
                      <w:color w:val="000000" w:themeColor="text1"/>
                      <w:szCs w:val="21"/>
                      <w14:textFill>
                        <w14:solidFill>
                          <w14:schemeClr w14:val="tx1"/>
                        </w14:solidFill>
                      </w14:textFill>
                    </w:rPr>
                    <w:t>12</w:t>
                  </w:r>
                </w:p>
              </w:tc>
              <w:tc>
                <w:tcPr>
                  <w:tcW w:w="465" w:type="pct"/>
                  <w:vMerge w:val="restart"/>
                  <w:vAlign w:val="center"/>
                </w:tcPr>
                <w:p w14:paraId="54DAE5D7">
                  <w:pPr>
                    <w:adjustRightInd w:val="0"/>
                    <w:snapToGrid w:val="0"/>
                    <w:jc w:val="center"/>
                    <w:rPr>
                      <w:bCs/>
                      <w:color w:val="000000"/>
                      <w:spacing w:val="-10"/>
                      <w:szCs w:val="21"/>
                    </w:rPr>
                  </w:pPr>
                  <w:r>
                    <w:rPr>
                      <w:rFonts w:hint="eastAsia"/>
                      <w:bCs/>
                      <w:color w:val="000000"/>
                      <w:spacing w:val="-10"/>
                      <w:szCs w:val="21"/>
                    </w:rPr>
                    <w:t>DA001</w:t>
                  </w:r>
                </w:p>
              </w:tc>
              <w:tc>
                <w:tcPr>
                  <w:tcW w:w="445" w:type="pct"/>
                  <w:vMerge w:val="restart"/>
                  <w:vAlign w:val="center"/>
                </w:tcPr>
                <w:p w14:paraId="3B187FD4">
                  <w:pPr>
                    <w:pStyle w:val="2"/>
                    <w:spacing w:line="240" w:lineRule="auto"/>
                    <w:ind w:left="0" w:leftChars="0" w:firstLine="0" w:firstLineChars="0"/>
                    <w:rPr>
                      <w:sz w:val="21"/>
                      <w:szCs w:val="21"/>
                    </w:rPr>
                  </w:pPr>
                  <w:r>
                    <w:rPr>
                      <w:rFonts w:hint="eastAsia"/>
                      <w:bCs/>
                      <w:spacing w:val="-10"/>
                      <w:sz w:val="21"/>
                      <w:szCs w:val="21"/>
                    </w:rPr>
                    <w:t xml:space="preserve">1466.4 </w:t>
                  </w:r>
                </w:p>
                <w:p w14:paraId="6CB03B39"/>
              </w:tc>
            </w:tr>
            <w:tr w14:paraId="61D7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0" w:type="pct"/>
                  <w:vMerge w:val="continue"/>
                  <w:vAlign w:val="center"/>
                </w:tcPr>
                <w:p w14:paraId="3FBC9174">
                  <w:pPr>
                    <w:adjustRightInd w:val="0"/>
                    <w:snapToGrid w:val="0"/>
                    <w:jc w:val="center"/>
                    <w:rPr>
                      <w:bCs/>
                      <w:color w:val="000000"/>
                      <w:spacing w:val="-10"/>
                      <w:szCs w:val="21"/>
                    </w:rPr>
                  </w:pPr>
                </w:p>
              </w:tc>
              <w:tc>
                <w:tcPr>
                  <w:tcW w:w="212" w:type="pct"/>
                  <w:vMerge w:val="continue"/>
                  <w:vAlign w:val="center"/>
                </w:tcPr>
                <w:p w14:paraId="4024EBD4">
                  <w:pPr>
                    <w:adjustRightInd w:val="0"/>
                    <w:snapToGrid w:val="0"/>
                    <w:jc w:val="center"/>
                    <w:rPr>
                      <w:bCs/>
                      <w:color w:val="000000"/>
                      <w:spacing w:val="-10"/>
                      <w:szCs w:val="21"/>
                    </w:rPr>
                  </w:pPr>
                </w:p>
              </w:tc>
              <w:tc>
                <w:tcPr>
                  <w:tcW w:w="213" w:type="pct"/>
                  <w:vAlign w:val="center"/>
                </w:tcPr>
                <w:p w14:paraId="6377F1F0">
                  <w:pPr>
                    <w:adjustRightInd w:val="0"/>
                    <w:snapToGrid w:val="0"/>
                    <w:jc w:val="center"/>
                    <w:rPr>
                      <w:bCs/>
                      <w:color w:val="000000"/>
                      <w:spacing w:val="-10"/>
                      <w:szCs w:val="21"/>
                    </w:rPr>
                  </w:pPr>
                  <w:r>
                    <w:rPr>
                      <w:rFonts w:hint="eastAsia"/>
                      <w:szCs w:val="21"/>
                    </w:rPr>
                    <w:t>SO</w:t>
                  </w:r>
                  <w:r>
                    <w:rPr>
                      <w:rFonts w:hint="eastAsia"/>
                      <w:szCs w:val="21"/>
                      <w:vertAlign w:val="subscript"/>
                    </w:rPr>
                    <w:t>2</w:t>
                  </w:r>
                </w:p>
              </w:tc>
              <w:tc>
                <w:tcPr>
                  <w:tcW w:w="346" w:type="pct"/>
                  <w:vAlign w:val="center"/>
                </w:tcPr>
                <w:p w14:paraId="0B8980CC">
                  <w:pPr>
                    <w:adjustRightInd w:val="0"/>
                    <w:snapToGrid w:val="0"/>
                    <w:jc w:val="center"/>
                    <w:rPr>
                      <w:color w:val="ED0000"/>
                      <w:szCs w:val="21"/>
                    </w:rPr>
                  </w:pPr>
                  <w:r>
                    <w:rPr>
                      <w:rFonts w:hint="eastAsia"/>
                      <w:bCs/>
                      <w:spacing w:val="-10"/>
                      <w:szCs w:val="21"/>
                    </w:rPr>
                    <w:t>0.192</w:t>
                  </w:r>
                </w:p>
              </w:tc>
              <w:tc>
                <w:tcPr>
                  <w:tcW w:w="343" w:type="pct"/>
                  <w:vAlign w:val="center"/>
                </w:tcPr>
                <w:p w14:paraId="351EC835">
                  <w:pPr>
                    <w:adjustRightInd w:val="0"/>
                    <w:snapToGrid w:val="0"/>
                    <w:jc w:val="center"/>
                    <w:rPr>
                      <w:color w:val="ED0000"/>
                      <w:szCs w:val="21"/>
                    </w:rPr>
                  </w:pPr>
                  <w:r>
                    <w:rPr>
                      <w:rFonts w:hint="eastAsia"/>
                      <w:bCs/>
                      <w:spacing w:val="-10"/>
                      <w:szCs w:val="21"/>
                    </w:rPr>
                    <w:t>0.08</w:t>
                  </w:r>
                </w:p>
              </w:tc>
              <w:tc>
                <w:tcPr>
                  <w:tcW w:w="376" w:type="pct"/>
                  <w:vAlign w:val="center"/>
                </w:tcPr>
                <w:p w14:paraId="78F378A2">
                  <w:pPr>
                    <w:adjustRightInd w:val="0"/>
                    <w:snapToGrid w:val="0"/>
                    <w:jc w:val="center"/>
                    <w:rPr>
                      <w:b/>
                      <w:bCs/>
                      <w:color w:val="ED0000"/>
                      <w:szCs w:val="21"/>
                    </w:rPr>
                  </w:pPr>
                  <w:r>
                    <w:rPr>
                      <w:rFonts w:hint="eastAsia"/>
                      <w:color w:val="000000" w:themeColor="text1"/>
                      <w:szCs w:val="21"/>
                      <w14:textFill>
                        <w14:solidFill>
                          <w14:schemeClr w14:val="tx1"/>
                        </w14:solidFill>
                      </w14:textFill>
                    </w:rPr>
                    <w:t>54.6</w:t>
                  </w:r>
                </w:p>
              </w:tc>
              <w:tc>
                <w:tcPr>
                  <w:tcW w:w="303" w:type="pct"/>
                  <w:vMerge w:val="continue"/>
                  <w:vAlign w:val="center"/>
                </w:tcPr>
                <w:p w14:paraId="2F67E7D2">
                  <w:pPr>
                    <w:adjustRightInd w:val="0"/>
                    <w:snapToGrid w:val="0"/>
                    <w:jc w:val="center"/>
                    <w:rPr>
                      <w:bCs/>
                      <w:color w:val="000000"/>
                      <w:spacing w:val="-10"/>
                      <w:szCs w:val="21"/>
                    </w:rPr>
                  </w:pPr>
                </w:p>
              </w:tc>
              <w:tc>
                <w:tcPr>
                  <w:tcW w:w="213" w:type="pct"/>
                  <w:vMerge w:val="continue"/>
                  <w:vAlign w:val="center"/>
                </w:tcPr>
                <w:p w14:paraId="40353EA1">
                  <w:pPr>
                    <w:adjustRightInd w:val="0"/>
                    <w:snapToGrid w:val="0"/>
                    <w:jc w:val="center"/>
                    <w:rPr>
                      <w:bCs/>
                      <w:color w:val="000000"/>
                      <w:spacing w:val="-10"/>
                      <w:szCs w:val="21"/>
                    </w:rPr>
                  </w:pPr>
                </w:p>
              </w:tc>
              <w:tc>
                <w:tcPr>
                  <w:tcW w:w="357" w:type="pct"/>
                  <w:vMerge w:val="continue"/>
                  <w:vAlign w:val="center"/>
                </w:tcPr>
                <w:p w14:paraId="55B06A13">
                  <w:pPr>
                    <w:adjustRightInd w:val="0"/>
                    <w:snapToGrid w:val="0"/>
                    <w:jc w:val="center"/>
                    <w:rPr>
                      <w:bCs/>
                      <w:color w:val="000000" w:themeColor="text1"/>
                      <w:spacing w:val="-10"/>
                      <w:szCs w:val="21"/>
                      <w14:textFill>
                        <w14:solidFill>
                          <w14:schemeClr w14:val="tx1"/>
                        </w14:solidFill>
                      </w14:textFill>
                    </w:rPr>
                  </w:pPr>
                </w:p>
              </w:tc>
              <w:tc>
                <w:tcPr>
                  <w:tcW w:w="308" w:type="pct"/>
                  <w:vAlign w:val="center"/>
                </w:tcPr>
                <w:p w14:paraId="6BE22E98">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0</w:t>
                  </w:r>
                </w:p>
              </w:tc>
              <w:tc>
                <w:tcPr>
                  <w:tcW w:w="346" w:type="pct"/>
                  <w:vAlign w:val="center"/>
                </w:tcPr>
                <w:p w14:paraId="5F22794C">
                  <w:pPr>
                    <w:adjustRightInd w:val="0"/>
                    <w:snapToGrid w:val="0"/>
                    <w:jc w:val="center"/>
                    <w:rPr>
                      <w:color w:val="ED0000"/>
                      <w:szCs w:val="21"/>
                    </w:rPr>
                  </w:pPr>
                  <w:r>
                    <w:rPr>
                      <w:rFonts w:hint="eastAsia"/>
                      <w:bCs/>
                      <w:spacing w:val="-10"/>
                      <w:szCs w:val="21"/>
                    </w:rPr>
                    <w:t>0.192</w:t>
                  </w:r>
                </w:p>
              </w:tc>
              <w:tc>
                <w:tcPr>
                  <w:tcW w:w="397" w:type="pct"/>
                  <w:vAlign w:val="center"/>
                </w:tcPr>
                <w:p w14:paraId="48945105">
                  <w:pPr>
                    <w:adjustRightInd w:val="0"/>
                    <w:snapToGrid w:val="0"/>
                    <w:jc w:val="center"/>
                    <w:rPr>
                      <w:color w:val="ED0000"/>
                      <w:szCs w:val="21"/>
                    </w:rPr>
                  </w:pPr>
                  <w:r>
                    <w:rPr>
                      <w:rFonts w:hint="eastAsia"/>
                      <w:bCs/>
                      <w:spacing w:val="-10"/>
                      <w:szCs w:val="21"/>
                    </w:rPr>
                    <w:t>0.08</w:t>
                  </w:r>
                </w:p>
              </w:tc>
              <w:tc>
                <w:tcPr>
                  <w:tcW w:w="376" w:type="pct"/>
                  <w:vAlign w:val="center"/>
                </w:tcPr>
                <w:p w14:paraId="7CF502AE">
                  <w:pPr>
                    <w:adjustRightInd w:val="0"/>
                    <w:snapToGrid w:val="0"/>
                    <w:jc w:val="center"/>
                    <w:rPr>
                      <w:color w:val="ED0000"/>
                      <w:szCs w:val="21"/>
                    </w:rPr>
                  </w:pPr>
                  <w:r>
                    <w:rPr>
                      <w:rFonts w:hint="eastAsia"/>
                      <w:color w:val="000000" w:themeColor="text1"/>
                      <w:szCs w:val="21"/>
                      <w14:textFill>
                        <w14:solidFill>
                          <w14:schemeClr w14:val="tx1"/>
                        </w14:solidFill>
                      </w14:textFill>
                    </w:rPr>
                    <w:t>54.6</w:t>
                  </w:r>
                </w:p>
              </w:tc>
              <w:tc>
                <w:tcPr>
                  <w:tcW w:w="465" w:type="pct"/>
                  <w:vMerge w:val="continue"/>
                  <w:vAlign w:val="center"/>
                </w:tcPr>
                <w:p w14:paraId="5E74D38E">
                  <w:pPr>
                    <w:adjustRightInd w:val="0"/>
                    <w:snapToGrid w:val="0"/>
                    <w:jc w:val="center"/>
                    <w:rPr>
                      <w:bCs/>
                      <w:color w:val="000000"/>
                      <w:spacing w:val="-10"/>
                      <w:szCs w:val="21"/>
                    </w:rPr>
                  </w:pPr>
                </w:p>
              </w:tc>
              <w:tc>
                <w:tcPr>
                  <w:tcW w:w="445" w:type="pct"/>
                  <w:vMerge w:val="continue"/>
                  <w:vAlign w:val="center"/>
                </w:tcPr>
                <w:p w14:paraId="42E4E2A6">
                  <w:pPr>
                    <w:pStyle w:val="2"/>
                    <w:ind w:firstLine="480"/>
                  </w:pPr>
                </w:p>
              </w:tc>
            </w:tr>
            <w:tr w14:paraId="7508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0" w:type="pct"/>
                  <w:vMerge w:val="continue"/>
                  <w:vAlign w:val="center"/>
                </w:tcPr>
                <w:p w14:paraId="23B09E7F">
                  <w:pPr>
                    <w:adjustRightInd w:val="0"/>
                    <w:snapToGrid w:val="0"/>
                    <w:jc w:val="center"/>
                    <w:rPr>
                      <w:bCs/>
                      <w:color w:val="000000"/>
                      <w:spacing w:val="-10"/>
                      <w:szCs w:val="21"/>
                    </w:rPr>
                  </w:pPr>
                </w:p>
              </w:tc>
              <w:tc>
                <w:tcPr>
                  <w:tcW w:w="212" w:type="pct"/>
                  <w:vMerge w:val="continue"/>
                  <w:vAlign w:val="center"/>
                </w:tcPr>
                <w:p w14:paraId="49BD41E8">
                  <w:pPr>
                    <w:adjustRightInd w:val="0"/>
                    <w:snapToGrid w:val="0"/>
                    <w:jc w:val="center"/>
                    <w:rPr>
                      <w:bCs/>
                      <w:color w:val="000000"/>
                      <w:spacing w:val="-10"/>
                      <w:szCs w:val="21"/>
                    </w:rPr>
                  </w:pPr>
                </w:p>
              </w:tc>
              <w:tc>
                <w:tcPr>
                  <w:tcW w:w="213" w:type="pct"/>
                  <w:vAlign w:val="center"/>
                </w:tcPr>
                <w:p w14:paraId="7C963DF7">
                  <w:pPr>
                    <w:adjustRightInd w:val="0"/>
                    <w:snapToGrid w:val="0"/>
                    <w:jc w:val="center"/>
                    <w:rPr>
                      <w:bCs/>
                      <w:color w:val="000000"/>
                      <w:spacing w:val="-10"/>
                      <w:szCs w:val="21"/>
                    </w:rPr>
                  </w:pPr>
                  <w:r>
                    <w:rPr>
                      <w:rFonts w:hint="eastAsia"/>
                      <w:szCs w:val="21"/>
                    </w:rPr>
                    <w:t>NOx</w:t>
                  </w:r>
                </w:p>
              </w:tc>
              <w:tc>
                <w:tcPr>
                  <w:tcW w:w="346" w:type="pct"/>
                  <w:vAlign w:val="center"/>
                </w:tcPr>
                <w:p w14:paraId="2AD42105">
                  <w:pPr>
                    <w:adjustRightInd w:val="0"/>
                    <w:snapToGrid w:val="0"/>
                    <w:jc w:val="center"/>
                    <w:rPr>
                      <w:color w:val="ED0000"/>
                      <w:szCs w:val="21"/>
                    </w:rPr>
                  </w:pPr>
                  <w:r>
                    <w:rPr>
                      <w:rFonts w:hint="eastAsia"/>
                      <w:bCs/>
                      <w:spacing w:val="-10"/>
                      <w:szCs w:val="21"/>
                    </w:rPr>
                    <w:t>0.575</w:t>
                  </w:r>
                </w:p>
              </w:tc>
              <w:tc>
                <w:tcPr>
                  <w:tcW w:w="343" w:type="pct"/>
                  <w:vAlign w:val="center"/>
                </w:tcPr>
                <w:p w14:paraId="27039310">
                  <w:pPr>
                    <w:adjustRightInd w:val="0"/>
                    <w:snapToGrid w:val="0"/>
                    <w:jc w:val="center"/>
                    <w:rPr>
                      <w:color w:val="ED0000"/>
                      <w:szCs w:val="21"/>
                    </w:rPr>
                  </w:pPr>
                  <w:r>
                    <w:rPr>
                      <w:rFonts w:hint="eastAsia"/>
                      <w:bCs/>
                      <w:spacing w:val="-10"/>
                      <w:szCs w:val="21"/>
                    </w:rPr>
                    <w:t>0.2397</w:t>
                  </w:r>
                </w:p>
              </w:tc>
              <w:tc>
                <w:tcPr>
                  <w:tcW w:w="376" w:type="pct"/>
                  <w:vAlign w:val="center"/>
                </w:tcPr>
                <w:p w14:paraId="4F2D82E9">
                  <w:pPr>
                    <w:adjustRightInd w:val="0"/>
                    <w:snapToGrid w:val="0"/>
                    <w:jc w:val="center"/>
                    <w:rPr>
                      <w:b/>
                      <w:bCs/>
                      <w:color w:val="ED0000"/>
                      <w:szCs w:val="21"/>
                    </w:rPr>
                  </w:pPr>
                  <w:r>
                    <w:rPr>
                      <w:rFonts w:hint="eastAsia"/>
                      <w:color w:val="000000" w:themeColor="text1"/>
                      <w:szCs w:val="21"/>
                      <w14:textFill>
                        <w14:solidFill>
                          <w14:schemeClr w14:val="tx1"/>
                        </w14:solidFill>
                      </w14:textFill>
                    </w:rPr>
                    <w:t>163.5</w:t>
                  </w:r>
                </w:p>
              </w:tc>
              <w:tc>
                <w:tcPr>
                  <w:tcW w:w="303" w:type="pct"/>
                  <w:vMerge w:val="continue"/>
                  <w:vAlign w:val="center"/>
                </w:tcPr>
                <w:p w14:paraId="20040408">
                  <w:pPr>
                    <w:adjustRightInd w:val="0"/>
                    <w:snapToGrid w:val="0"/>
                    <w:jc w:val="center"/>
                    <w:rPr>
                      <w:bCs/>
                      <w:color w:val="000000"/>
                      <w:spacing w:val="-10"/>
                      <w:szCs w:val="21"/>
                    </w:rPr>
                  </w:pPr>
                </w:p>
              </w:tc>
              <w:tc>
                <w:tcPr>
                  <w:tcW w:w="213" w:type="pct"/>
                  <w:vMerge w:val="continue"/>
                  <w:vAlign w:val="center"/>
                </w:tcPr>
                <w:p w14:paraId="551B6326">
                  <w:pPr>
                    <w:adjustRightInd w:val="0"/>
                    <w:snapToGrid w:val="0"/>
                    <w:jc w:val="center"/>
                    <w:rPr>
                      <w:bCs/>
                      <w:color w:val="000000"/>
                      <w:spacing w:val="-10"/>
                      <w:szCs w:val="21"/>
                    </w:rPr>
                  </w:pPr>
                </w:p>
              </w:tc>
              <w:tc>
                <w:tcPr>
                  <w:tcW w:w="357" w:type="pct"/>
                  <w:vMerge w:val="continue"/>
                  <w:vAlign w:val="center"/>
                </w:tcPr>
                <w:p w14:paraId="16B78425">
                  <w:pPr>
                    <w:adjustRightInd w:val="0"/>
                    <w:snapToGrid w:val="0"/>
                    <w:jc w:val="center"/>
                    <w:rPr>
                      <w:bCs/>
                      <w:color w:val="000000" w:themeColor="text1"/>
                      <w:spacing w:val="-10"/>
                      <w:szCs w:val="21"/>
                      <w14:textFill>
                        <w14:solidFill>
                          <w14:schemeClr w14:val="tx1"/>
                        </w14:solidFill>
                      </w14:textFill>
                    </w:rPr>
                  </w:pPr>
                </w:p>
              </w:tc>
              <w:tc>
                <w:tcPr>
                  <w:tcW w:w="308" w:type="pct"/>
                  <w:vAlign w:val="center"/>
                </w:tcPr>
                <w:p w14:paraId="19554308">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0</w:t>
                  </w:r>
                </w:p>
              </w:tc>
              <w:tc>
                <w:tcPr>
                  <w:tcW w:w="346" w:type="pct"/>
                  <w:vAlign w:val="center"/>
                </w:tcPr>
                <w:p w14:paraId="76F9373C">
                  <w:pPr>
                    <w:adjustRightInd w:val="0"/>
                    <w:snapToGrid w:val="0"/>
                    <w:jc w:val="center"/>
                    <w:rPr>
                      <w:color w:val="ED0000"/>
                      <w:szCs w:val="21"/>
                    </w:rPr>
                  </w:pPr>
                  <w:r>
                    <w:rPr>
                      <w:rFonts w:hint="eastAsia"/>
                      <w:bCs/>
                      <w:spacing w:val="-10"/>
                      <w:szCs w:val="21"/>
                    </w:rPr>
                    <w:t>0.575</w:t>
                  </w:r>
                </w:p>
              </w:tc>
              <w:tc>
                <w:tcPr>
                  <w:tcW w:w="397" w:type="pct"/>
                  <w:vAlign w:val="center"/>
                </w:tcPr>
                <w:p w14:paraId="51C8F4E1">
                  <w:pPr>
                    <w:adjustRightInd w:val="0"/>
                    <w:snapToGrid w:val="0"/>
                    <w:jc w:val="center"/>
                    <w:rPr>
                      <w:color w:val="ED0000"/>
                      <w:szCs w:val="21"/>
                    </w:rPr>
                  </w:pPr>
                  <w:r>
                    <w:rPr>
                      <w:rFonts w:hint="eastAsia"/>
                      <w:bCs/>
                      <w:spacing w:val="-10"/>
                      <w:szCs w:val="21"/>
                    </w:rPr>
                    <w:t>0.2397</w:t>
                  </w:r>
                </w:p>
              </w:tc>
              <w:tc>
                <w:tcPr>
                  <w:tcW w:w="376" w:type="pct"/>
                  <w:vAlign w:val="center"/>
                </w:tcPr>
                <w:p w14:paraId="25672DC9">
                  <w:pPr>
                    <w:adjustRightInd w:val="0"/>
                    <w:snapToGrid w:val="0"/>
                    <w:jc w:val="center"/>
                    <w:rPr>
                      <w:color w:val="ED0000"/>
                      <w:szCs w:val="21"/>
                    </w:rPr>
                  </w:pPr>
                  <w:r>
                    <w:rPr>
                      <w:rFonts w:hint="eastAsia"/>
                      <w:color w:val="000000" w:themeColor="text1"/>
                      <w:szCs w:val="21"/>
                      <w14:textFill>
                        <w14:solidFill>
                          <w14:schemeClr w14:val="tx1"/>
                        </w14:solidFill>
                      </w14:textFill>
                    </w:rPr>
                    <w:t>163.5</w:t>
                  </w:r>
                </w:p>
              </w:tc>
              <w:tc>
                <w:tcPr>
                  <w:tcW w:w="465" w:type="pct"/>
                  <w:vMerge w:val="continue"/>
                  <w:vAlign w:val="center"/>
                </w:tcPr>
                <w:p w14:paraId="02544DE4">
                  <w:pPr>
                    <w:adjustRightInd w:val="0"/>
                    <w:snapToGrid w:val="0"/>
                    <w:jc w:val="center"/>
                    <w:rPr>
                      <w:bCs/>
                      <w:color w:val="000000"/>
                      <w:spacing w:val="-10"/>
                      <w:szCs w:val="21"/>
                    </w:rPr>
                  </w:pPr>
                </w:p>
              </w:tc>
              <w:tc>
                <w:tcPr>
                  <w:tcW w:w="445" w:type="pct"/>
                  <w:vMerge w:val="continue"/>
                  <w:vAlign w:val="center"/>
                </w:tcPr>
                <w:p w14:paraId="773CDD72">
                  <w:pPr>
                    <w:pStyle w:val="2"/>
                    <w:ind w:firstLine="480"/>
                  </w:pPr>
                </w:p>
              </w:tc>
            </w:tr>
            <w:bookmarkEnd w:id="7"/>
          </w:tbl>
          <w:p w14:paraId="3CA5859A">
            <w:pPr>
              <w:adjustRightInd w:val="0"/>
              <w:snapToGrid w:val="0"/>
              <w:spacing w:line="360" w:lineRule="auto"/>
              <w:ind w:firstLine="382" w:firstLineChars="200"/>
              <w:rPr>
                <w:b/>
                <w:spacing w:val="-10"/>
                <w:szCs w:val="21"/>
              </w:rPr>
            </w:pPr>
            <w:r>
              <w:rPr>
                <w:b/>
                <w:spacing w:val="-10"/>
                <w:szCs w:val="21"/>
              </w:rPr>
              <w:t>参照《排放源统计调查产排污核算方法和系数手册》（公告2021年第24号）中“4430工业锅炉（热力供应） 行业系数手册</w:t>
            </w:r>
            <w:r>
              <w:rPr>
                <w:rFonts w:hint="eastAsia"/>
                <w:b/>
                <w:spacing w:val="-10"/>
                <w:szCs w:val="21"/>
              </w:rPr>
              <w:t>、</w:t>
            </w:r>
            <w:r>
              <w:rPr>
                <w:b/>
                <w:spacing w:val="-10"/>
                <w:szCs w:val="21"/>
              </w:rPr>
              <w:t>《排污许可证申请与核发技术规范 锅炉》（HJ953-2018）</w:t>
            </w:r>
            <w:r>
              <w:rPr>
                <w:rFonts w:hint="eastAsia"/>
                <w:b/>
                <w:spacing w:val="-10"/>
                <w:szCs w:val="21"/>
              </w:rPr>
              <w:t>，水喷淋塔为颗粒物处理的可行技术。</w:t>
            </w:r>
          </w:p>
          <w:p w14:paraId="2A0EFA47">
            <w:pPr>
              <w:adjustRightInd w:val="0"/>
              <w:snapToGrid w:val="0"/>
              <w:spacing w:line="360" w:lineRule="auto"/>
              <w:rPr>
                <w:b/>
                <w:spacing w:val="-10"/>
                <w:sz w:val="24"/>
              </w:rPr>
            </w:pPr>
          </w:p>
          <w:p w14:paraId="3B5FA968">
            <w:pPr>
              <w:adjustRightInd w:val="0"/>
              <w:snapToGrid w:val="0"/>
              <w:spacing w:line="360" w:lineRule="auto"/>
              <w:rPr>
                <w:b/>
                <w:sz w:val="24"/>
              </w:rPr>
            </w:pPr>
            <w:r>
              <w:rPr>
                <w:b/>
                <w:spacing w:val="-10"/>
                <w:sz w:val="24"/>
              </w:rPr>
              <w:t>1.</w:t>
            </w:r>
            <w:r>
              <w:rPr>
                <w:b/>
                <w:sz w:val="24"/>
              </w:rPr>
              <w:t>3废气排放可行性及环境影响分析</w:t>
            </w:r>
          </w:p>
          <w:p w14:paraId="01F990D1">
            <w:pPr>
              <w:spacing w:line="360" w:lineRule="auto"/>
              <w:ind w:firstLine="480"/>
              <w:jc w:val="left"/>
              <w:rPr>
                <w:bCs/>
                <w:sz w:val="24"/>
              </w:rPr>
            </w:pPr>
            <w:r>
              <w:rPr>
                <w:rFonts w:hint="eastAsia"/>
                <w:b/>
                <w:sz w:val="24"/>
              </w:rPr>
              <w:t>（1）</w:t>
            </w:r>
            <w:r>
              <w:rPr>
                <w:b/>
                <w:sz w:val="24"/>
              </w:rPr>
              <w:t>废气污染防治措施如下</w:t>
            </w:r>
            <w:r>
              <w:rPr>
                <w:bCs/>
                <w:sz w:val="24"/>
              </w:rPr>
              <w:t>：</w:t>
            </w:r>
          </w:p>
          <w:p w14:paraId="023AB70B">
            <w:pPr>
              <w:spacing w:line="360" w:lineRule="auto"/>
              <w:ind w:firstLine="480"/>
              <w:jc w:val="left"/>
              <w:rPr>
                <w:sz w:val="24"/>
                <w:u w:val="single"/>
              </w:rPr>
            </w:pPr>
            <w:bookmarkStart w:id="8" w:name="_Hlk99619547"/>
            <w:r>
              <w:rPr>
                <w:rFonts w:hint="eastAsia"/>
                <w:sz w:val="24"/>
                <w:lang w:bidi="ar"/>
              </w:rPr>
              <w:t>蒸汽发生器燃烧</w:t>
            </w:r>
            <w:r>
              <w:rPr>
                <w:sz w:val="24"/>
                <w:lang w:bidi="ar"/>
              </w:rPr>
              <w:t>废气</w:t>
            </w:r>
            <w:r>
              <w:rPr>
                <w:rFonts w:hint="eastAsia"/>
                <w:sz w:val="24"/>
                <w:lang w:bidi="ar"/>
              </w:rPr>
              <w:t>：</w:t>
            </w:r>
            <w:r>
              <w:rPr>
                <w:sz w:val="24"/>
              </w:rPr>
              <w:t>项目</w:t>
            </w:r>
            <w:r>
              <w:rPr>
                <w:rFonts w:hint="eastAsia"/>
                <w:sz w:val="24"/>
                <w:lang w:bidi="ar"/>
              </w:rPr>
              <w:t>蒸汽发生器燃烧</w:t>
            </w:r>
            <w:r>
              <w:rPr>
                <w:sz w:val="24"/>
                <w:lang w:bidi="ar"/>
              </w:rPr>
              <w:t>废气</w:t>
            </w:r>
            <w:r>
              <w:rPr>
                <w:rFonts w:hint="eastAsia"/>
                <w:sz w:val="24"/>
                <w:lang w:bidi="ar"/>
              </w:rPr>
              <w:t>设备带有废气口，</w:t>
            </w:r>
            <w:r>
              <w:rPr>
                <w:sz w:val="24"/>
              </w:rPr>
              <w:t>废气出口和全密闭集气管道相连接，废气经集气管道引至</w:t>
            </w:r>
            <w:r>
              <w:rPr>
                <w:rFonts w:hint="eastAsia"/>
                <w:sz w:val="24"/>
              </w:rPr>
              <w:t>水喷淋</w:t>
            </w:r>
            <w:r>
              <w:rPr>
                <w:sz w:val="24"/>
              </w:rPr>
              <w:t>装置处理，</w:t>
            </w:r>
            <w:r>
              <w:rPr>
                <w:rFonts w:hint="eastAsia"/>
                <w:sz w:val="24"/>
              </w:rPr>
              <w:t>废气收集效率100%，</w:t>
            </w:r>
            <w:r>
              <w:rPr>
                <w:sz w:val="24"/>
              </w:rPr>
              <w:t>处理效率为</w:t>
            </w:r>
            <w:r>
              <w:rPr>
                <w:rFonts w:hint="eastAsia"/>
                <w:sz w:val="24"/>
              </w:rPr>
              <w:t>85</w:t>
            </w:r>
            <w:r>
              <w:rPr>
                <w:sz w:val="24"/>
              </w:rPr>
              <w:t>%，处理后通过</w:t>
            </w:r>
            <w:r>
              <w:rPr>
                <w:rFonts w:hint="eastAsia"/>
                <w:sz w:val="24"/>
              </w:rPr>
              <w:t>2</w:t>
            </w:r>
            <w:r>
              <w:rPr>
                <w:sz w:val="24"/>
              </w:rPr>
              <w:t>5m排气筒排放（DA00</w:t>
            </w:r>
            <w:r>
              <w:rPr>
                <w:rFonts w:hint="eastAsia"/>
                <w:sz w:val="24"/>
              </w:rPr>
              <w:t>1</w:t>
            </w:r>
            <w:r>
              <w:rPr>
                <w:sz w:val="24"/>
              </w:rPr>
              <w:t>）。</w:t>
            </w:r>
          </w:p>
          <w:p w14:paraId="5A858E5F"/>
          <w:p w14:paraId="2740524A">
            <w:pPr>
              <w:pStyle w:val="73"/>
              <w:spacing w:beforeLines="0" w:afterLines="0" w:line="360" w:lineRule="auto"/>
              <w:ind w:left="0" w:leftChars="0" w:firstLine="482"/>
              <w:rPr>
                <w:b/>
                <w:bCs/>
                <w:szCs w:val="24"/>
              </w:rPr>
            </w:pPr>
            <w:r>
              <w:rPr>
                <w:rFonts w:hint="eastAsia"/>
                <w:b/>
                <w:bCs/>
                <w:szCs w:val="24"/>
              </w:rPr>
              <w:t>水喷淋装置原理：</w:t>
            </w:r>
          </w:p>
          <w:p w14:paraId="3486FC41">
            <w:pPr>
              <w:snapToGrid w:val="0"/>
              <w:spacing w:line="360" w:lineRule="auto"/>
              <w:ind w:firstLine="480" w:firstLineChars="200"/>
              <w:outlineLvl w:val="3"/>
              <w:rPr>
                <w:sz w:val="24"/>
              </w:rPr>
            </w:pPr>
            <w:r>
              <w:rPr>
                <w:sz w:val="24"/>
              </w:rPr>
              <w:t>喷淋塔除尘的核心原理是通过液体雾化形成细小液滴，与废气中的颗粒物碰撞吸附，再通过重力沉降实现分离‌。具体工作流程如下：</w:t>
            </w:r>
          </w:p>
          <w:p w14:paraId="485DD43E">
            <w:pPr>
              <w:tabs>
                <w:tab w:val="left" w:pos="720"/>
              </w:tabs>
              <w:snapToGrid w:val="0"/>
              <w:spacing w:line="360" w:lineRule="auto"/>
              <w:ind w:left="480" w:hanging="480" w:hangingChars="200"/>
              <w:outlineLvl w:val="3"/>
              <w:rPr>
                <w:sz w:val="24"/>
              </w:rPr>
            </w:pPr>
            <w:r>
              <w:rPr>
                <w:sz w:val="24"/>
              </w:rPr>
              <w:t>‌</w:t>
            </w:r>
            <w:r>
              <w:rPr>
                <w:rFonts w:hint="eastAsia"/>
                <w:sz w:val="24"/>
              </w:rPr>
              <w:t xml:space="preserve">   1）</w:t>
            </w:r>
            <w:r>
              <w:rPr>
                <w:sz w:val="24"/>
              </w:rPr>
              <w:t>废气导入与液滴吸附‌</w:t>
            </w:r>
          </w:p>
          <w:p w14:paraId="3988148B">
            <w:pPr>
              <w:tabs>
                <w:tab w:val="left" w:pos="720"/>
              </w:tabs>
              <w:snapToGrid w:val="0"/>
              <w:spacing w:line="360" w:lineRule="auto"/>
              <w:ind w:firstLine="480" w:firstLineChars="200"/>
              <w:outlineLvl w:val="3"/>
              <w:rPr>
                <w:sz w:val="24"/>
              </w:rPr>
            </w:pPr>
            <w:r>
              <w:rPr>
                <w:sz w:val="24"/>
              </w:rPr>
              <w:t>含尘气体从塔体下部进入后，喷嘴将循环液体（如水、酸碱溶液）雾化成微米级液滴，形成逆向或错流接触。此时颗粒物因惯性碰撞、扩散效应或化学中和作用被液滴表面捕获。</w:t>
            </w:r>
          </w:p>
          <w:p w14:paraId="394282CE">
            <w:pPr>
              <w:tabs>
                <w:tab w:val="left" w:pos="720"/>
              </w:tabs>
              <w:snapToGrid w:val="0"/>
              <w:spacing w:line="360" w:lineRule="auto"/>
              <w:ind w:left="420" w:leftChars="200"/>
              <w:outlineLvl w:val="3"/>
              <w:rPr>
                <w:sz w:val="24"/>
              </w:rPr>
            </w:pPr>
            <w:r>
              <w:rPr>
                <w:rFonts w:hint="eastAsia"/>
                <w:sz w:val="24"/>
              </w:rPr>
              <w:t>2）</w:t>
            </w:r>
            <w:r>
              <w:rPr>
                <w:sz w:val="24"/>
              </w:rPr>
              <w:t>重力沉降与污染物分离‌</w:t>
            </w:r>
          </w:p>
          <w:p w14:paraId="3488E48D">
            <w:pPr>
              <w:tabs>
                <w:tab w:val="left" w:pos="720"/>
              </w:tabs>
              <w:snapToGrid w:val="0"/>
              <w:spacing w:line="360" w:lineRule="auto"/>
              <w:ind w:firstLine="480" w:firstLineChars="200"/>
              <w:outlineLvl w:val="3"/>
              <w:rPr>
                <w:sz w:val="24"/>
              </w:rPr>
            </w:pPr>
            <w:r>
              <w:rPr>
                <w:sz w:val="24"/>
              </w:rPr>
              <w:t>吸附颗粒物的液滴因重力增大而下沉至塔底集液池，较轻的污染物浮于循环液表面，较重的沉渣则定期清理外运。</w:t>
            </w:r>
          </w:p>
          <w:p w14:paraId="4A4364F6">
            <w:pPr>
              <w:tabs>
                <w:tab w:val="left" w:pos="720"/>
              </w:tabs>
              <w:snapToGrid w:val="0"/>
              <w:spacing w:line="360" w:lineRule="auto"/>
              <w:ind w:left="420" w:leftChars="200"/>
              <w:outlineLvl w:val="3"/>
              <w:rPr>
                <w:sz w:val="24"/>
              </w:rPr>
            </w:pPr>
            <w:r>
              <w:rPr>
                <w:rFonts w:hint="eastAsia"/>
                <w:sz w:val="24"/>
              </w:rPr>
              <w:t>3）</w:t>
            </w:r>
            <w:r>
              <w:rPr>
                <w:sz w:val="24"/>
              </w:rPr>
              <w:t>气液分离与净化排放</w:t>
            </w:r>
          </w:p>
          <w:p w14:paraId="02B4B6B7">
            <w:pPr>
              <w:tabs>
                <w:tab w:val="left" w:pos="720"/>
              </w:tabs>
              <w:snapToGrid w:val="0"/>
              <w:spacing w:line="360" w:lineRule="auto"/>
              <w:ind w:firstLine="480" w:firstLineChars="200"/>
              <w:outlineLvl w:val="3"/>
              <w:rPr>
                <w:sz w:val="24"/>
              </w:rPr>
            </w:pPr>
            <w:r>
              <w:rPr>
                <w:sz w:val="24"/>
              </w:rPr>
              <w:t>通过塔顶的</w:t>
            </w:r>
            <w:r>
              <w:fldChar w:fldCharType="begin"/>
            </w:r>
            <w:r>
              <w:instrText xml:space="preserve"> HYPERLINK "https://www.baidu.com/s?rsv_idx=1&amp;wd=%E9%99%A4%E9%9B%BE%E5%99%A8&amp;fenlei=256&amp;usm=5&amp;ie=utf-8&amp;rsv_pq=8acf5110002989f2&amp;oq=%E5%96%B7%E6%B7%8B%E5%A1%94%E9%99%A4%E5%B0%98%E7%9A%84%E5%B7%A5%E4%BD%9C%E5%8E%9F%E7%90%86&amp;rsv_t=455d2be%2FzU8UZYJhMj2NKT46WCZRWU3gzYbT%2F7vESbac3c5%2Fmt%2B5PXQvxOI&amp;rsv_dl=re_dqa_generate&amp;sa=re_dqa_generate" \t "_self" </w:instrText>
            </w:r>
            <w:r>
              <w:fldChar w:fldCharType="separate"/>
            </w:r>
            <w:r>
              <w:rPr>
                <w:sz w:val="24"/>
              </w:rPr>
              <w:t>除雾器</w:t>
            </w:r>
            <w:r>
              <w:rPr>
                <w:sz w:val="24"/>
              </w:rPr>
              <w:fldChar w:fldCharType="end"/>
            </w:r>
            <w:r>
              <w:rPr>
                <w:sz w:val="24"/>
              </w:rPr>
              <w:t>（如丝网、波纹板）去除气体中残留液滴，最终达标气体排出。</w:t>
            </w:r>
          </w:p>
          <w:p w14:paraId="69D23483">
            <w:pPr>
              <w:tabs>
                <w:tab w:val="left" w:pos="720"/>
              </w:tabs>
              <w:snapToGrid w:val="0"/>
              <w:spacing w:line="360" w:lineRule="auto"/>
              <w:ind w:firstLine="480" w:firstLineChars="200"/>
              <w:outlineLvl w:val="3"/>
              <w:rPr>
                <w:sz w:val="24"/>
              </w:rPr>
            </w:pPr>
            <w:r>
              <w:rPr>
                <w:rFonts w:hint="eastAsia"/>
                <w:sz w:val="24"/>
              </w:rPr>
              <w:t>4）</w:t>
            </w:r>
            <w:r>
              <w:rPr>
                <w:sz w:val="24"/>
              </w:rPr>
              <w:t>循环系统与效能强化‌</w:t>
            </w:r>
          </w:p>
          <w:p w14:paraId="403581F9">
            <w:pPr>
              <w:tabs>
                <w:tab w:val="left" w:pos="1440"/>
              </w:tabs>
              <w:snapToGrid w:val="0"/>
              <w:spacing w:line="360" w:lineRule="auto"/>
              <w:ind w:firstLine="480" w:firstLineChars="200"/>
              <w:outlineLvl w:val="3"/>
              <w:rPr>
                <w:sz w:val="24"/>
              </w:rPr>
            </w:pPr>
            <w:r>
              <w:rPr>
                <w:sz w:val="24"/>
              </w:rPr>
              <w:t>喷淋液通过水泵循环使用，提升资源利用率。</w:t>
            </w:r>
          </w:p>
          <w:p w14:paraId="19102FF2">
            <w:pPr>
              <w:snapToGrid w:val="0"/>
              <w:spacing w:line="360" w:lineRule="auto"/>
              <w:ind w:firstLine="480" w:firstLineChars="200"/>
              <w:outlineLvl w:val="3"/>
              <w:rPr>
                <w:sz w:val="24"/>
              </w:rPr>
            </w:pPr>
            <w:r>
              <w:rPr>
                <w:sz w:val="24"/>
              </w:rPr>
              <w:t>部分喷淋塔内置</w:t>
            </w:r>
            <w:r>
              <w:fldChar w:fldCharType="begin"/>
            </w:r>
            <w:r>
              <w:instrText xml:space="preserve"> HYPERLINK "https://www.baidu.com/s?rsv_idx=1&amp;wd=%E5%A1%AB%E6%96%99%E5%B1%82&amp;fenlei=256&amp;usm=5&amp;ie=utf-8&amp;rsv_pq=8acf5110002989f2&amp;oq=%E5%96%B7%E6%B7%8B%E5%A1%94%E9%99%A4%E5%B0%98%E7%9A%84%E5%B7%A5%E4%BD%9C%E5%8E%9F%E7%90%86&amp;rsv_t=476a2vjcYBLh9uWLj7qWmlL3TDbVMcJrsoTYKJ76SUTtpDG7qdYPnH0cU%2Bk&amp;rsv_dl=re_dqa_generate&amp;sa=re_dqa_generate" \t "_self" </w:instrText>
            </w:r>
            <w:r>
              <w:fldChar w:fldCharType="separate"/>
            </w:r>
            <w:r>
              <w:rPr>
                <w:sz w:val="24"/>
              </w:rPr>
              <w:t>填料层</w:t>
            </w:r>
            <w:r>
              <w:rPr>
                <w:sz w:val="24"/>
              </w:rPr>
              <w:fldChar w:fldCharType="end"/>
            </w:r>
            <w:r>
              <w:rPr>
                <w:sz w:val="24"/>
              </w:rPr>
              <w:t>（如PP材质），通过延长气液接触路径和再分布装置，提高传质效率。</w:t>
            </w:r>
            <w:r>
              <w:rPr>
                <w:rFonts w:hint="eastAsia"/>
                <w:sz w:val="24"/>
              </w:rPr>
              <w:t>同时，通过循环使用冷却水，降低了水的消耗。</w:t>
            </w:r>
          </w:p>
          <w:p w14:paraId="2AA0C509">
            <w:pPr>
              <w:pStyle w:val="2"/>
              <w:ind w:left="0" w:leftChars="0" w:firstLine="480"/>
            </w:pPr>
            <w:r>
              <w:t>参考《排放源统计调查产排污核算方法和系数手册》（公告2021年第24号）中“4430工业锅炉（热力供应） 行业系数手册中</w:t>
            </w:r>
            <w:r>
              <w:rPr>
                <w:rFonts w:hint="eastAsia"/>
              </w:rPr>
              <w:t>生物质锅炉</w:t>
            </w:r>
            <w:r>
              <w:t>产生的颗粒物采用喷淋塔除尘去除率可达</w:t>
            </w:r>
            <w:r>
              <w:rPr>
                <w:rFonts w:hint="eastAsia"/>
              </w:rPr>
              <w:t>87</w:t>
            </w:r>
            <w:r>
              <w:t>%以上，本报告</w:t>
            </w:r>
            <w:r>
              <w:rPr>
                <w:rFonts w:hint="eastAsia"/>
              </w:rPr>
              <w:t>水喷淋塔</w:t>
            </w:r>
            <w:r>
              <w:t>除尘处理效率取</w:t>
            </w:r>
            <w:r>
              <w:rPr>
                <w:rFonts w:hint="eastAsia"/>
              </w:rPr>
              <w:t>85</w:t>
            </w:r>
            <w:r>
              <w:t>%</w:t>
            </w:r>
            <w:r>
              <w:rPr>
                <w:rFonts w:hint="eastAsia"/>
              </w:rPr>
              <w:t>，</w:t>
            </w:r>
            <w:r>
              <w:t xml:space="preserve">处理后的粉尘经 </w:t>
            </w:r>
            <w:r>
              <w:rPr>
                <w:rFonts w:hint="eastAsia"/>
              </w:rPr>
              <w:t>2</w:t>
            </w:r>
            <w:r>
              <w:t>5m 高排气筒（DA001）排放</w:t>
            </w:r>
            <w:r>
              <w:rPr>
                <w:rFonts w:hint="eastAsia"/>
              </w:rPr>
              <w:t>。</w:t>
            </w:r>
          </w:p>
          <w:p w14:paraId="726C1B7F">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（2）技术可行性分析</w:t>
            </w:r>
          </w:p>
          <w:p w14:paraId="7FE49514">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《排污许可证申请与核发技术规范 锅炉》（HJ953-2018）</w:t>
            </w:r>
            <w:r>
              <w:rPr>
                <w:rFonts w:hint="eastAsia"/>
                <w:color w:val="000000" w:themeColor="text1"/>
                <w:sz w:val="24"/>
                <w14:textFill>
                  <w14:solidFill>
                    <w14:schemeClr w14:val="tx1"/>
                  </w14:solidFill>
                </w14:textFill>
              </w:rPr>
              <w:t>的中工业排污单位废气污染防治可行技术参考表可知，生物质锅炉产生的颗粒物废气采用的喷淋塔技术是可行技术；</w:t>
            </w:r>
            <w:r>
              <w:rPr>
                <w:color w:val="000000" w:themeColor="text1"/>
                <w:sz w:val="24"/>
                <w14:textFill>
                  <w14:solidFill>
                    <w14:schemeClr w14:val="tx1"/>
                  </w14:solidFill>
                </w14:textFill>
              </w:rPr>
              <w:t>参照《排放源统计调查产排污核算方法和系数手册》（公告2021年第24号）中“4430工业锅炉（热力供应） 行业系数手册</w:t>
            </w:r>
            <w:r>
              <w:rPr>
                <w:rFonts w:hint="eastAsia"/>
                <w:color w:val="000000" w:themeColor="text1"/>
                <w:sz w:val="24"/>
                <w14:textFill>
                  <w14:solidFill>
                    <w14:schemeClr w14:val="tx1"/>
                  </w14:solidFill>
                </w14:textFill>
              </w:rPr>
              <w:t>中生物质锅炉颗粒物采用喷淋塔技术为可行技术。</w:t>
            </w:r>
          </w:p>
          <w:p w14:paraId="56B58606">
            <w:pPr>
              <w:widowControl/>
              <w:kinsoku w:val="0"/>
              <w:overflowPunct w:val="0"/>
              <w:topLinePunct/>
              <w:jc w:val="center"/>
              <w:rPr>
                <w:b/>
                <w:bCs/>
                <w:color w:val="000000" w:themeColor="text1"/>
                <w:kern w:val="0"/>
                <w:szCs w:val="21"/>
                <w:lang w:bidi="ar"/>
                <w14:textFill>
                  <w14:solidFill>
                    <w14:schemeClr w14:val="tx1"/>
                  </w14:solidFill>
                </w14:textFill>
              </w:rPr>
            </w:pPr>
            <w:r>
              <w:rPr>
                <w:rFonts w:hint="eastAsia"/>
                <w:b/>
                <w:bCs/>
                <w:color w:val="000000" w:themeColor="text1"/>
                <w:kern w:val="0"/>
                <w:szCs w:val="21"/>
                <w:lang w:bidi="ar"/>
                <w14:textFill>
                  <w14:solidFill>
                    <w14:schemeClr w14:val="tx1"/>
                  </w14:solidFill>
                </w14:textFill>
              </w:rPr>
              <w:t>表4-5  燃生物质锅炉废气治理技术符合性分析</w:t>
            </w:r>
          </w:p>
          <w:tbl>
            <w:tblPr>
              <w:tblStyle w:val="27"/>
              <w:tblW w:w="7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10"/>
              <w:gridCol w:w="726"/>
              <w:gridCol w:w="1574"/>
              <w:gridCol w:w="2353"/>
              <w:gridCol w:w="928"/>
              <w:gridCol w:w="774"/>
            </w:tblGrid>
            <w:tr w14:paraId="403B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3" w:type="dxa"/>
                  <w:tcBorders>
                    <w:tl2br w:val="nil"/>
                    <w:tr2bl w:val="nil"/>
                  </w:tcBorders>
                  <w:vAlign w:val="center"/>
                </w:tcPr>
                <w:p w14:paraId="0CE37CEF">
                  <w:pPr>
                    <w:tabs>
                      <w:tab w:val="left" w:pos="720"/>
                    </w:tabs>
                    <w:autoSpaceDE w:val="0"/>
                    <w:autoSpaceDN w:val="0"/>
                    <w:spacing w:line="300" w:lineRule="exact"/>
                    <w:ind w:left="-84" w:leftChars="-40"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710" w:type="dxa"/>
                  <w:tcBorders>
                    <w:tl2br w:val="nil"/>
                    <w:tr2bl w:val="nil"/>
                  </w:tcBorders>
                  <w:vAlign w:val="center"/>
                </w:tcPr>
                <w:p w14:paraId="0E3C8DC1">
                  <w:pPr>
                    <w:tabs>
                      <w:tab w:val="left" w:pos="720"/>
                    </w:tabs>
                    <w:autoSpaceDE w:val="0"/>
                    <w:autoSpaceDN w:val="0"/>
                    <w:spacing w:line="300" w:lineRule="exact"/>
                    <w:ind w:left="-84" w:leftChars="-40"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2300" w:type="dxa"/>
                  <w:gridSpan w:val="2"/>
                  <w:tcBorders>
                    <w:tl2br w:val="nil"/>
                    <w:tr2bl w:val="nil"/>
                  </w:tcBorders>
                  <w:vAlign w:val="center"/>
                </w:tcPr>
                <w:p w14:paraId="4416F00B">
                  <w:pPr>
                    <w:tabs>
                      <w:tab w:val="left" w:pos="720"/>
                    </w:tabs>
                    <w:autoSpaceDE w:val="0"/>
                    <w:autoSpaceDN w:val="0"/>
                    <w:spacing w:line="300" w:lineRule="exact"/>
                    <w:ind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规范防治技术</w:t>
                  </w:r>
                </w:p>
              </w:tc>
              <w:tc>
                <w:tcPr>
                  <w:tcW w:w="2353" w:type="dxa"/>
                  <w:tcBorders>
                    <w:tl2br w:val="nil"/>
                    <w:tr2bl w:val="nil"/>
                  </w:tcBorders>
                  <w:vAlign w:val="center"/>
                </w:tcPr>
                <w:p w14:paraId="3F03A20C">
                  <w:pPr>
                    <w:tabs>
                      <w:tab w:val="left" w:pos="720"/>
                    </w:tabs>
                    <w:autoSpaceDE w:val="0"/>
                    <w:autoSpaceDN w:val="0"/>
                    <w:spacing w:line="300" w:lineRule="exact"/>
                    <w:ind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本项目采用技术</w:t>
                  </w:r>
                </w:p>
              </w:tc>
              <w:tc>
                <w:tcPr>
                  <w:tcW w:w="928" w:type="dxa"/>
                  <w:tcBorders>
                    <w:tl2br w:val="nil"/>
                    <w:tr2bl w:val="nil"/>
                  </w:tcBorders>
                  <w:vAlign w:val="center"/>
                </w:tcPr>
                <w:p w14:paraId="096C8E37">
                  <w:pPr>
                    <w:tabs>
                      <w:tab w:val="left" w:pos="720"/>
                    </w:tabs>
                    <w:autoSpaceDE w:val="0"/>
                    <w:autoSpaceDN w:val="0"/>
                    <w:spacing w:line="300" w:lineRule="exact"/>
                    <w:ind w:left="-84" w:leftChars="-40" w:right="-84" w:rightChars="-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是否为可行技术</w:t>
                  </w:r>
                </w:p>
              </w:tc>
              <w:tc>
                <w:tcPr>
                  <w:tcW w:w="774" w:type="dxa"/>
                  <w:tcBorders>
                    <w:tl2br w:val="nil"/>
                    <w:tr2bl w:val="nil"/>
                  </w:tcBorders>
                  <w:vAlign w:val="center"/>
                </w:tcPr>
                <w:p w14:paraId="24987E04">
                  <w:pPr>
                    <w:tabs>
                      <w:tab w:val="left" w:pos="720"/>
                    </w:tabs>
                    <w:autoSpaceDE w:val="0"/>
                    <w:autoSpaceDN w:val="0"/>
                    <w:spacing w:line="300" w:lineRule="exact"/>
                    <w:ind w:right="-63" w:rightChars="-3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规范</w:t>
                  </w:r>
                </w:p>
                <w:p w14:paraId="09273579">
                  <w:pPr>
                    <w:tabs>
                      <w:tab w:val="left" w:pos="720"/>
                    </w:tabs>
                    <w:autoSpaceDE w:val="0"/>
                    <w:autoSpaceDN w:val="0"/>
                    <w:spacing w:line="300" w:lineRule="exact"/>
                    <w:ind w:left="-63" w:leftChars="-30" w:right="-63" w:rightChars="-3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r>
            <w:tr w14:paraId="19AF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473" w:type="dxa"/>
                  <w:vMerge w:val="restart"/>
                  <w:tcBorders>
                    <w:tl2br w:val="nil"/>
                    <w:tr2bl w:val="nil"/>
                  </w:tcBorders>
                  <w:vAlign w:val="center"/>
                </w:tcPr>
                <w:p w14:paraId="38DACF56">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10" w:type="dxa"/>
                  <w:vMerge w:val="restart"/>
                  <w:tcBorders>
                    <w:tl2br w:val="nil"/>
                    <w:tr2bl w:val="nil"/>
                  </w:tcBorders>
                  <w:vAlign w:val="center"/>
                </w:tcPr>
                <w:p w14:paraId="3D50F7B9">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锅炉烟气</w:t>
                  </w:r>
                </w:p>
              </w:tc>
              <w:tc>
                <w:tcPr>
                  <w:tcW w:w="726" w:type="dxa"/>
                  <w:tcBorders>
                    <w:tl2br w:val="nil"/>
                    <w:tr2bl w:val="nil"/>
                  </w:tcBorders>
                  <w:vAlign w:val="center"/>
                </w:tcPr>
                <w:p w14:paraId="663C5A1C">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二氧化硫</w:t>
                  </w:r>
                </w:p>
              </w:tc>
              <w:tc>
                <w:tcPr>
                  <w:tcW w:w="1574" w:type="dxa"/>
                  <w:tcBorders>
                    <w:tl2br w:val="nil"/>
                    <w:tr2bl w:val="nil"/>
                  </w:tcBorders>
                  <w:vAlign w:val="center"/>
                </w:tcPr>
                <w:p w14:paraId="3459BF36">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石灰石/石灰-石膏法、钠碱法、双碱法、氨法、氧化镁法、烟气循环流化床法、喷雾干燥法、炉内喷钙法、密相干塔法、其他</w:t>
                  </w:r>
                </w:p>
              </w:tc>
              <w:tc>
                <w:tcPr>
                  <w:tcW w:w="2353" w:type="dxa"/>
                  <w:tcBorders>
                    <w:tl2br w:val="nil"/>
                    <w:tr2bl w:val="nil"/>
                  </w:tcBorders>
                  <w:vAlign w:val="center"/>
                </w:tcPr>
                <w:p w14:paraId="720948B1">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本项目燃料为生物质颗粒燃料，其含硫量为0.0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%，硫含量低，根据计算，</w:t>
                  </w:r>
                  <w:r>
                    <w:rPr>
                      <w:bCs/>
                      <w:color w:val="000000" w:themeColor="text1"/>
                      <w:kern w:val="0"/>
                      <w:szCs w:val="21"/>
                      <w:lang w:bidi="ar"/>
                      <w14:textFill>
                        <w14:solidFill>
                          <w14:schemeClr w14:val="tx1"/>
                        </w14:solidFill>
                      </w14:textFill>
                    </w:rPr>
                    <w:t>SO</w:t>
                  </w:r>
                  <w:r>
                    <w:rPr>
                      <w:bCs/>
                      <w:color w:val="000000" w:themeColor="text1"/>
                      <w:kern w:val="0"/>
                      <w:szCs w:val="21"/>
                      <w:vertAlign w:val="subscript"/>
                      <w:lang w:bidi="ar"/>
                      <w14:textFill>
                        <w14:solidFill>
                          <w14:schemeClr w14:val="tx1"/>
                        </w14:solidFill>
                      </w14:textFill>
                    </w:rPr>
                    <w:t>2</w:t>
                  </w:r>
                  <w:r>
                    <w:rPr>
                      <w:color w:val="000000" w:themeColor="text1"/>
                      <w:szCs w:val="21"/>
                      <w14:textFill>
                        <w14:solidFill>
                          <w14:schemeClr w14:val="tx1"/>
                        </w14:solidFill>
                      </w14:textFill>
                    </w:rPr>
                    <w:t>排放浓度满足《锅炉大气污染物排放标准》（GB13271-2014）表2新建锅炉大气污染物排放浓度限值（SO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≤300mg/m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928" w:type="dxa"/>
                  <w:tcBorders>
                    <w:tl2br w:val="nil"/>
                    <w:tr2bl w:val="nil"/>
                  </w:tcBorders>
                  <w:vAlign w:val="center"/>
                </w:tcPr>
                <w:p w14:paraId="6936927A">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是</w:t>
                  </w:r>
                </w:p>
                <w:p w14:paraId="6D9E4CFA">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c>
                <w:tcPr>
                  <w:tcW w:w="774" w:type="dxa"/>
                  <w:vMerge w:val="restart"/>
                  <w:tcBorders>
                    <w:tl2br w:val="nil"/>
                    <w:tr2bl w:val="nil"/>
                  </w:tcBorders>
                  <w:vAlign w:val="center"/>
                </w:tcPr>
                <w:p w14:paraId="6CFBF9EB">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《排污许可证申请与核发技术规范锅炉》(HJ953-2018)</w:t>
                  </w:r>
                </w:p>
              </w:tc>
            </w:tr>
            <w:tr w14:paraId="3EEA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473" w:type="dxa"/>
                  <w:vMerge w:val="continue"/>
                  <w:tcBorders>
                    <w:tl2br w:val="nil"/>
                    <w:tr2bl w:val="nil"/>
                  </w:tcBorders>
                  <w:vAlign w:val="center"/>
                </w:tcPr>
                <w:p w14:paraId="0320594B">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p>
              </w:tc>
              <w:tc>
                <w:tcPr>
                  <w:tcW w:w="710" w:type="dxa"/>
                  <w:vMerge w:val="continue"/>
                  <w:tcBorders>
                    <w:tl2br w:val="nil"/>
                    <w:tr2bl w:val="nil"/>
                  </w:tcBorders>
                  <w:vAlign w:val="center"/>
                </w:tcPr>
                <w:p w14:paraId="0B0E36AA">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p>
              </w:tc>
              <w:tc>
                <w:tcPr>
                  <w:tcW w:w="726" w:type="dxa"/>
                  <w:tcBorders>
                    <w:tl2br w:val="nil"/>
                    <w:tr2bl w:val="nil"/>
                  </w:tcBorders>
                  <w:vAlign w:val="center"/>
                </w:tcPr>
                <w:p w14:paraId="3B53D5E0">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氮氧化物</w:t>
                  </w:r>
                </w:p>
              </w:tc>
              <w:tc>
                <w:tcPr>
                  <w:tcW w:w="1574" w:type="dxa"/>
                  <w:tcBorders>
                    <w:tl2br w:val="nil"/>
                    <w:tr2bl w:val="nil"/>
                  </w:tcBorders>
                  <w:vAlign w:val="center"/>
                </w:tcPr>
                <w:p w14:paraId="1A40D31A">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低氮燃烧、SNCR法、SNCR-SCR 联合脱硝、SCR 法、其他</w:t>
                  </w:r>
                </w:p>
              </w:tc>
              <w:tc>
                <w:tcPr>
                  <w:tcW w:w="2353" w:type="dxa"/>
                  <w:tcBorders>
                    <w:tl2br w:val="nil"/>
                    <w:tr2bl w:val="nil"/>
                  </w:tcBorders>
                  <w:vAlign w:val="center"/>
                </w:tcPr>
                <w:p w14:paraId="43EF43BE">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低氮燃烧技术</w:t>
                  </w:r>
                </w:p>
              </w:tc>
              <w:tc>
                <w:tcPr>
                  <w:tcW w:w="928" w:type="dxa"/>
                  <w:tcBorders>
                    <w:tl2br w:val="nil"/>
                    <w:tr2bl w:val="nil"/>
                  </w:tcBorders>
                  <w:vAlign w:val="center"/>
                </w:tcPr>
                <w:p w14:paraId="4D06ABCF">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是</w:t>
                  </w:r>
                </w:p>
                <w:p w14:paraId="13FA1199">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c>
                <w:tcPr>
                  <w:tcW w:w="774" w:type="dxa"/>
                  <w:vMerge w:val="continue"/>
                  <w:tcBorders>
                    <w:tl2br w:val="nil"/>
                    <w:tr2bl w:val="nil"/>
                  </w:tcBorders>
                  <w:vAlign w:val="center"/>
                </w:tcPr>
                <w:p w14:paraId="7B81D58C">
                  <w:pPr>
                    <w:tabs>
                      <w:tab w:val="left" w:pos="720"/>
                    </w:tabs>
                    <w:autoSpaceDE w:val="0"/>
                    <w:autoSpaceDN w:val="0"/>
                    <w:spacing w:line="300" w:lineRule="exact"/>
                    <w:jc w:val="center"/>
                    <w:rPr>
                      <w:color w:val="000000" w:themeColor="text1"/>
                      <w:szCs w:val="21"/>
                      <w14:textFill>
                        <w14:solidFill>
                          <w14:schemeClr w14:val="tx1"/>
                        </w14:solidFill>
                      </w14:textFill>
                    </w:rPr>
                  </w:pPr>
                </w:p>
              </w:tc>
            </w:tr>
            <w:tr w14:paraId="168F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73" w:type="dxa"/>
                  <w:vMerge w:val="continue"/>
                  <w:tcBorders>
                    <w:tl2br w:val="nil"/>
                    <w:tr2bl w:val="nil"/>
                  </w:tcBorders>
                  <w:vAlign w:val="center"/>
                </w:tcPr>
                <w:p w14:paraId="3F92C6DE">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p>
              </w:tc>
              <w:tc>
                <w:tcPr>
                  <w:tcW w:w="710" w:type="dxa"/>
                  <w:vMerge w:val="continue"/>
                  <w:tcBorders>
                    <w:tl2br w:val="nil"/>
                    <w:tr2bl w:val="nil"/>
                  </w:tcBorders>
                  <w:vAlign w:val="center"/>
                </w:tcPr>
                <w:p w14:paraId="7CE40DE8">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p>
              </w:tc>
              <w:tc>
                <w:tcPr>
                  <w:tcW w:w="726" w:type="dxa"/>
                  <w:tcBorders>
                    <w:tl2br w:val="nil"/>
                    <w:tr2bl w:val="nil"/>
                  </w:tcBorders>
                  <w:vAlign w:val="center"/>
                </w:tcPr>
                <w:p w14:paraId="53F686A0">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574" w:type="dxa"/>
                  <w:tcBorders>
                    <w:tl2br w:val="nil"/>
                    <w:tr2bl w:val="nil"/>
                  </w:tcBorders>
                  <w:shd w:val="clear" w:color="auto" w:fill="auto"/>
                  <w:vAlign w:val="center"/>
                </w:tcPr>
                <w:p w14:paraId="33978004">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袋式除尘器、旋风除尘器、旋风除尘器+袋式除 尘器、其他</w:t>
                  </w:r>
                </w:p>
              </w:tc>
              <w:tc>
                <w:tcPr>
                  <w:tcW w:w="2353" w:type="dxa"/>
                  <w:tcBorders>
                    <w:tl2br w:val="nil"/>
                    <w:tr2bl w:val="nil"/>
                  </w:tcBorders>
                  <w:shd w:val="clear" w:color="auto" w:fill="auto"/>
                  <w:vAlign w:val="center"/>
                </w:tcPr>
                <w:p w14:paraId="5616F5C4">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水喷淋塔</w:t>
                  </w:r>
                </w:p>
              </w:tc>
              <w:tc>
                <w:tcPr>
                  <w:tcW w:w="928" w:type="dxa"/>
                  <w:tcBorders>
                    <w:tl2br w:val="nil"/>
                    <w:tr2bl w:val="nil"/>
                  </w:tcBorders>
                  <w:vAlign w:val="center"/>
                </w:tcPr>
                <w:p w14:paraId="49DF31A6">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是</w:t>
                  </w:r>
                </w:p>
                <w:p w14:paraId="12809828">
                  <w:pPr>
                    <w:tabs>
                      <w:tab w:val="left" w:pos="720"/>
                    </w:tabs>
                    <w:autoSpaceDE w:val="0"/>
                    <w:autoSpaceDN w:val="0"/>
                    <w:spacing w:line="300" w:lineRule="exact"/>
                    <w:ind w:left="-84" w:leftChars="-40" w:right="-84" w:rightChar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c>
                <w:tcPr>
                  <w:tcW w:w="774" w:type="dxa"/>
                  <w:vMerge w:val="continue"/>
                  <w:tcBorders>
                    <w:tl2br w:val="nil"/>
                    <w:tr2bl w:val="nil"/>
                  </w:tcBorders>
                  <w:vAlign w:val="center"/>
                </w:tcPr>
                <w:p w14:paraId="6A59EAC1">
                  <w:pPr>
                    <w:tabs>
                      <w:tab w:val="left" w:pos="720"/>
                    </w:tabs>
                    <w:autoSpaceDE w:val="0"/>
                    <w:autoSpaceDN w:val="0"/>
                    <w:spacing w:line="300" w:lineRule="exact"/>
                    <w:jc w:val="center"/>
                    <w:rPr>
                      <w:color w:val="000000" w:themeColor="text1"/>
                      <w:szCs w:val="21"/>
                      <w14:textFill>
                        <w14:solidFill>
                          <w14:schemeClr w14:val="tx1"/>
                        </w14:solidFill>
                      </w14:textFill>
                    </w:rPr>
                  </w:pPr>
                </w:p>
              </w:tc>
            </w:tr>
          </w:tbl>
          <w:p w14:paraId="3867D983">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综上，因此本项目采用喷淋塔除尘，属于技术规范和</w:t>
            </w:r>
            <w:r>
              <w:rPr>
                <w:color w:val="000000" w:themeColor="text1"/>
                <w:sz w:val="24"/>
                <w14:textFill>
                  <w14:solidFill>
                    <w14:schemeClr w14:val="tx1"/>
                  </w14:solidFill>
                </w14:textFill>
              </w:rPr>
              <w:t>排放源统计调查产排污核算方法和系数手册</w:t>
            </w:r>
            <w:r>
              <w:rPr>
                <w:rFonts w:hint="eastAsia"/>
                <w:color w:val="000000" w:themeColor="text1"/>
                <w:sz w:val="24"/>
                <w14:textFill>
                  <w14:solidFill>
                    <w14:schemeClr w14:val="tx1"/>
                  </w14:solidFill>
                </w14:textFill>
              </w:rPr>
              <w:t>中推荐的可行性技术措施。</w:t>
            </w:r>
          </w:p>
          <w:p w14:paraId="5176AC44">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综上，本项目的废气处理设施是可行的，能满足项目废气稳定达标排放的要求。</w:t>
            </w:r>
          </w:p>
          <w:p w14:paraId="64C2A636">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废气治理措施路线见图</w:t>
            </w:r>
            <w:r>
              <w:rPr>
                <w:rFonts w:hint="eastAsia"/>
                <w:color w:val="000000" w:themeColor="text1"/>
                <w:sz w:val="24"/>
                <w14:textFill>
                  <w14:solidFill>
                    <w14:schemeClr w14:val="tx1"/>
                  </w14:solidFill>
                </w14:textFill>
              </w:rPr>
              <w:t>4-1</w:t>
            </w:r>
          </w:p>
          <w:p w14:paraId="5D92D521">
            <w:pPr>
              <w:pStyle w:val="2"/>
              <w:ind w:firstLine="480"/>
            </w:pPr>
          </w:p>
          <w:p w14:paraId="607D651B"/>
          <w:p w14:paraId="275FA108">
            <w:pPr>
              <w:pStyle w:val="2"/>
              <w:ind w:firstLine="480"/>
            </w:pPr>
          </w:p>
          <w:p w14:paraId="27F59673"/>
          <w:p w14:paraId="01CA33BA">
            <w:pPr>
              <w:pStyle w:val="2"/>
              <w:ind w:firstLine="480"/>
            </w:pPr>
          </w:p>
          <w:p w14:paraId="3A7FF61D"/>
          <w:p w14:paraId="6CC5DC99">
            <w:pPr>
              <w:pStyle w:val="2"/>
              <w:ind w:firstLine="480"/>
            </w:pPr>
          </w:p>
          <w:p w14:paraId="3CFB6DF9">
            <w:r>
              <w:rPr>
                <w:szCs w:val="21"/>
              </w:rPr>
              <mc:AlternateContent>
                <mc:Choice Requires="wps">
                  <w:drawing>
                    <wp:anchor distT="0" distB="0" distL="114300" distR="114300" simplePos="0" relativeHeight="251666432" behindDoc="0" locked="0" layoutInCell="1" allowOverlap="1">
                      <wp:simplePos x="0" y="0"/>
                      <wp:positionH relativeFrom="column">
                        <wp:posOffset>732790</wp:posOffset>
                      </wp:positionH>
                      <wp:positionV relativeFrom="paragraph">
                        <wp:posOffset>116840</wp:posOffset>
                      </wp:positionV>
                      <wp:extent cx="1443355" cy="292100"/>
                      <wp:effectExtent l="0" t="0" r="4445" b="0"/>
                      <wp:wrapNone/>
                      <wp:docPr id="136584800" name="矩形 11"/>
                      <wp:cNvGraphicFramePr/>
                      <a:graphic xmlns:a="http://schemas.openxmlformats.org/drawingml/2006/main">
                        <a:graphicData uri="http://schemas.microsoft.com/office/word/2010/wordprocessingShape">
                          <wps:wsp>
                            <wps:cNvSpPr>
                              <a:spLocks noChangeArrowheads="1"/>
                            </wps:cNvSpPr>
                            <wps:spPr bwMode="auto">
                              <a:xfrm>
                                <a:off x="0" y="0"/>
                                <a:ext cx="1443355" cy="292100"/>
                              </a:xfrm>
                              <a:prstGeom prst="rect">
                                <a:avLst/>
                              </a:prstGeom>
                              <a:solidFill>
                                <a:srgbClr val="FFFFFF"/>
                              </a:solidFill>
                              <a:ln>
                                <a:noFill/>
                              </a:ln>
                            </wps:spPr>
                            <wps:txbx>
                              <w:txbxContent>
                                <w:p w14:paraId="7497E6B1">
                                  <w:pPr>
                                    <w:jc w:val="left"/>
                                  </w:pPr>
                                  <w:r>
                                    <w:rPr>
                                      <w:rFonts w:hint="eastAsia"/>
                                    </w:rPr>
                                    <w:t>颗粒物、S</w:t>
                                  </w:r>
                                  <w:r>
                                    <w:t>O</w:t>
                                  </w:r>
                                  <w:r>
                                    <w:rPr>
                                      <w:vertAlign w:val="subscript"/>
                                    </w:rPr>
                                    <w:t>2</w:t>
                                  </w:r>
                                  <w:r>
                                    <w:rPr>
                                      <w:rFonts w:hint="eastAsia"/>
                                    </w:rPr>
                                    <w:t>、</w:t>
                                  </w:r>
                                  <w:r>
                                    <w:t>NO</w:t>
                                  </w:r>
                                  <w:r>
                                    <w:rPr>
                                      <w:vertAlign w:val="subscript"/>
                                    </w:rPr>
                                    <w:t>X</w:t>
                                  </w:r>
                                </w:p>
                              </w:txbxContent>
                            </wps:txbx>
                            <wps:bodyPr rot="0" vert="horz" wrap="square" lIns="91440" tIns="45720" rIns="91440" bIns="45720" anchor="t" anchorCtr="0" upright="1">
                              <a:noAutofit/>
                            </wps:bodyPr>
                          </wps:wsp>
                        </a:graphicData>
                      </a:graphic>
                    </wp:anchor>
                  </w:drawing>
                </mc:Choice>
                <mc:Fallback>
                  <w:pict>
                    <v:rect id="矩形 11" o:spid="_x0000_s1026" o:spt="1" style="position:absolute;left:0pt;margin-left:57.7pt;margin-top:9.2pt;height:23pt;width:113.65pt;z-index:251666432;mso-width-relative:page;mso-height-relative:page;" fillcolor="#FFFFFF" filled="t" stroked="f" coordsize="21600,21600" o:gfxdata="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mEx2/XAAAACQEAAA8AAAAAAAAAAQAgAAAAIgAAAGRycy9kb3ducmV2LnhtbFBLAQIUABQAAAAI&#10;AIdO4kBzdHzsJwIAADoEAAAOAAAAAAAAAAEAIAAAACYBAABkcnMvZTJvRG9jLnhtbFBLBQYAAAAA&#10;BgAGAFkBAAC/BQAAAAA=&#10;">
                      <v:fill on="t" focussize="0,0"/>
                      <v:stroke on="f"/>
                      <v:imagedata o:title=""/>
                      <o:lock v:ext="edit" aspectratio="f"/>
                      <v:textbox>
                        <w:txbxContent>
                          <w:p w14:paraId="7497E6B1">
                            <w:pPr>
                              <w:jc w:val="left"/>
                            </w:pPr>
                            <w:r>
                              <w:rPr>
                                <w:rFonts w:hint="eastAsia"/>
                              </w:rPr>
                              <w:t>颗粒物、S</w:t>
                            </w:r>
                            <w:r>
                              <w:t>O</w:t>
                            </w:r>
                            <w:r>
                              <w:rPr>
                                <w:vertAlign w:val="subscript"/>
                              </w:rPr>
                              <w:t>2</w:t>
                            </w:r>
                            <w:r>
                              <w:rPr>
                                <w:rFonts w:hint="eastAsia"/>
                              </w:rPr>
                              <w:t>、</w:t>
                            </w:r>
                            <w:r>
                              <w:t>NO</w:t>
                            </w:r>
                            <w:r>
                              <w:rPr>
                                <w:vertAlign w:val="subscript"/>
                              </w:rPr>
                              <w:t>X</w:t>
                            </w:r>
                          </w:p>
                        </w:txbxContent>
                      </v:textbox>
                    </v:rect>
                  </w:pict>
                </mc:Fallback>
              </mc:AlternateContent>
            </w:r>
          </w:p>
          <w:p w14:paraId="45E5EB81">
            <w:pPr>
              <w:spacing w:line="360" w:lineRule="auto"/>
              <w:rPr>
                <w:szCs w:val="21"/>
              </w:rPr>
            </w:pPr>
          </w:p>
          <w:p w14:paraId="208885B0">
            <w:pPr>
              <w:snapToGrid w:val="0"/>
              <w:spacing w:line="360" w:lineRule="auto"/>
            </w:pPr>
            <w:r>
              <w:rPr>
                <w:b/>
                <w:bCs/>
              </w:rPr>
              <mc:AlternateContent>
                <mc:Choice Requires="wps">
                  <w:drawing>
                    <wp:anchor distT="0" distB="0" distL="114300" distR="114300" simplePos="0" relativeHeight="251661312" behindDoc="0" locked="0" layoutInCell="1" allowOverlap="1">
                      <wp:simplePos x="0" y="0"/>
                      <wp:positionH relativeFrom="column">
                        <wp:posOffset>3959225</wp:posOffset>
                      </wp:positionH>
                      <wp:positionV relativeFrom="paragraph">
                        <wp:posOffset>180975</wp:posOffset>
                      </wp:positionV>
                      <wp:extent cx="775335" cy="431800"/>
                      <wp:effectExtent l="0" t="0" r="24765" b="25400"/>
                      <wp:wrapNone/>
                      <wp:docPr id="1495152128" name="矩形 17"/>
                      <wp:cNvGraphicFramePr/>
                      <a:graphic xmlns:a="http://schemas.openxmlformats.org/drawingml/2006/main">
                        <a:graphicData uri="http://schemas.microsoft.com/office/word/2010/wordprocessingShape">
                          <wps:wsp>
                            <wps:cNvSpPr>
                              <a:spLocks noChangeArrowheads="1"/>
                            </wps:cNvSpPr>
                            <wps:spPr bwMode="auto">
                              <a:xfrm>
                                <a:off x="0" y="0"/>
                                <a:ext cx="775335" cy="431800"/>
                              </a:xfrm>
                              <a:prstGeom prst="rect">
                                <a:avLst/>
                              </a:prstGeom>
                              <a:solidFill>
                                <a:srgbClr val="FFFFFF"/>
                              </a:solidFill>
                              <a:ln w="9525">
                                <a:solidFill>
                                  <a:srgbClr val="000000"/>
                                </a:solidFill>
                                <a:miter lim="800000"/>
                              </a:ln>
                            </wps:spPr>
                            <wps:txbx>
                              <w:txbxContent>
                                <w:p w14:paraId="27E866BF">
                                  <w:r>
                                    <w:rPr>
                                      <w:rFonts w:hint="eastAsia"/>
                                    </w:rPr>
                                    <w:t>2</w:t>
                                  </w:r>
                                  <w:r>
                                    <w:t>5m</w:t>
                                  </w:r>
                                  <w:r>
                                    <w:rPr>
                                      <w:rFonts w:hint="eastAsia"/>
                                    </w:rPr>
                                    <w:t>排气筒D</w:t>
                                  </w:r>
                                  <w:r>
                                    <w:t>A00</w:t>
                                  </w:r>
                                  <w:r>
                                    <w:rPr>
                                      <w:rFonts w:hint="eastAsia"/>
                                    </w:rPr>
                                    <w:t>1</w:t>
                                  </w:r>
                                </w:p>
                                <w:p w14:paraId="19BA6CEE"/>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311.75pt;margin-top:14.25pt;height:34pt;width:61.05pt;z-index:251661312;mso-width-relative:page;mso-height-relative:page;" fillcolor="#FFFFFF" filled="t" stroked="t" coordsize="21600,21600" o:gfxdata="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0Ng3jZAAAACQEAAA8AAAAAAAAAAQAgAAAA&#10;IgAAAGRycy9kb3ducmV2LnhtbFBLAQIUABQAAAAIAIdO4kDQujzeQwIAAIMEAAAOAAAAAAAAAAEA&#10;IAAAACgBAABkcnMvZTJvRG9jLnhtbFBLBQYAAAAABgAGAFkBAADdBQAAAAA=&#10;">
                      <v:fill on="t" focussize="0,0"/>
                      <v:stroke color="#000000" miterlimit="8" joinstyle="miter"/>
                      <v:imagedata o:title=""/>
                      <o:lock v:ext="edit" aspectratio="f"/>
                      <v:textbox>
                        <w:txbxContent>
                          <w:p w14:paraId="27E866BF">
                            <w:r>
                              <w:rPr>
                                <w:rFonts w:hint="eastAsia"/>
                              </w:rPr>
                              <w:t>2</w:t>
                            </w:r>
                            <w:r>
                              <w:t>5m</w:t>
                            </w:r>
                            <w:r>
                              <w:rPr>
                                <w:rFonts w:hint="eastAsia"/>
                              </w:rPr>
                              <w:t>排气筒D</w:t>
                            </w:r>
                            <w:r>
                              <w:t>A00</w:t>
                            </w:r>
                            <w:r>
                              <w:rPr>
                                <w:rFonts w:hint="eastAsia"/>
                              </w:rPr>
                              <w:t>1</w:t>
                            </w:r>
                          </w:p>
                          <w:p w14:paraId="19BA6CEE"/>
                        </w:txbxContent>
                      </v:textbox>
                    </v:rect>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2591435</wp:posOffset>
                      </wp:positionH>
                      <wp:positionV relativeFrom="paragraph">
                        <wp:posOffset>221615</wp:posOffset>
                      </wp:positionV>
                      <wp:extent cx="1023620" cy="342900"/>
                      <wp:effectExtent l="8255" t="10160" r="6350" b="8890"/>
                      <wp:wrapNone/>
                      <wp:docPr id="646177877" name="矩形 18"/>
                      <wp:cNvGraphicFramePr/>
                      <a:graphic xmlns:a="http://schemas.openxmlformats.org/drawingml/2006/main">
                        <a:graphicData uri="http://schemas.microsoft.com/office/word/2010/wordprocessingShape">
                          <wps:wsp>
                            <wps:cNvSpPr>
                              <a:spLocks noChangeArrowheads="1"/>
                            </wps:cNvSpPr>
                            <wps:spPr bwMode="auto">
                              <a:xfrm>
                                <a:off x="0" y="0"/>
                                <a:ext cx="1023620" cy="342900"/>
                              </a:xfrm>
                              <a:prstGeom prst="rect">
                                <a:avLst/>
                              </a:prstGeom>
                              <a:solidFill>
                                <a:srgbClr val="FFFFFF"/>
                              </a:solidFill>
                              <a:ln w="9525">
                                <a:solidFill>
                                  <a:srgbClr val="000000"/>
                                </a:solidFill>
                                <a:miter lim="800000"/>
                              </a:ln>
                            </wps:spPr>
                            <wps:txbx>
                              <w:txbxContent>
                                <w:p w14:paraId="65A93FE0">
                                  <w:pPr>
                                    <w:rPr>
                                      <w:color w:val="FF0000"/>
                                    </w:rPr>
                                  </w:pPr>
                                  <w:r>
                                    <w:rPr>
                                      <w:rFonts w:hint="eastAsia"/>
                                    </w:rPr>
                                    <w:t>水喷淋塔装置</w:t>
                                  </w:r>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204.05pt;margin-top:17.45pt;height:27pt;width:80.6pt;z-index:251664384;mso-width-relative:page;mso-height-relative:page;" fillcolor="#FFFFFF" filled="t" stroked="t" coordsize="21600,21600" o:gfxdata="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NcnXYAAAACQEAAA8AAAAAAAAAAQAgAAAAIgAA&#10;AGRycy9kb3ducmV2LnhtbFBLAQIUABQAAAAIAIdO4kClP69kQQIAAIMEAAAOAAAAAAAAAAEAIAAA&#10;ACcBAABkcnMvZTJvRG9jLnhtbFBLBQYAAAAABgAGAFkBAADaBQAAAAA=&#10;">
                      <v:fill on="t" focussize="0,0"/>
                      <v:stroke color="#000000" miterlimit="8" joinstyle="miter"/>
                      <v:imagedata o:title=""/>
                      <o:lock v:ext="edit" aspectratio="f"/>
                      <v:textbox>
                        <w:txbxContent>
                          <w:p w14:paraId="65A93FE0">
                            <w:pPr>
                              <w:rPr>
                                <w:color w:val="FF0000"/>
                              </w:rPr>
                            </w:pPr>
                            <w:r>
                              <w:rPr>
                                <w:rFonts w:hint="eastAsia"/>
                              </w:rPr>
                              <w:t>水喷淋塔装置</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134620</wp:posOffset>
                      </wp:positionV>
                      <wp:extent cx="980440" cy="633095"/>
                      <wp:effectExtent l="0" t="0" r="10160" b="14605"/>
                      <wp:wrapNone/>
                      <wp:docPr id="1964464465" name="矩形 16"/>
                      <wp:cNvGraphicFramePr/>
                      <a:graphic xmlns:a="http://schemas.openxmlformats.org/drawingml/2006/main">
                        <a:graphicData uri="http://schemas.microsoft.com/office/word/2010/wordprocessingShape">
                          <wps:wsp>
                            <wps:cNvSpPr>
                              <a:spLocks noChangeArrowheads="1"/>
                            </wps:cNvSpPr>
                            <wps:spPr bwMode="auto">
                              <a:xfrm>
                                <a:off x="0" y="0"/>
                                <a:ext cx="980440" cy="633095"/>
                              </a:xfrm>
                              <a:prstGeom prst="rect">
                                <a:avLst/>
                              </a:prstGeom>
                              <a:solidFill>
                                <a:srgbClr val="FFFFFF"/>
                              </a:solidFill>
                              <a:ln w="9525">
                                <a:solidFill>
                                  <a:srgbClr val="000000"/>
                                </a:solidFill>
                                <a:miter lim="800000"/>
                              </a:ln>
                            </wps:spPr>
                            <wps:txbx>
                              <w:txbxContent>
                                <w:p w14:paraId="12D95BCB">
                                  <w:r>
                                    <w:rPr>
                                      <w:rFonts w:hint="eastAsia"/>
                                    </w:rPr>
                                    <w:t>生物质蒸汽发生器燃烧废气</w:t>
                                  </w:r>
                                </w:p>
                              </w:txbxContent>
                            </wps:txbx>
                            <wps:bodyPr rot="0" vert="horz" wrap="square" lIns="91440" tIns="45720" rIns="91440" bIns="45720" anchor="t" anchorCtr="0" upright="1">
                              <a:noAutofit/>
                            </wps:bodyPr>
                          </wps:wsp>
                        </a:graphicData>
                      </a:graphic>
                    </wp:anchor>
                  </w:drawing>
                </mc:Choice>
                <mc:Fallback>
                  <w:pict>
                    <v:rect id="矩形 16" o:spid="_x0000_s1026" o:spt="1" style="position:absolute;left:0pt;margin-left:4.5pt;margin-top:10.6pt;height:49.85pt;width:77.2pt;z-index:251659264;mso-width-relative:page;mso-height-relative:page;" fillcolor="#FFFFFF" filled="t" stroked="t" coordsize="21600,21600" o:gfxdata="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XArADWAAAACAEAAA8AAAAAAAAAAQAgAAAAIgAAAGRycy9k&#10;b3ducmV2LnhtbFBLAQIUABQAAAAIAIdO4kBXpsLiPQIAAIMEAAAOAAAAAAAAAAEAIAAAACUBAABk&#10;cnMvZTJvRG9jLnhtbFBLBQYAAAAABgAGAFkBAADUBQAAAAA=&#10;">
                      <v:fill on="t" focussize="0,0"/>
                      <v:stroke color="#000000" miterlimit="8" joinstyle="miter"/>
                      <v:imagedata o:title=""/>
                      <o:lock v:ext="edit" aspectratio="f"/>
                      <v:textbox>
                        <w:txbxContent>
                          <w:p w14:paraId="12D95BCB">
                            <w:r>
                              <w:rPr>
                                <w:rFonts w:hint="eastAsia"/>
                              </w:rPr>
                              <w:t>生物质蒸汽发生器燃烧废气</w:t>
                            </w:r>
                          </w:p>
                        </w:txbxContent>
                      </v:textbox>
                    </v:rect>
                  </w:pict>
                </mc:Fallback>
              </mc:AlternateContent>
            </w:r>
          </w:p>
          <w:p w14:paraId="307D71E7">
            <w:pPr>
              <w:snapToGrid w:val="0"/>
              <w:spacing w:line="360" w:lineRule="auto"/>
              <w:ind w:firstLine="420" w:firstLineChars="200"/>
            </w:pPr>
            <w:r>
              <w:rPr>
                <w:szCs w:val="21"/>
              </w:rPr>
              <mc:AlternateContent>
                <mc:Choice Requires="wps">
                  <w:drawing>
                    <wp:anchor distT="0" distB="0" distL="114300" distR="114300" simplePos="0" relativeHeight="251665408" behindDoc="0" locked="0" layoutInCell="1" allowOverlap="1">
                      <wp:simplePos x="0" y="0"/>
                      <wp:positionH relativeFrom="column">
                        <wp:posOffset>3609975</wp:posOffset>
                      </wp:positionH>
                      <wp:positionV relativeFrom="paragraph">
                        <wp:posOffset>154305</wp:posOffset>
                      </wp:positionV>
                      <wp:extent cx="334010" cy="635"/>
                      <wp:effectExtent l="10160" t="53975" r="17780" b="59690"/>
                      <wp:wrapNone/>
                      <wp:docPr id="2038604117"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334010" cy="63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15" o:spid="_x0000_s1026" o:spt="32" type="#_x0000_t32" style="position:absolute;left:0pt;margin-left:284.25pt;margin-top:12.15pt;height:0.05pt;width:26.3pt;z-index:251665408;mso-width-relative:page;mso-height-relative:page;" filled="f" stroked="t" coordsize="21600,21600" o:gfxdata="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5xnBdoAAAAJ&#10;AQAADwAAAAAAAAABACAAAAAiAAAAZHJzL2Rvd25yZXYueG1sUEsBAhQAFAAAAAgAh07iQFfEUEAa&#10;AgAA9wMAAA4AAAAAAAAAAQAgAAAAKQEAAGRycy9lMm9Eb2MueG1sUEsFBgAAAAAGAAYAWQEAALUF&#10;AAAAAA==&#10;">
                      <v:fill on="f" focussize="0,0"/>
                      <v:stroke color="#000000" joinstyle="round" endarrow="block"/>
                      <v:imagedata o:title=""/>
                      <o:lock v:ext="edit" aspectratio="f"/>
                    </v:shape>
                  </w:pict>
                </mc:Fallback>
              </mc:AlternateContent>
            </w:r>
            <w:r>
              <w:rPr>
                <w:b/>
                <w:bCs/>
              </w:rPr>
              <mc:AlternateContent>
                <mc:Choice Requires="wps">
                  <w:drawing>
                    <wp:anchor distT="0" distB="0" distL="114300" distR="114300" simplePos="0" relativeHeight="251663360" behindDoc="0" locked="0" layoutInCell="1" allowOverlap="1">
                      <wp:simplePos x="0" y="0"/>
                      <wp:positionH relativeFrom="column">
                        <wp:posOffset>2310765</wp:posOffset>
                      </wp:positionH>
                      <wp:positionV relativeFrom="paragraph">
                        <wp:posOffset>172720</wp:posOffset>
                      </wp:positionV>
                      <wp:extent cx="255270" cy="0"/>
                      <wp:effectExtent l="10795" t="60325" r="19685" b="53975"/>
                      <wp:wrapNone/>
                      <wp:docPr id="1213935981"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4" o:spid="_x0000_s1026" o:spt="32" type="#_x0000_t32" style="position:absolute;left:0pt;margin-left:181.95pt;margin-top:13.6pt;height:0pt;width:20.1pt;z-index:251663360;mso-width-relative:page;mso-height-relative:page;" filled="f" stroked="t" coordsize="21600,21600" o:gfxdata="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J6dezZAAAA&#10;CQEAAA8AAAAAAAAAAQAgAAAAIgAAAGRycy9kb3ducmV2LnhtbFBLAQIUABQAAAAIAIdO4kCWApAV&#10;HAIAAAMEAAAOAAAAAAAAAAEAIAAAACgBAABkcnMvZTJvRG9jLnhtbFBLBQYAAAAABgAGAFkBAAC2&#10;BQAAAAA=&#10;">
                      <v:fill on="f" focussize="0,0"/>
                      <v:stroke color="#000000" joinstyle="round" endarrow="block"/>
                      <v:imagedata o:title=""/>
                      <o:lock v:ext="edit" aspectratio="f"/>
                    </v:shape>
                  </w:pict>
                </mc:Fallback>
              </mc:AlternateContent>
            </w:r>
            <w:r>
              <w:rPr>
                <w:b/>
                <w:bCs/>
              </w:rPr>
              <mc:AlternateContent>
                <mc:Choice Requires="wps">
                  <w:drawing>
                    <wp:anchor distT="0" distB="0" distL="114300" distR="114300" simplePos="0" relativeHeight="251660288" behindDoc="0" locked="0" layoutInCell="1" allowOverlap="1">
                      <wp:simplePos x="0" y="0"/>
                      <wp:positionH relativeFrom="column">
                        <wp:posOffset>1409065</wp:posOffset>
                      </wp:positionH>
                      <wp:positionV relativeFrom="paragraph">
                        <wp:posOffset>35560</wp:posOffset>
                      </wp:positionV>
                      <wp:extent cx="899160" cy="271145"/>
                      <wp:effectExtent l="5715" t="10795" r="9525" b="13335"/>
                      <wp:wrapNone/>
                      <wp:docPr id="1499689187" name="矩形 13"/>
                      <wp:cNvGraphicFramePr/>
                      <a:graphic xmlns:a="http://schemas.openxmlformats.org/drawingml/2006/main">
                        <a:graphicData uri="http://schemas.microsoft.com/office/word/2010/wordprocessingShape">
                          <wps:wsp>
                            <wps:cNvSpPr>
                              <a:spLocks noChangeArrowheads="1"/>
                            </wps:cNvSpPr>
                            <wps:spPr bwMode="auto">
                              <a:xfrm>
                                <a:off x="0" y="0"/>
                                <a:ext cx="899160" cy="271145"/>
                              </a:xfrm>
                              <a:prstGeom prst="rect">
                                <a:avLst/>
                              </a:prstGeom>
                              <a:solidFill>
                                <a:srgbClr val="FFFFFF"/>
                              </a:solidFill>
                              <a:ln w="9525">
                                <a:solidFill>
                                  <a:srgbClr val="000000"/>
                                </a:solidFill>
                                <a:miter lim="800000"/>
                              </a:ln>
                            </wps:spPr>
                            <wps:txbx>
                              <w:txbxContent>
                                <w:p w14:paraId="0BBDC089">
                                  <w:pPr>
                                    <w:rPr>
                                      <w:color w:val="FF0000"/>
                                    </w:rPr>
                                  </w:pPr>
                                  <w:r>
                                    <w:rPr>
                                      <w:rFonts w:hint="eastAsia"/>
                                    </w:rPr>
                                    <w:t>集气管道</w:t>
                                  </w:r>
                                </w:p>
                              </w:txbxContent>
                            </wps:txbx>
                            <wps:bodyPr rot="0" vert="horz" wrap="square" lIns="91440" tIns="45720" rIns="91440" bIns="45720" anchor="t" anchorCtr="0" upright="1">
                              <a:noAutofit/>
                            </wps:bodyPr>
                          </wps:wsp>
                        </a:graphicData>
                      </a:graphic>
                    </wp:anchor>
                  </w:drawing>
                </mc:Choice>
                <mc:Fallback>
                  <w:pict>
                    <v:rect id="矩形 13" o:spid="_x0000_s1026" o:spt="1" style="position:absolute;left:0pt;margin-left:110.95pt;margin-top:2.8pt;height:21.35pt;width:70.8pt;z-index:251660288;mso-width-relative:page;mso-height-relative:page;" fillcolor="#FFFFFF" filled="t" stroked="t" coordsize="21600,21600" o:gfxdata="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pI091wAAAAgBAAAPAAAAAAAAAAEAIAAAACIAAABk&#10;cnMvZG93bnJldi54bWxQSwECFAAUAAAACACHTuJAq41Ob0ACAACDBAAADgAAAAAAAAABACAAAAAm&#10;AQAAZHJzL2Uyb0RvYy54bWxQSwUGAAAAAAYABgBZAQAA2AUAAAAA&#10;">
                      <v:fill on="t" focussize="0,0"/>
                      <v:stroke color="#000000" miterlimit="8" joinstyle="miter"/>
                      <v:imagedata o:title=""/>
                      <o:lock v:ext="edit" aspectratio="f"/>
                      <v:textbox>
                        <w:txbxContent>
                          <w:p w14:paraId="0BBDC089">
                            <w:pPr>
                              <w:rPr>
                                <w:color w:val="FF0000"/>
                              </w:rPr>
                            </w:pPr>
                            <w:r>
                              <w:rPr>
                                <w:rFonts w:hint="eastAsia"/>
                              </w:rPr>
                              <w:t>集气管道</w:t>
                            </w:r>
                          </w:p>
                        </w:txbxContent>
                      </v:textbox>
                    </v:rect>
                  </w:pict>
                </mc:Fallback>
              </mc:AlternateContent>
            </w:r>
            <w:r>
              <w:rPr>
                <w:b/>
                <w:bCs/>
              </w:rPr>
              <mc:AlternateContent>
                <mc:Choice Requires="wps">
                  <w:drawing>
                    <wp:anchor distT="0" distB="0" distL="114300" distR="114300" simplePos="0" relativeHeight="251662336" behindDoc="0" locked="0" layoutInCell="1" allowOverlap="1">
                      <wp:simplePos x="0" y="0"/>
                      <wp:positionH relativeFrom="column">
                        <wp:posOffset>1026160</wp:posOffset>
                      </wp:positionH>
                      <wp:positionV relativeFrom="paragraph">
                        <wp:posOffset>169545</wp:posOffset>
                      </wp:positionV>
                      <wp:extent cx="376555" cy="635"/>
                      <wp:effectExtent l="7620" t="52705" r="15875" b="60960"/>
                      <wp:wrapNone/>
                      <wp:docPr id="2067058502" name="连接符: 肘形 12"/>
                      <wp:cNvGraphicFramePr/>
                      <a:graphic xmlns:a="http://schemas.openxmlformats.org/drawingml/2006/main">
                        <a:graphicData uri="http://schemas.microsoft.com/office/word/2010/wordprocessingShape">
                          <wps:wsp>
                            <wps:cNvCnPr>
                              <a:cxnSpLocks noChangeShapeType="1"/>
                            </wps:cNvCnPr>
                            <wps:spPr bwMode="auto">
                              <a:xfrm>
                                <a:off x="0" y="0"/>
                                <a:ext cx="376555" cy="635"/>
                              </a:xfrm>
                              <a:prstGeom prst="bentConnector3">
                                <a:avLst>
                                  <a:gd name="adj1" fmla="val 49917"/>
                                </a:avLst>
                              </a:prstGeom>
                              <a:noFill/>
                              <a:ln w="9525">
                                <a:solidFill>
                                  <a:srgbClr val="000000"/>
                                </a:solidFill>
                                <a:miter lim="800000"/>
                                <a:tailEnd type="triangle" w="med" len="med"/>
                              </a:ln>
                              <a:effectLst/>
                            </wps:spPr>
                            <wps:bodyPr/>
                          </wps:wsp>
                        </a:graphicData>
                      </a:graphic>
                    </wp:anchor>
                  </w:drawing>
                </mc:Choice>
                <mc:Fallback>
                  <w:pict>
                    <v:shape id="连接符: 肘形 12" o:spid="_x0000_s1026" o:spt="34" type="#_x0000_t34" style="position:absolute;left:0pt;margin-left:80.8pt;margin-top:13.35pt;height:0.05pt;width:29.65pt;z-index:251662336;mso-width-relative:page;mso-height-relative:page;" filled="f" stroked="t" coordsize="21600,21600" o:gfxdata="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gV/oNQAAAAJAQAADwAAAAAAAAABACAAAAAiAAAAZHJzL2Rvd25yZXYu&#10;eG1sUEsBAhQAFAAAAAgAh07iQLvM8qA4AgAANwQAAA4AAAAAAAAAAQAgAAAAIwEAAGRycy9lMm9E&#10;b2MueG1sUEsFBgAAAAAGAAYAWQEAAM0FAAAAAA==&#10;" adj="10782">
                      <v:fill on="f" focussize="0,0"/>
                      <v:stroke color="#000000" miterlimit="8" joinstyle="miter" endarrow="block"/>
                      <v:imagedata o:title=""/>
                      <o:lock v:ext="edit" aspectratio="f"/>
                    </v:shape>
                  </w:pict>
                </mc:Fallback>
              </mc:AlternateContent>
            </w:r>
          </w:p>
          <w:p w14:paraId="578770E6">
            <w:pPr>
              <w:adjustRightInd w:val="0"/>
              <w:snapToGrid w:val="0"/>
              <w:spacing w:line="360" w:lineRule="auto"/>
              <w:rPr>
                <w:rFonts w:hint="eastAsia" w:ascii="宋体" w:hAnsi="宋体"/>
                <w:szCs w:val="21"/>
              </w:rPr>
            </w:pPr>
          </w:p>
          <w:p w14:paraId="02031A6D">
            <w:pPr>
              <w:adjustRightInd w:val="0"/>
              <w:snapToGrid w:val="0"/>
              <w:spacing w:line="360" w:lineRule="auto"/>
              <w:rPr>
                <w:rFonts w:hint="eastAsia" w:ascii="宋体" w:hAnsi="宋体"/>
                <w:szCs w:val="21"/>
              </w:rPr>
            </w:pPr>
          </w:p>
          <w:p w14:paraId="32019F87"/>
          <w:p w14:paraId="5F1D53E5">
            <w:pPr>
              <w:spacing w:line="360" w:lineRule="auto"/>
              <w:jc w:val="center"/>
              <w:rPr>
                <w:b/>
                <w:bCs/>
                <w:szCs w:val="21"/>
              </w:rPr>
            </w:pPr>
          </w:p>
          <w:p w14:paraId="0E501D06">
            <w:pPr>
              <w:spacing w:line="360" w:lineRule="auto"/>
              <w:jc w:val="center"/>
              <w:rPr>
                <w:b/>
                <w:bCs/>
                <w:szCs w:val="21"/>
              </w:rPr>
            </w:pPr>
            <w:r>
              <w:rPr>
                <w:b/>
                <w:bCs/>
                <w:szCs w:val="21"/>
              </w:rPr>
              <w:t>图</w:t>
            </w:r>
            <w:r>
              <w:rPr>
                <w:rFonts w:hint="eastAsia"/>
                <w:b/>
                <w:bCs/>
                <w:szCs w:val="21"/>
              </w:rPr>
              <w:t>4-1</w:t>
            </w:r>
            <w:r>
              <w:rPr>
                <w:b/>
                <w:bCs/>
                <w:szCs w:val="21"/>
              </w:rPr>
              <w:t xml:space="preserve"> 项目废气污染防治措施图</w:t>
            </w:r>
          </w:p>
          <w:bookmarkEnd w:id="8"/>
          <w:p w14:paraId="69B2799B">
            <w:pPr>
              <w:adjustRightInd w:val="0"/>
              <w:snapToGrid w:val="0"/>
              <w:spacing w:line="360" w:lineRule="auto"/>
              <w:ind w:firstLine="440" w:firstLineChars="200"/>
              <w:rPr>
                <w:bCs/>
                <w:spacing w:val="-10"/>
                <w:sz w:val="24"/>
              </w:rPr>
            </w:pPr>
          </w:p>
          <w:p w14:paraId="4EDEDA38">
            <w:pPr>
              <w:adjustRightInd w:val="0"/>
              <w:spacing w:line="360" w:lineRule="auto"/>
              <w:rPr>
                <w:b/>
                <w:bCs/>
                <w:sz w:val="24"/>
              </w:rPr>
            </w:pPr>
            <w:r>
              <w:rPr>
                <w:b/>
                <w:bCs/>
                <w:sz w:val="24"/>
              </w:rPr>
              <w:t>1.</w:t>
            </w:r>
            <w:bookmarkStart w:id="9" w:name="_Hlk99621044"/>
            <w:r>
              <w:rPr>
                <w:b/>
                <w:bCs/>
                <w:sz w:val="24"/>
              </w:rPr>
              <w:t>4</w:t>
            </w:r>
            <w:r>
              <w:rPr>
                <w:rFonts w:hint="eastAsia"/>
                <w:b/>
                <w:bCs/>
                <w:sz w:val="24"/>
              </w:rPr>
              <w:t>正常工况下废气达标分析</w:t>
            </w:r>
          </w:p>
          <w:p w14:paraId="56668709">
            <w:pPr>
              <w:adjustRightInd w:val="0"/>
              <w:spacing w:line="360" w:lineRule="auto"/>
              <w:ind w:firstLine="480" w:firstLineChars="200"/>
              <w:rPr>
                <w:b/>
                <w:szCs w:val="21"/>
              </w:rPr>
            </w:pPr>
            <w:r>
              <w:rPr>
                <w:sz w:val="24"/>
              </w:rPr>
              <w:t>本项目设有</w:t>
            </w:r>
            <w:r>
              <w:rPr>
                <w:rFonts w:hint="eastAsia"/>
                <w:sz w:val="24"/>
              </w:rPr>
              <w:t>1</w:t>
            </w:r>
            <w:r>
              <w:rPr>
                <w:sz w:val="24"/>
              </w:rPr>
              <w:t>根排气筒，排气筒污染物排放情况见表4-</w:t>
            </w:r>
            <w:r>
              <w:rPr>
                <w:rFonts w:hint="eastAsia"/>
                <w:sz w:val="24"/>
              </w:rPr>
              <w:t>5</w:t>
            </w:r>
            <w:r>
              <w:rPr>
                <w:sz w:val="24"/>
              </w:rPr>
              <w:t>，项目</w:t>
            </w:r>
            <w:r>
              <w:rPr>
                <w:rFonts w:hint="eastAsia"/>
                <w:sz w:val="24"/>
              </w:rPr>
              <w:t>蒸汽发生器产生的颗粒物、二氧化硫、氮氧化物均</w:t>
            </w:r>
            <w:r>
              <w:rPr>
                <w:sz w:val="24"/>
              </w:rPr>
              <w:t>能够满足《锅炉大气污染物排放标准》（GB13271-2014）中表2新建锅炉（燃煤锅炉）大气污染物排放浓度限值标准值要求</w:t>
            </w:r>
            <w:r>
              <w:rPr>
                <w:rFonts w:hint="eastAsia"/>
                <w:sz w:val="24"/>
              </w:rPr>
              <w:t>。</w:t>
            </w:r>
          </w:p>
          <w:p w14:paraId="3657454D">
            <w:pPr>
              <w:adjustRightInd w:val="0"/>
              <w:spacing w:line="360" w:lineRule="auto"/>
              <w:jc w:val="center"/>
              <w:rPr>
                <w:rFonts w:hint="eastAsia" w:ascii="宋体" w:hAnsi="宋体" w:cs="宋体"/>
                <w:b/>
                <w:szCs w:val="21"/>
              </w:rPr>
            </w:pPr>
            <w:r>
              <w:rPr>
                <w:rFonts w:hint="eastAsia" w:ascii="宋体" w:hAnsi="宋体" w:cs="宋体"/>
                <w:b/>
                <w:szCs w:val="21"/>
              </w:rPr>
              <w:t>表</w:t>
            </w:r>
            <w:r>
              <w:rPr>
                <w:b/>
                <w:szCs w:val="21"/>
              </w:rPr>
              <w:t>4</w:t>
            </w:r>
            <w:r>
              <w:rPr>
                <w:rFonts w:hint="eastAsia"/>
                <w:b/>
                <w:szCs w:val="21"/>
              </w:rPr>
              <w:t>-6</w:t>
            </w:r>
            <w:r>
              <w:rPr>
                <w:b/>
                <w:szCs w:val="21"/>
              </w:rPr>
              <w:t xml:space="preserve"> </w:t>
            </w:r>
            <w:r>
              <w:rPr>
                <w:rFonts w:hint="eastAsia" w:ascii="宋体" w:hAnsi="宋体" w:cs="宋体"/>
                <w:b/>
                <w:szCs w:val="21"/>
              </w:rPr>
              <w:t>废气污染物达标排放情况</w:t>
            </w:r>
          </w:p>
          <w:tbl>
            <w:tblPr>
              <w:tblStyle w:val="26"/>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903"/>
              <w:gridCol w:w="1115"/>
              <w:gridCol w:w="1254"/>
              <w:gridCol w:w="1115"/>
              <w:gridCol w:w="930"/>
              <w:gridCol w:w="939"/>
              <w:gridCol w:w="926"/>
            </w:tblGrid>
            <w:tr w14:paraId="723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9" w:type="dxa"/>
                  <w:vAlign w:val="center"/>
                </w:tcPr>
                <w:p w14:paraId="4D0A7D6E">
                  <w:pPr>
                    <w:jc w:val="center"/>
                    <w:rPr>
                      <w:b/>
                      <w:szCs w:val="21"/>
                    </w:rPr>
                  </w:pPr>
                  <w:r>
                    <w:rPr>
                      <w:b/>
                      <w:szCs w:val="21"/>
                    </w:rPr>
                    <w:t>污染源</w:t>
                  </w:r>
                </w:p>
              </w:tc>
              <w:tc>
                <w:tcPr>
                  <w:tcW w:w="903" w:type="dxa"/>
                  <w:vAlign w:val="center"/>
                </w:tcPr>
                <w:p w14:paraId="267AB25D">
                  <w:pPr>
                    <w:jc w:val="center"/>
                    <w:rPr>
                      <w:b/>
                      <w:szCs w:val="21"/>
                    </w:rPr>
                  </w:pPr>
                  <w:r>
                    <w:rPr>
                      <w:b/>
                      <w:szCs w:val="21"/>
                    </w:rPr>
                    <w:t>污染物</w:t>
                  </w:r>
                </w:p>
              </w:tc>
              <w:tc>
                <w:tcPr>
                  <w:tcW w:w="1115" w:type="dxa"/>
                  <w:vAlign w:val="center"/>
                </w:tcPr>
                <w:p w14:paraId="4C19659D">
                  <w:pPr>
                    <w:jc w:val="center"/>
                    <w:rPr>
                      <w:b/>
                      <w:szCs w:val="21"/>
                    </w:rPr>
                  </w:pPr>
                  <w:r>
                    <w:rPr>
                      <w:b/>
                      <w:szCs w:val="21"/>
                    </w:rPr>
                    <w:t>排放速率（kg/h）</w:t>
                  </w:r>
                </w:p>
              </w:tc>
              <w:tc>
                <w:tcPr>
                  <w:tcW w:w="1254" w:type="dxa"/>
                  <w:vAlign w:val="center"/>
                </w:tcPr>
                <w:p w14:paraId="055C0AFC">
                  <w:pPr>
                    <w:jc w:val="center"/>
                    <w:rPr>
                      <w:b/>
                      <w:szCs w:val="21"/>
                    </w:rPr>
                  </w:pPr>
                  <w:r>
                    <w:rPr>
                      <w:b/>
                      <w:szCs w:val="21"/>
                    </w:rPr>
                    <w:t>排放浓度（mg/m</w:t>
                  </w:r>
                  <w:r>
                    <w:rPr>
                      <w:b/>
                      <w:szCs w:val="21"/>
                      <w:vertAlign w:val="superscript"/>
                    </w:rPr>
                    <w:t>3</w:t>
                  </w:r>
                  <w:r>
                    <w:rPr>
                      <w:b/>
                      <w:szCs w:val="21"/>
                    </w:rPr>
                    <w:t>）</w:t>
                  </w:r>
                </w:p>
              </w:tc>
              <w:tc>
                <w:tcPr>
                  <w:tcW w:w="1115" w:type="dxa"/>
                  <w:vAlign w:val="center"/>
                </w:tcPr>
                <w:p w14:paraId="371E1BF2">
                  <w:pPr>
                    <w:jc w:val="center"/>
                    <w:rPr>
                      <w:b/>
                      <w:szCs w:val="21"/>
                    </w:rPr>
                  </w:pPr>
                  <w:r>
                    <w:rPr>
                      <w:b/>
                      <w:szCs w:val="21"/>
                    </w:rPr>
                    <w:t>执行标准</w:t>
                  </w:r>
                </w:p>
              </w:tc>
              <w:tc>
                <w:tcPr>
                  <w:tcW w:w="930" w:type="dxa"/>
                  <w:vAlign w:val="center"/>
                </w:tcPr>
                <w:p w14:paraId="1922E7CF">
                  <w:pPr>
                    <w:jc w:val="center"/>
                    <w:rPr>
                      <w:b/>
                      <w:szCs w:val="21"/>
                    </w:rPr>
                  </w:pPr>
                  <w:r>
                    <w:rPr>
                      <w:b/>
                      <w:szCs w:val="21"/>
                    </w:rPr>
                    <w:t>浓度限值mg/m</w:t>
                  </w:r>
                  <w:r>
                    <w:rPr>
                      <w:b/>
                      <w:szCs w:val="21"/>
                      <w:vertAlign w:val="superscript"/>
                    </w:rPr>
                    <w:t>3</w:t>
                  </w:r>
                </w:p>
              </w:tc>
              <w:tc>
                <w:tcPr>
                  <w:tcW w:w="939" w:type="dxa"/>
                  <w:vAlign w:val="center"/>
                </w:tcPr>
                <w:p w14:paraId="6B23C251">
                  <w:pPr>
                    <w:jc w:val="center"/>
                    <w:rPr>
                      <w:b/>
                      <w:szCs w:val="21"/>
                    </w:rPr>
                  </w:pPr>
                  <w:r>
                    <w:rPr>
                      <w:b/>
                      <w:szCs w:val="21"/>
                    </w:rPr>
                    <w:t>速率限值kg/h</w:t>
                  </w:r>
                </w:p>
              </w:tc>
              <w:tc>
                <w:tcPr>
                  <w:tcW w:w="926" w:type="dxa"/>
                  <w:vAlign w:val="center"/>
                </w:tcPr>
                <w:p w14:paraId="55E2A0A0">
                  <w:pPr>
                    <w:ind w:left="-80" w:leftChars="-38" w:right="-113" w:rightChars="-54"/>
                    <w:jc w:val="center"/>
                    <w:rPr>
                      <w:b/>
                      <w:szCs w:val="21"/>
                    </w:rPr>
                  </w:pPr>
                  <w:r>
                    <w:rPr>
                      <w:b/>
                      <w:szCs w:val="21"/>
                    </w:rPr>
                    <w:t>达标情况</w:t>
                  </w:r>
                </w:p>
              </w:tc>
            </w:tr>
            <w:tr w14:paraId="4B9B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59" w:type="dxa"/>
                  <w:vMerge w:val="restart"/>
                  <w:vAlign w:val="center"/>
                </w:tcPr>
                <w:p w14:paraId="0E4498C9">
                  <w:pPr>
                    <w:ind w:left="-48" w:leftChars="-23" w:right="-92" w:rightChars="-44"/>
                    <w:jc w:val="center"/>
                    <w:rPr>
                      <w:kern w:val="0"/>
                      <w:szCs w:val="21"/>
                    </w:rPr>
                  </w:pPr>
                  <w:r>
                    <w:rPr>
                      <w:kern w:val="0"/>
                      <w:szCs w:val="21"/>
                    </w:rPr>
                    <w:t>DA00</w:t>
                  </w:r>
                  <w:r>
                    <w:rPr>
                      <w:rFonts w:hint="eastAsia"/>
                      <w:kern w:val="0"/>
                      <w:szCs w:val="21"/>
                    </w:rPr>
                    <w:t>1</w:t>
                  </w:r>
                </w:p>
              </w:tc>
              <w:tc>
                <w:tcPr>
                  <w:tcW w:w="903" w:type="dxa"/>
                  <w:vAlign w:val="center"/>
                </w:tcPr>
                <w:p w14:paraId="78A609E5">
                  <w:pPr>
                    <w:jc w:val="center"/>
                    <w:rPr>
                      <w:szCs w:val="21"/>
                    </w:rPr>
                  </w:pPr>
                  <w:r>
                    <w:rPr>
                      <w:rFonts w:hint="eastAsia"/>
                      <w:szCs w:val="21"/>
                    </w:rPr>
                    <w:t>颗粒物</w:t>
                  </w:r>
                </w:p>
              </w:tc>
              <w:tc>
                <w:tcPr>
                  <w:tcW w:w="1115" w:type="dxa"/>
                  <w:tcMar>
                    <w:left w:w="0" w:type="dxa"/>
                    <w:right w:w="0" w:type="dxa"/>
                  </w:tcMar>
                  <w:vAlign w:val="center"/>
                </w:tcPr>
                <w:p w14:paraId="14D67CD9">
                  <w:pPr>
                    <w:jc w:val="center"/>
                    <w:rPr>
                      <w:szCs w:val="21"/>
                      <w:highlight w:val="yellow"/>
                    </w:rPr>
                  </w:pPr>
                  <w:r>
                    <w:rPr>
                      <w:rFonts w:hint="eastAsia"/>
                      <w:color w:val="000000" w:themeColor="text1"/>
                      <w:szCs w:val="21"/>
                      <w14:textFill>
                        <w14:solidFill>
                          <w14:schemeClr w14:val="tx1"/>
                        </w14:solidFill>
                      </w14:textFill>
                    </w:rPr>
                    <w:t>0.01763</w:t>
                  </w:r>
                </w:p>
              </w:tc>
              <w:tc>
                <w:tcPr>
                  <w:tcW w:w="1254" w:type="dxa"/>
                  <w:vAlign w:val="center"/>
                </w:tcPr>
                <w:p w14:paraId="03803E9E">
                  <w:pPr>
                    <w:jc w:val="center"/>
                    <w:rPr>
                      <w:szCs w:val="21"/>
                    </w:rPr>
                  </w:pPr>
                  <w:r>
                    <w:rPr>
                      <w:rFonts w:hint="eastAsia"/>
                      <w:color w:val="000000" w:themeColor="text1"/>
                      <w:szCs w:val="21"/>
                      <w14:textFill>
                        <w14:solidFill>
                          <w14:schemeClr w14:val="tx1"/>
                        </w14:solidFill>
                      </w14:textFill>
                    </w:rPr>
                    <w:t>12</w:t>
                  </w:r>
                </w:p>
              </w:tc>
              <w:tc>
                <w:tcPr>
                  <w:tcW w:w="1115" w:type="dxa"/>
                  <w:tcMar>
                    <w:left w:w="0" w:type="dxa"/>
                    <w:right w:w="0" w:type="dxa"/>
                  </w:tcMar>
                  <w:vAlign w:val="center"/>
                </w:tcPr>
                <w:p w14:paraId="69EEE633">
                  <w:pPr>
                    <w:jc w:val="center"/>
                    <w:rPr>
                      <w:color w:val="000000"/>
                      <w:szCs w:val="21"/>
                    </w:rPr>
                  </w:pPr>
                  <w:r>
                    <w:rPr>
                      <w:szCs w:val="21"/>
                    </w:rPr>
                    <w:t>GB13271-2014</w:t>
                  </w:r>
                </w:p>
              </w:tc>
              <w:tc>
                <w:tcPr>
                  <w:tcW w:w="930" w:type="dxa"/>
                  <w:vAlign w:val="center"/>
                </w:tcPr>
                <w:p w14:paraId="0D021237">
                  <w:pPr>
                    <w:jc w:val="center"/>
                    <w:rPr>
                      <w:color w:val="000000"/>
                      <w:szCs w:val="21"/>
                    </w:rPr>
                  </w:pPr>
                  <w:r>
                    <w:rPr>
                      <w:rFonts w:hint="eastAsia"/>
                      <w:color w:val="000000"/>
                      <w:szCs w:val="21"/>
                    </w:rPr>
                    <w:t>5</w:t>
                  </w:r>
                  <w:r>
                    <w:rPr>
                      <w:color w:val="000000"/>
                      <w:szCs w:val="21"/>
                    </w:rPr>
                    <w:t>0</w:t>
                  </w:r>
                </w:p>
              </w:tc>
              <w:tc>
                <w:tcPr>
                  <w:tcW w:w="939" w:type="dxa"/>
                  <w:vAlign w:val="center"/>
                </w:tcPr>
                <w:p w14:paraId="238179BC">
                  <w:pPr>
                    <w:jc w:val="center"/>
                    <w:rPr>
                      <w:color w:val="000000"/>
                      <w:szCs w:val="21"/>
                    </w:rPr>
                  </w:pPr>
                  <w:r>
                    <w:rPr>
                      <w:color w:val="000000"/>
                      <w:szCs w:val="21"/>
                    </w:rPr>
                    <w:t>/</w:t>
                  </w:r>
                </w:p>
              </w:tc>
              <w:tc>
                <w:tcPr>
                  <w:tcW w:w="926" w:type="dxa"/>
                  <w:vAlign w:val="center"/>
                </w:tcPr>
                <w:p w14:paraId="3927EC27">
                  <w:pPr>
                    <w:jc w:val="center"/>
                    <w:rPr>
                      <w:szCs w:val="21"/>
                    </w:rPr>
                  </w:pPr>
                  <w:r>
                    <w:rPr>
                      <w:szCs w:val="21"/>
                    </w:rPr>
                    <w:t>达标</w:t>
                  </w:r>
                </w:p>
              </w:tc>
            </w:tr>
            <w:tr w14:paraId="152D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59" w:type="dxa"/>
                  <w:vMerge w:val="continue"/>
                  <w:vAlign w:val="center"/>
                </w:tcPr>
                <w:p w14:paraId="129BA55E">
                  <w:pPr>
                    <w:ind w:left="-48" w:leftChars="-23" w:right="-92" w:rightChars="-44"/>
                    <w:jc w:val="center"/>
                    <w:rPr>
                      <w:kern w:val="0"/>
                      <w:szCs w:val="21"/>
                    </w:rPr>
                  </w:pPr>
                </w:p>
              </w:tc>
              <w:tc>
                <w:tcPr>
                  <w:tcW w:w="903" w:type="dxa"/>
                  <w:vAlign w:val="center"/>
                </w:tcPr>
                <w:p w14:paraId="7823D2BF">
                  <w:pPr>
                    <w:jc w:val="center"/>
                    <w:rPr>
                      <w:szCs w:val="21"/>
                    </w:rPr>
                  </w:pPr>
                  <w:r>
                    <w:rPr>
                      <w:rFonts w:hint="eastAsia"/>
                      <w:szCs w:val="21"/>
                    </w:rPr>
                    <w:t>S</w:t>
                  </w:r>
                  <w:r>
                    <w:rPr>
                      <w:szCs w:val="21"/>
                    </w:rPr>
                    <w:t>O</w:t>
                  </w:r>
                  <w:r>
                    <w:rPr>
                      <w:szCs w:val="21"/>
                      <w:vertAlign w:val="subscript"/>
                    </w:rPr>
                    <w:t>2</w:t>
                  </w:r>
                </w:p>
              </w:tc>
              <w:tc>
                <w:tcPr>
                  <w:tcW w:w="1115" w:type="dxa"/>
                  <w:tcMar>
                    <w:left w:w="0" w:type="dxa"/>
                    <w:right w:w="0" w:type="dxa"/>
                  </w:tcMar>
                  <w:vAlign w:val="center"/>
                </w:tcPr>
                <w:p w14:paraId="1158F428">
                  <w:pPr>
                    <w:jc w:val="center"/>
                    <w:rPr>
                      <w:szCs w:val="21"/>
                      <w:highlight w:val="yellow"/>
                    </w:rPr>
                  </w:pPr>
                  <w:r>
                    <w:rPr>
                      <w:rFonts w:hint="eastAsia"/>
                      <w:bCs/>
                      <w:spacing w:val="-10"/>
                      <w:szCs w:val="21"/>
                    </w:rPr>
                    <w:t>0.08</w:t>
                  </w:r>
                </w:p>
              </w:tc>
              <w:tc>
                <w:tcPr>
                  <w:tcW w:w="1254" w:type="dxa"/>
                  <w:vAlign w:val="center"/>
                </w:tcPr>
                <w:p w14:paraId="1C9B654B">
                  <w:pPr>
                    <w:jc w:val="center"/>
                    <w:rPr>
                      <w:szCs w:val="21"/>
                    </w:rPr>
                  </w:pPr>
                  <w:r>
                    <w:rPr>
                      <w:rFonts w:hint="eastAsia"/>
                      <w:color w:val="000000" w:themeColor="text1"/>
                      <w:szCs w:val="21"/>
                      <w14:textFill>
                        <w14:solidFill>
                          <w14:schemeClr w14:val="tx1"/>
                        </w14:solidFill>
                      </w14:textFill>
                    </w:rPr>
                    <w:t>54.6</w:t>
                  </w:r>
                </w:p>
              </w:tc>
              <w:tc>
                <w:tcPr>
                  <w:tcW w:w="1115" w:type="dxa"/>
                  <w:tcMar>
                    <w:left w:w="0" w:type="dxa"/>
                    <w:right w:w="0" w:type="dxa"/>
                  </w:tcMar>
                  <w:vAlign w:val="center"/>
                </w:tcPr>
                <w:p w14:paraId="1089C205">
                  <w:pPr>
                    <w:jc w:val="center"/>
                    <w:rPr>
                      <w:color w:val="000000"/>
                      <w:szCs w:val="21"/>
                    </w:rPr>
                  </w:pPr>
                  <w:r>
                    <w:rPr>
                      <w:szCs w:val="21"/>
                    </w:rPr>
                    <w:t>GB13271-2014</w:t>
                  </w:r>
                </w:p>
              </w:tc>
              <w:tc>
                <w:tcPr>
                  <w:tcW w:w="930" w:type="dxa"/>
                  <w:vAlign w:val="center"/>
                </w:tcPr>
                <w:p w14:paraId="0FE4F025">
                  <w:pPr>
                    <w:jc w:val="center"/>
                    <w:rPr>
                      <w:color w:val="000000"/>
                      <w:szCs w:val="21"/>
                    </w:rPr>
                  </w:pPr>
                  <w:r>
                    <w:rPr>
                      <w:rFonts w:hint="eastAsia"/>
                      <w:color w:val="000000"/>
                      <w:szCs w:val="21"/>
                    </w:rPr>
                    <w:t>30</w:t>
                  </w:r>
                  <w:r>
                    <w:rPr>
                      <w:color w:val="000000"/>
                      <w:szCs w:val="21"/>
                    </w:rPr>
                    <w:t>0</w:t>
                  </w:r>
                </w:p>
              </w:tc>
              <w:tc>
                <w:tcPr>
                  <w:tcW w:w="939" w:type="dxa"/>
                  <w:vAlign w:val="center"/>
                </w:tcPr>
                <w:p w14:paraId="5CDD6301">
                  <w:pPr>
                    <w:jc w:val="center"/>
                    <w:rPr>
                      <w:color w:val="000000"/>
                      <w:szCs w:val="21"/>
                    </w:rPr>
                  </w:pPr>
                  <w:r>
                    <w:rPr>
                      <w:rFonts w:hint="eastAsia"/>
                      <w:color w:val="000000"/>
                      <w:szCs w:val="21"/>
                    </w:rPr>
                    <w:t>/</w:t>
                  </w:r>
                </w:p>
              </w:tc>
              <w:tc>
                <w:tcPr>
                  <w:tcW w:w="926" w:type="dxa"/>
                  <w:vAlign w:val="center"/>
                </w:tcPr>
                <w:p w14:paraId="342BF39B">
                  <w:pPr>
                    <w:jc w:val="center"/>
                    <w:rPr>
                      <w:szCs w:val="21"/>
                    </w:rPr>
                  </w:pPr>
                  <w:r>
                    <w:rPr>
                      <w:szCs w:val="21"/>
                    </w:rPr>
                    <w:t>达标</w:t>
                  </w:r>
                </w:p>
              </w:tc>
            </w:tr>
            <w:tr w14:paraId="0242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59" w:type="dxa"/>
                  <w:vMerge w:val="continue"/>
                  <w:vAlign w:val="center"/>
                </w:tcPr>
                <w:p w14:paraId="7DA6A75F">
                  <w:pPr>
                    <w:ind w:left="-48" w:leftChars="-23" w:right="-92" w:rightChars="-44"/>
                    <w:jc w:val="center"/>
                    <w:rPr>
                      <w:kern w:val="0"/>
                      <w:szCs w:val="21"/>
                    </w:rPr>
                  </w:pPr>
                </w:p>
              </w:tc>
              <w:tc>
                <w:tcPr>
                  <w:tcW w:w="903" w:type="dxa"/>
                  <w:vAlign w:val="center"/>
                </w:tcPr>
                <w:p w14:paraId="7D6FEC48">
                  <w:pPr>
                    <w:jc w:val="center"/>
                    <w:rPr>
                      <w:szCs w:val="21"/>
                    </w:rPr>
                  </w:pPr>
                  <w:r>
                    <w:rPr>
                      <w:szCs w:val="21"/>
                    </w:rPr>
                    <w:t>NO</w:t>
                  </w:r>
                  <w:r>
                    <w:rPr>
                      <w:szCs w:val="21"/>
                      <w:vertAlign w:val="subscript"/>
                    </w:rPr>
                    <w:t>X</w:t>
                  </w:r>
                </w:p>
              </w:tc>
              <w:tc>
                <w:tcPr>
                  <w:tcW w:w="1115" w:type="dxa"/>
                  <w:tcMar>
                    <w:left w:w="0" w:type="dxa"/>
                    <w:right w:w="0" w:type="dxa"/>
                  </w:tcMar>
                  <w:vAlign w:val="center"/>
                </w:tcPr>
                <w:p w14:paraId="49C88143">
                  <w:pPr>
                    <w:jc w:val="center"/>
                    <w:rPr>
                      <w:szCs w:val="21"/>
                      <w:highlight w:val="yellow"/>
                    </w:rPr>
                  </w:pPr>
                  <w:r>
                    <w:rPr>
                      <w:rFonts w:hint="eastAsia"/>
                      <w:bCs/>
                      <w:spacing w:val="-10"/>
                      <w:szCs w:val="21"/>
                    </w:rPr>
                    <w:t>0.2397</w:t>
                  </w:r>
                </w:p>
              </w:tc>
              <w:tc>
                <w:tcPr>
                  <w:tcW w:w="1254" w:type="dxa"/>
                  <w:vAlign w:val="center"/>
                </w:tcPr>
                <w:p w14:paraId="2C13D1F7">
                  <w:pPr>
                    <w:jc w:val="center"/>
                    <w:rPr>
                      <w:szCs w:val="21"/>
                    </w:rPr>
                  </w:pPr>
                  <w:r>
                    <w:rPr>
                      <w:rFonts w:hint="eastAsia"/>
                      <w:color w:val="000000" w:themeColor="text1"/>
                      <w:szCs w:val="21"/>
                      <w14:textFill>
                        <w14:solidFill>
                          <w14:schemeClr w14:val="tx1"/>
                        </w14:solidFill>
                      </w14:textFill>
                    </w:rPr>
                    <w:t>163.5</w:t>
                  </w:r>
                </w:p>
              </w:tc>
              <w:tc>
                <w:tcPr>
                  <w:tcW w:w="1115" w:type="dxa"/>
                  <w:tcMar>
                    <w:left w:w="0" w:type="dxa"/>
                    <w:right w:w="0" w:type="dxa"/>
                  </w:tcMar>
                  <w:vAlign w:val="center"/>
                </w:tcPr>
                <w:p w14:paraId="0F6AB66B">
                  <w:pPr>
                    <w:jc w:val="center"/>
                    <w:rPr>
                      <w:color w:val="000000"/>
                      <w:szCs w:val="21"/>
                    </w:rPr>
                  </w:pPr>
                  <w:r>
                    <w:rPr>
                      <w:szCs w:val="21"/>
                    </w:rPr>
                    <w:t>GB13271-2014</w:t>
                  </w:r>
                </w:p>
              </w:tc>
              <w:tc>
                <w:tcPr>
                  <w:tcW w:w="930" w:type="dxa"/>
                  <w:vAlign w:val="center"/>
                </w:tcPr>
                <w:p w14:paraId="0BE4D781">
                  <w:pPr>
                    <w:jc w:val="center"/>
                    <w:rPr>
                      <w:color w:val="000000"/>
                      <w:szCs w:val="21"/>
                    </w:rPr>
                  </w:pPr>
                  <w:r>
                    <w:rPr>
                      <w:rFonts w:hint="eastAsia"/>
                      <w:color w:val="000000"/>
                      <w:szCs w:val="21"/>
                    </w:rPr>
                    <w:t>300</w:t>
                  </w:r>
                </w:p>
              </w:tc>
              <w:tc>
                <w:tcPr>
                  <w:tcW w:w="939" w:type="dxa"/>
                  <w:vAlign w:val="center"/>
                </w:tcPr>
                <w:p w14:paraId="652C1EEB">
                  <w:pPr>
                    <w:jc w:val="center"/>
                    <w:rPr>
                      <w:color w:val="000000"/>
                      <w:szCs w:val="21"/>
                    </w:rPr>
                  </w:pPr>
                  <w:r>
                    <w:rPr>
                      <w:rFonts w:hint="eastAsia"/>
                      <w:color w:val="000000"/>
                      <w:szCs w:val="21"/>
                    </w:rPr>
                    <w:t>/</w:t>
                  </w:r>
                </w:p>
              </w:tc>
              <w:tc>
                <w:tcPr>
                  <w:tcW w:w="926" w:type="dxa"/>
                  <w:vAlign w:val="center"/>
                </w:tcPr>
                <w:p w14:paraId="68AAF9E8">
                  <w:pPr>
                    <w:jc w:val="center"/>
                    <w:rPr>
                      <w:szCs w:val="21"/>
                    </w:rPr>
                  </w:pPr>
                  <w:r>
                    <w:rPr>
                      <w:szCs w:val="21"/>
                    </w:rPr>
                    <w:t>达标</w:t>
                  </w:r>
                </w:p>
              </w:tc>
            </w:tr>
          </w:tbl>
          <w:p w14:paraId="54DAE6EA">
            <w:pPr>
              <w:snapToGrid w:val="0"/>
              <w:spacing w:line="360" w:lineRule="auto"/>
              <w:rPr>
                <w:b/>
                <w:bCs/>
              </w:rPr>
            </w:pPr>
          </w:p>
          <w:p w14:paraId="6CD98595">
            <w:pPr>
              <w:tabs>
                <w:tab w:val="left" w:pos="360"/>
              </w:tabs>
              <w:snapToGrid w:val="0"/>
              <w:spacing w:line="360" w:lineRule="auto"/>
              <w:rPr>
                <w:b/>
                <w:bCs/>
                <w:sz w:val="24"/>
              </w:rPr>
            </w:pPr>
            <w:r>
              <w:rPr>
                <w:b/>
                <w:bCs/>
                <w:sz w:val="24"/>
              </w:rPr>
              <w:t>1.5 非正常工况</w:t>
            </w:r>
          </w:p>
          <w:p w14:paraId="6FE69884">
            <w:pPr>
              <w:tabs>
                <w:tab w:val="left" w:pos="360"/>
              </w:tabs>
              <w:snapToGrid w:val="0"/>
              <w:spacing w:line="360" w:lineRule="auto"/>
              <w:ind w:firstLine="480" w:firstLineChars="200"/>
              <w:rPr>
                <w:b/>
                <w:bCs/>
                <w:sz w:val="24"/>
              </w:rPr>
            </w:pPr>
            <w:r>
              <w:rPr>
                <w:sz w:val="24"/>
              </w:rPr>
              <w:t>本项目的非正常工况主要是污染物排放控制措施达不到应有效率，即废气处理设施失效，造成排气筒废气中</w:t>
            </w:r>
            <w:r>
              <w:rPr>
                <w:rFonts w:hint="eastAsia"/>
                <w:sz w:val="24"/>
              </w:rPr>
              <w:t>颗粒物</w:t>
            </w:r>
            <w:r>
              <w:rPr>
                <w:sz w:val="24"/>
              </w:rPr>
              <w:t>废气污染物未经净化直接排放，其排放情况如表4-</w:t>
            </w:r>
            <w:r>
              <w:rPr>
                <w:rFonts w:hint="eastAsia"/>
                <w:sz w:val="24"/>
              </w:rPr>
              <w:t>7</w:t>
            </w:r>
            <w:r>
              <w:rPr>
                <w:sz w:val="24"/>
              </w:rPr>
              <w:t>所示。</w:t>
            </w:r>
          </w:p>
          <w:p w14:paraId="4E3D3DD4">
            <w:pPr>
              <w:tabs>
                <w:tab w:val="left" w:pos="360"/>
              </w:tabs>
              <w:snapToGrid w:val="0"/>
              <w:spacing w:line="360" w:lineRule="auto"/>
              <w:jc w:val="center"/>
              <w:rPr>
                <w:b/>
                <w:bCs/>
              </w:rPr>
            </w:pPr>
          </w:p>
          <w:p w14:paraId="3F84FEC9">
            <w:pPr>
              <w:tabs>
                <w:tab w:val="left" w:pos="360"/>
              </w:tabs>
              <w:snapToGrid w:val="0"/>
              <w:spacing w:line="360" w:lineRule="auto"/>
              <w:jc w:val="center"/>
              <w:rPr>
                <w:b/>
                <w:bCs/>
              </w:rPr>
            </w:pPr>
          </w:p>
          <w:p w14:paraId="6A0A20EC">
            <w:pPr>
              <w:tabs>
                <w:tab w:val="left" w:pos="360"/>
              </w:tabs>
              <w:snapToGrid w:val="0"/>
              <w:spacing w:line="360" w:lineRule="auto"/>
              <w:jc w:val="center"/>
              <w:rPr>
                <w:b/>
                <w:bCs/>
              </w:rPr>
            </w:pPr>
          </w:p>
          <w:p w14:paraId="7C75F5AA">
            <w:pPr>
              <w:tabs>
                <w:tab w:val="left" w:pos="360"/>
              </w:tabs>
              <w:snapToGrid w:val="0"/>
              <w:spacing w:line="360" w:lineRule="auto"/>
              <w:jc w:val="center"/>
              <w:rPr>
                <w:b/>
                <w:bCs/>
              </w:rPr>
            </w:pPr>
            <w:r>
              <w:rPr>
                <w:b/>
                <w:bCs/>
              </w:rPr>
              <w:t>表4-</w:t>
            </w:r>
            <w:r>
              <w:rPr>
                <w:rFonts w:hint="eastAsia"/>
                <w:b/>
                <w:bCs/>
              </w:rPr>
              <w:t>7</w:t>
            </w:r>
            <w:r>
              <w:rPr>
                <w:b/>
                <w:bCs/>
              </w:rPr>
              <w:t>非正常工况排气筒排放情况</w:t>
            </w:r>
          </w:p>
          <w:tbl>
            <w:tblPr>
              <w:tblStyle w:val="26"/>
              <w:tblW w:w="7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24"/>
              <w:gridCol w:w="803"/>
              <w:gridCol w:w="1206"/>
              <w:gridCol w:w="1154"/>
              <w:gridCol w:w="804"/>
              <w:gridCol w:w="937"/>
              <w:gridCol w:w="1464"/>
            </w:tblGrid>
            <w:tr w14:paraId="6A5F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9" w:type="dxa"/>
                  <w:vAlign w:val="center"/>
                </w:tcPr>
                <w:p w14:paraId="545E6262">
                  <w:pPr>
                    <w:tabs>
                      <w:tab w:val="left" w:pos="360"/>
                    </w:tabs>
                    <w:snapToGrid w:val="0"/>
                    <w:jc w:val="center"/>
                    <w:rPr>
                      <w:b/>
                      <w:bCs/>
                    </w:rPr>
                  </w:pPr>
                  <w:r>
                    <w:rPr>
                      <w:b/>
                      <w:bCs/>
                    </w:rPr>
                    <w:t>污染源</w:t>
                  </w:r>
                </w:p>
              </w:tc>
              <w:tc>
                <w:tcPr>
                  <w:tcW w:w="824" w:type="dxa"/>
                  <w:vAlign w:val="center"/>
                </w:tcPr>
                <w:p w14:paraId="43F12B88">
                  <w:pPr>
                    <w:tabs>
                      <w:tab w:val="left" w:pos="360"/>
                    </w:tabs>
                    <w:snapToGrid w:val="0"/>
                    <w:jc w:val="center"/>
                    <w:rPr>
                      <w:b/>
                      <w:bCs/>
                    </w:rPr>
                  </w:pPr>
                  <w:r>
                    <w:rPr>
                      <w:b/>
                      <w:bCs/>
                    </w:rPr>
                    <w:t>非正常排放原因</w:t>
                  </w:r>
                </w:p>
              </w:tc>
              <w:tc>
                <w:tcPr>
                  <w:tcW w:w="803" w:type="dxa"/>
                  <w:vAlign w:val="center"/>
                </w:tcPr>
                <w:p w14:paraId="161FE9C2">
                  <w:pPr>
                    <w:tabs>
                      <w:tab w:val="left" w:pos="360"/>
                    </w:tabs>
                    <w:snapToGrid w:val="0"/>
                    <w:jc w:val="center"/>
                    <w:rPr>
                      <w:b/>
                      <w:bCs/>
                    </w:rPr>
                  </w:pPr>
                  <w:r>
                    <w:rPr>
                      <w:b/>
                      <w:bCs/>
                    </w:rPr>
                    <w:t>污染物</w:t>
                  </w:r>
                </w:p>
              </w:tc>
              <w:tc>
                <w:tcPr>
                  <w:tcW w:w="1206" w:type="dxa"/>
                  <w:vAlign w:val="center"/>
                </w:tcPr>
                <w:p w14:paraId="615779C9">
                  <w:pPr>
                    <w:tabs>
                      <w:tab w:val="left" w:pos="360"/>
                    </w:tabs>
                    <w:snapToGrid w:val="0"/>
                    <w:jc w:val="center"/>
                  </w:pPr>
                  <w:r>
                    <w:rPr>
                      <w:b/>
                      <w:bCs/>
                    </w:rPr>
                    <w:t>非正常排放速率（kg/h）</w:t>
                  </w:r>
                </w:p>
              </w:tc>
              <w:tc>
                <w:tcPr>
                  <w:tcW w:w="1154" w:type="dxa"/>
                  <w:vAlign w:val="center"/>
                </w:tcPr>
                <w:p w14:paraId="73E80AB4">
                  <w:pPr>
                    <w:tabs>
                      <w:tab w:val="left" w:pos="360"/>
                    </w:tabs>
                    <w:snapToGrid w:val="0"/>
                    <w:jc w:val="center"/>
                    <w:rPr>
                      <w:b/>
                      <w:bCs/>
                    </w:rPr>
                  </w:pPr>
                  <w:r>
                    <w:rPr>
                      <w:b/>
                      <w:bCs/>
                    </w:rPr>
                    <w:t>非正常排放浓度（mg/m</w:t>
                  </w:r>
                  <w:r>
                    <w:rPr>
                      <w:b/>
                      <w:bCs/>
                      <w:vertAlign w:val="superscript"/>
                    </w:rPr>
                    <w:t>3</w:t>
                  </w:r>
                  <w:r>
                    <w:rPr>
                      <w:b/>
                      <w:bCs/>
                    </w:rPr>
                    <w:t>）</w:t>
                  </w:r>
                </w:p>
                <w:p w14:paraId="27EF90CE">
                  <w:pPr>
                    <w:tabs>
                      <w:tab w:val="left" w:pos="360"/>
                    </w:tabs>
                    <w:snapToGrid w:val="0"/>
                    <w:jc w:val="center"/>
                    <w:rPr>
                      <w:b/>
                      <w:bCs/>
                    </w:rPr>
                  </w:pPr>
                </w:p>
              </w:tc>
              <w:tc>
                <w:tcPr>
                  <w:tcW w:w="804" w:type="dxa"/>
                  <w:vAlign w:val="center"/>
                </w:tcPr>
                <w:p w14:paraId="2C92FA97">
                  <w:pPr>
                    <w:tabs>
                      <w:tab w:val="left" w:pos="360"/>
                    </w:tabs>
                    <w:snapToGrid w:val="0"/>
                    <w:jc w:val="center"/>
                    <w:rPr>
                      <w:b/>
                      <w:bCs/>
                    </w:rPr>
                  </w:pPr>
                  <w:r>
                    <w:rPr>
                      <w:b/>
                      <w:bCs/>
                    </w:rPr>
                    <w:t>单次持续时间（h）</w:t>
                  </w:r>
                </w:p>
              </w:tc>
              <w:tc>
                <w:tcPr>
                  <w:tcW w:w="937" w:type="dxa"/>
                  <w:vAlign w:val="center"/>
                </w:tcPr>
                <w:p w14:paraId="1DA43ED6">
                  <w:pPr>
                    <w:tabs>
                      <w:tab w:val="left" w:pos="360"/>
                    </w:tabs>
                    <w:snapToGrid w:val="0"/>
                    <w:jc w:val="center"/>
                    <w:rPr>
                      <w:b/>
                      <w:bCs/>
                    </w:rPr>
                  </w:pPr>
                  <w:r>
                    <w:rPr>
                      <w:b/>
                      <w:bCs/>
                    </w:rPr>
                    <w:t>年发生频次（次）</w:t>
                  </w:r>
                </w:p>
              </w:tc>
              <w:tc>
                <w:tcPr>
                  <w:tcW w:w="1464" w:type="dxa"/>
                  <w:vAlign w:val="center"/>
                </w:tcPr>
                <w:p w14:paraId="410B5243">
                  <w:pPr>
                    <w:tabs>
                      <w:tab w:val="left" w:pos="360"/>
                    </w:tabs>
                    <w:snapToGrid w:val="0"/>
                    <w:spacing w:line="360" w:lineRule="auto"/>
                    <w:jc w:val="center"/>
                    <w:rPr>
                      <w:b/>
                      <w:bCs/>
                    </w:rPr>
                  </w:pPr>
                  <w:r>
                    <w:rPr>
                      <w:b/>
                      <w:bCs/>
                    </w:rPr>
                    <w:t>应对措施</w:t>
                  </w:r>
                </w:p>
              </w:tc>
            </w:tr>
            <w:tr w14:paraId="38BD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89" w:type="dxa"/>
                  <w:vMerge w:val="restart"/>
                  <w:vAlign w:val="center"/>
                </w:tcPr>
                <w:p w14:paraId="72DDD590">
                  <w:pPr>
                    <w:tabs>
                      <w:tab w:val="left" w:pos="360"/>
                    </w:tabs>
                    <w:snapToGrid w:val="0"/>
                    <w:jc w:val="center"/>
                  </w:pPr>
                  <w:r>
                    <w:t>DA00</w:t>
                  </w:r>
                  <w:r>
                    <w:rPr>
                      <w:rFonts w:hint="eastAsia"/>
                    </w:rPr>
                    <w:t>1</w:t>
                  </w:r>
                </w:p>
              </w:tc>
              <w:tc>
                <w:tcPr>
                  <w:tcW w:w="824" w:type="dxa"/>
                  <w:vMerge w:val="restart"/>
                  <w:vAlign w:val="center"/>
                </w:tcPr>
                <w:p w14:paraId="4356E6C1">
                  <w:pPr>
                    <w:tabs>
                      <w:tab w:val="left" w:pos="360"/>
                    </w:tabs>
                    <w:snapToGrid w:val="0"/>
                    <w:jc w:val="center"/>
                  </w:pPr>
                  <w:r>
                    <w:t>废气处理设施故障，处理效率为0</w:t>
                  </w:r>
                </w:p>
              </w:tc>
              <w:tc>
                <w:tcPr>
                  <w:tcW w:w="803" w:type="dxa"/>
                  <w:vAlign w:val="center"/>
                </w:tcPr>
                <w:p w14:paraId="77DF5440">
                  <w:pPr>
                    <w:tabs>
                      <w:tab w:val="left" w:pos="360"/>
                    </w:tabs>
                    <w:snapToGrid w:val="0"/>
                    <w:jc w:val="center"/>
                  </w:pPr>
                  <w:r>
                    <w:rPr>
                      <w:rFonts w:hint="eastAsia"/>
                    </w:rPr>
                    <w:t>颗粒物</w:t>
                  </w:r>
                </w:p>
              </w:tc>
              <w:tc>
                <w:tcPr>
                  <w:tcW w:w="1206" w:type="dxa"/>
                  <w:vAlign w:val="center"/>
                </w:tcPr>
                <w:p w14:paraId="4DB008CB">
                  <w:pPr>
                    <w:tabs>
                      <w:tab w:val="left" w:pos="360"/>
                    </w:tabs>
                    <w:snapToGrid w:val="0"/>
                    <w:spacing w:line="360" w:lineRule="auto"/>
                    <w:jc w:val="center"/>
                    <w:rPr>
                      <w:color w:val="000000" w:themeColor="text1"/>
                      <w:highlight w:val="yellow"/>
                      <w14:textFill>
                        <w14:solidFill>
                          <w14:schemeClr w14:val="tx1"/>
                        </w14:solidFill>
                      </w14:textFill>
                    </w:rPr>
                  </w:pPr>
                  <w:r>
                    <w:rPr>
                      <w:rFonts w:hint="eastAsia"/>
                      <w:bCs/>
                      <w:spacing w:val="-10"/>
                      <w:szCs w:val="21"/>
                    </w:rPr>
                    <w:t>0.1175</w:t>
                  </w:r>
                </w:p>
              </w:tc>
              <w:tc>
                <w:tcPr>
                  <w:tcW w:w="1154" w:type="dxa"/>
                  <w:vAlign w:val="center"/>
                </w:tcPr>
                <w:p w14:paraId="754E4329">
                  <w:pPr>
                    <w:tabs>
                      <w:tab w:val="left" w:pos="360"/>
                    </w:tabs>
                    <w:snapToGrid w:val="0"/>
                    <w:spacing w:line="360" w:lineRule="auto"/>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80.1</w:t>
                  </w:r>
                </w:p>
              </w:tc>
              <w:tc>
                <w:tcPr>
                  <w:tcW w:w="804" w:type="dxa"/>
                  <w:vAlign w:val="center"/>
                </w:tcPr>
                <w:p w14:paraId="56737FEB">
                  <w:pPr>
                    <w:tabs>
                      <w:tab w:val="left" w:pos="360"/>
                    </w:tabs>
                    <w:snapToGrid w:val="0"/>
                    <w:spacing w:line="360" w:lineRule="auto"/>
                    <w:jc w:val="center"/>
                  </w:pPr>
                  <w:r>
                    <w:t>1</w:t>
                  </w:r>
                </w:p>
              </w:tc>
              <w:tc>
                <w:tcPr>
                  <w:tcW w:w="937" w:type="dxa"/>
                  <w:vAlign w:val="center"/>
                </w:tcPr>
                <w:p w14:paraId="27FF364F">
                  <w:pPr>
                    <w:tabs>
                      <w:tab w:val="left" w:pos="360"/>
                    </w:tabs>
                    <w:snapToGrid w:val="0"/>
                    <w:spacing w:line="360" w:lineRule="auto"/>
                    <w:jc w:val="center"/>
                  </w:pPr>
                  <w:r>
                    <w:t>1</w:t>
                  </w:r>
                </w:p>
              </w:tc>
              <w:tc>
                <w:tcPr>
                  <w:tcW w:w="1464" w:type="dxa"/>
                  <w:vMerge w:val="restart"/>
                  <w:vAlign w:val="center"/>
                </w:tcPr>
                <w:p w14:paraId="04D349AC">
                  <w:pPr>
                    <w:tabs>
                      <w:tab w:val="left" w:pos="360"/>
                    </w:tabs>
                    <w:snapToGrid w:val="0"/>
                    <w:jc w:val="center"/>
                  </w:pPr>
                  <w:r>
                    <w:t>立即停止生产,关闭排放阀，及时疏散人群</w:t>
                  </w:r>
                </w:p>
              </w:tc>
            </w:tr>
            <w:tr w14:paraId="04B5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89" w:type="dxa"/>
                  <w:vMerge w:val="continue"/>
                  <w:vAlign w:val="center"/>
                </w:tcPr>
                <w:p w14:paraId="6D569075">
                  <w:pPr>
                    <w:tabs>
                      <w:tab w:val="left" w:pos="360"/>
                    </w:tabs>
                    <w:snapToGrid w:val="0"/>
                    <w:jc w:val="center"/>
                  </w:pPr>
                </w:p>
              </w:tc>
              <w:tc>
                <w:tcPr>
                  <w:tcW w:w="824" w:type="dxa"/>
                  <w:vMerge w:val="continue"/>
                  <w:vAlign w:val="center"/>
                </w:tcPr>
                <w:p w14:paraId="2CF0B857">
                  <w:pPr>
                    <w:tabs>
                      <w:tab w:val="left" w:pos="360"/>
                    </w:tabs>
                    <w:snapToGrid w:val="0"/>
                    <w:jc w:val="center"/>
                  </w:pPr>
                </w:p>
              </w:tc>
              <w:tc>
                <w:tcPr>
                  <w:tcW w:w="803" w:type="dxa"/>
                  <w:vAlign w:val="center"/>
                </w:tcPr>
                <w:p w14:paraId="29DCA15F">
                  <w:pPr>
                    <w:tabs>
                      <w:tab w:val="left" w:pos="360"/>
                    </w:tabs>
                    <w:snapToGrid w:val="0"/>
                    <w:jc w:val="center"/>
                  </w:pPr>
                  <w:r>
                    <w:rPr>
                      <w:rFonts w:hint="eastAsia"/>
                      <w:szCs w:val="21"/>
                    </w:rPr>
                    <w:t>S</w:t>
                  </w:r>
                  <w:r>
                    <w:rPr>
                      <w:szCs w:val="21"/>
                    </w:rPr>
                    <w:t>O</w:t>
                  </w:r>
                  <w:r>
                    <w:rPr>
                      <w:szCs w:val="21"/>
                      <w:vertAlign w:val="subscript"/>
                    </w:rPr>
                    <w:t>2</w:t>
                  </w:r>
                </w:p>
              </w:tc>
              <w:tc>
                <w:tcPr>
                  <w:tcW w:w="1206" w:type="dxa"/>
                  <w:vAlign w:val="center"/>
                </w:tcPr>
                <w:p w14:paraId="10278318">
                  <w:pPr>
                    <w:tabs>
                      <w:tab w:val="left" w:pos="360"/>
                    </w:tabs>
                    <w:snapToGrid w:val="0"/>
                    <w:spacing w:line="360" w:lineRule="auto"/>
                    <w:jc w:val="center"/>
                    <w:rPr>
                      <w:color w:val="000000" w:themeColor="text1"/>
                      <w:szCs w:val="21"/>
                      <w:highlight w:val="yellow"/>
                      <w14:textFill>
                        <w14:solidFill>
                          <w14:schemeClr w14:val="tx1"/>
                        </w14:solidFill>
                      </w14:textFill>
                    </w:rPr>
                  </w:pPr>
                  <w:r>
                    <w:rPr>
                      <w:rFonts w:hint="eastAsia"/>
                      <w:bCs/>
                      <w:spacing w:val="-10"/>
                      <w:szCs w:val="21"/>
                    </w:rPr>
                    <w:t>0.08</w:t>
                  </w:r>
                </w:p>
              </w:tc>
              <w:tc>
                <w:tcPr>
                  <w:tcW w:w="1154" w:type="dxa"/>
                  <w:vAlign w:val="center"/>
                </w:tcPr>
                <w:p w14:paraId="56DCF16E">
                  <w:pPr>
                    <w:tabs>
                      <w:tab w:val="left" w:pos="360"/>
                    </w:tabs>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804" w:type="dxa"/>
                  <w:vAlign w:val="center"/>
                </w:tcPr>
                <w:p w14:paraId="7526EE43">
                  <w:pPr>
                    <w:tabs>
                      <w:tab w:val="left" w:pos="360"/>
                    </w:tabs>
                    <w:snapToGrid w:val="0"/>
                    <w:spacing w:line="360" w:lineRule="auto"/>
                    <w:jc w:val="center"/>
                  </w:pPr>
                  <w:r>
                    <w:rPr>
                      <w:rFonts w:hint="eastAsia"/>
                    </w:rPr>
                    <w:t>1</w:t>
                  </w:r>
                </w:p>
              </w:tc>
              <w:tc>
                <w:tcPr>
                  <w:tcW w:w="937" w:type="dxa"/>
                  <w:vAlign w:val="center"/>
                </w:tcPr>
                <w:p w14:paraId="718F705B">
                  <w:pPr>
                    <w:tabs>
                      <w:tab w:val="left" w:pos="360"/>
                    </w:tabs>
                    <w:snapToGrid w:val="0"/>
                    <w:spacing w:line="360" w:lineRule="auto"/>
                    <w:jc w:val="center"/>
                  </w:pPr>
                  <w:r>
                    <w:rPr>
                      <w:rFonts w:hint="eastAsia"/>
                    </w:rPr>
                    <w:t>1</w:t>
                  </w:r>
                </w:p>
              </w:tc>
              <w:tc>
                <w:tcPr>
                  <w:tcW w:w="1464" w:type="dxa"/>
                  <w:vMerge w:val="continue"/>
                  <w:vAlign w:val="center"/>
                </w:tcPr>
                <w:p w14:paraId="26D6422E">
                  <w:pPr>
                    <w:tabs>
                      <w:tab w:val="left" w:pos="360"/>
                    </w:tabs>
                    <w:snapToGrid w:val="0"/>
                    <w:jc w:val="center"/>
                  </w:pPr>
                </w:p>
              </w:tc>
            </w:tr>
            <w:tr w14:paraId="6EB3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89" w:type="dxa"/>
                  <w:vMerge w:val="continue"/>
                  <w:vAlign w:val="center"/>
                </w:tcPr>
                <w:p w14:paraId="192D0252">
                  <w:pPr>
                    <w:tabs>
                      <w:tab w:val="left" w:pos="360"/>
                    </w:tabs>
                    <w:snapToGrid w:val="0"/>
                    <w:jc w:val="center"/>
                  </w:pPr>
                </w:p>
              </w:tc>
              <w:tc>
                <w:tcPr>
                  <w:tcW w:w="824" w:type="dxa"/>
                  <w:vMerge w:val="continue"/>
                  <w:vAlign w:val="center"/>
                </w:tcPr>
                <w:p w14:paraId="6EBEB158">
                  <w:pPr>
                    <w:tabs>
                      <w:tab w:val="left" w:pos="360"/>
                    </w:tabs>
                    <w:snapToGrid w:val="0"/>
                    <w:jc w:val="center"/>
                  </w:pPr>
                </w:p>
              </w:tc>
              <w:tc>
                <w:tcPr>
                  <w:tcW w:w="803" w:type="dxa"/>
                  <w:vAlign w:val="center"/>
                </w:tcPr>
                <w:p w14:paraId="24A66798">
                  <w:pPr>
                    <w:tabs>
                      <w:tab w:val="left" w:pos="360"/>
                    </w:tabs>
                    <w:snapToGrid w:val="0"/>
                    <w:jc w:val="center"/>
                  </w:pPr>
                  <w:r>
                    <w:rPr>
                      <w:szCs w:val="21"/>
                    </w:rPr>
                    <w:t>NO</w:t>
                  </w:r>
                  <w:r>
                    <w:rPr>
                      <w:szCs w:val="21"/>
                      <w:vertAlign w:val="subscript"/>
                    </w:rPr>
                    <w:t>X</w:t>
                  </w:r>
                </w:p>
              </w:tc>
              <w:tc>
                <w:tcPr>
                  <w:tcW w:w="1206" w:type="dxa"/>
                  <w:vAlign w:val="center"/>
                </w:tcPr>
                <w:p w14:paraId="1EE0F7FB">
                  <w:pPr>
                    <w:tabs>
                      <w:tab w:val="left" w:pos="360"/>
                    </w:tabs>
                    <w:snapToGrid w:val="0"/>
                    <w:spacing w:line="360" w:lineRule="auto"/>
                    <w:jc w:val="center"/>
                    <w:rPr>
                      <w:color w:val="000000" w:themeColor="text1"/>
                      <w:szCs w:val="21"/>
                      <w:highlight w:val="yellow"/>
                      <w14:textFill>
                        <w14:solidFill>
                          <w14:schemeClr w14:val="tx1"/>
                        </w14:solidFill>
                      </w14:textFill>
                    </w:rPr>
                  </w:pPr>
                  <w:r>
                    <w:rPr>
                      <w:rFonts w:hint="eastAsia"/>
                      <w:bCs/>
                      <w:spacing w:val="-10"/>
                      <w:szCs w:val="21"/>
                    </w:rPr>
                    <w:t>0.2397</w:t>
                  </w:r>
                </w:p>
              </w:tc>
              <w:tc>
                <w:tcPr>
                  <w:tcW w:w="1154" w:type="dxa"/>
                  <w:vAlign w:val="center"/>
                </w:tcPr>
                <w:p w14:paraId="37960FC8">
                  <w:pPr>
                    <w:tabs>
                      <w:tab w:val="left" w:pos="360"/>
                    </w:tabs>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163.5</w:t>
                  </w:r>
                </w:p>
              </w:tc>
              <w:tc>
                <w:tcPr>
                  <w:tcW w:w="804" w:type="dxa"/>
                  <w:vAlign w:val="center"/>
                </w:tcPr>
                <w:p w14:paraId="12E83CF5">
                  <w:pPr>
                    <w:tabs>
                      <w:tab w:val="left" w:pos="360"/>
                    </w:tabs>
                    <w:snapToGrid w:val="0"/>
                    <w:spacing w:line="360" w:lineRule="auto"/>
                    <w:jc w:val="center"/>
                  </w:pPr>
                  <w:r>
                    <w:rPr>
                      <w:rFonts w:hint="eastAsia"/>
                    </w:rPr>
                    <w:t>1</w:t>
                  </w:r>
                </w:p>
              </w:tc>
              <w:tc>
                <w:tcPr>
                  <w:tcW w:w="937" w:type="dxa"/>
                  <w:vAlign w:val="center"/>
                </w:tcPr>
                <w:p w14:paraId="7277398D">
                  <w:pPr>
                    <w:tabs>
                      <w:tab w:val="left" w:pos="360"/>
                    </w:tabs>
                    <w:snapToGrid w:val="0"/>
                    <w:spacing w:line="360" w:lineRule="auto"/>
                    <w:jc w:val="center"/>
                  </w:pPr>
                  <w:r>
                    <w:rPr>
                      <w:rFonts w:hint="eastAsia"/>
                    </w:rPr>
                    <w:t>1</w:t>
                  </w:r>
                </w:p>
              </w:tc>
              <w:tc>
                <w:tcPr>
                  <w:tcW w:w="1464" w:type="dxa"/>
                  <w:vMerge w:val="continue"/>
                  <w:vAlign w:val="center"/>
                </w:tcPr>
                <w:p w14:paraId="62E7B90D">
                  <w:pPr>
                    <w:tabs>
                      <w:tab w:val="left" w:pos="360"/>
                    </w:tabs>
                    <w:snapToGrid w:val="0"/>
                    <w:jc w:val="center"/>
                  </w:pPr>
                </w:p>
              </w:tc>
            </w:tr>
          </w:tbl>
          <w:p w14:paraId="0B7F186A"/>
          <w:p w14:paraId="25D847D7">
            <w:pPr>
              <w:tabs>
                <w:tab w:val="left" w:pos="360"/>
              </w:tabs>
              <w:snapToGrid w:val="0"/>
              <w:spacing w:line="360" w:lineRule="auto"/>
              <w:ind w:firstLine="480" w:firstLineChars="200"/>
              <w:rPr>
                <w:sz w:val="24"/>
              </w:rPr>
            </w:pPr>
            <w:bookmarkStart w:id="10" w:name="_Hlk99573456"/>
            <w:r>
              <w:rPr>
                <w:sz w:val="24"/>
              </w:rPr>
              <w:t>由上表可知，项目在非正常排放情况下，污染物的排放浓度比正常情况下要大，说明事故排放情况下，对外界环境造成一定影响</w:t>
            </w:r>
            <w:r>
              <w:rPr>
                <w:rFonts w:hint="eastAsia"/>
                <w:sz w:val="24"/>
              </w:rPr>
              <w:t>，</w:t>
            </w:r>
            <w:r>
              <w:rPr>
                <w:sz w:val="24"/>
              </w:rPr>
              <w:t>为防止生产废气非正常工况排放，企业必须加强废气处理设施的管理，定期检修、检查，确保废气处理设施正常运行，在废气处理设备停止运行或出现故障时，产生废气的各工序也必须相应停止生产。为杜绝废气非正常排放，应采取以下措施确保废气达标排放：</w:t>
            </w:r>
          </w:p>
          <w:p w14:paraId="7548D8D2">
            <w:pPr>
              <w:tabs>
                <w:tab w:val="left" w:pos="360"/>
              </w:tabs>
              <w:snapToGrid w:val="0"/>
              <w:spacing w:line="360" w:lineRule="auto"/>
              <w:ind w:firstLine="480" w:firstLineChars="200"/>
              <w:rPr>
                <w:sz w:val="24"/>
              </w:rPr>
            </w:pPr>
            <w:r>
              <w:rPr>
                <w:rFonts w:hint="eastAsia" w:ascii="宋体" w:hAnsi="宋体" w:cs="宋体"/>
                <w:sz w:val="24"/>
              </w:rPr>
              <w:t>①</w:t>
            </w:r>
            <w:r>
              <w:rPr>
                <w:sz w:val="24"/>
              </w:rPr>
              <w:t>安排专人负责环保设备的日常维护和管理，每个固定时间检查、汇报情况，及时发现废气处理设备的隐患，确保废气处理系统正常运行；</w:t>
            </w:r>
          </w:p>
          <w:p w14:paraId="1895F0F9">
            <w:pPr>
              <w:tabs>
                <w:tab w:val="left" w:pos="360"/>
              </w:tabs>
              <w:snapToGrid w:val="0"/>
              <w:spacing w:line="360" w:lineRule="auto"/>
              <w:ind w:firstLine="480" w:firstLineChars="200"/>
              <w:rPr>
                <w:sz w:val="24"/>
              </w:rPr>
            </w:pPr>
            <w:r>
              <w:rPr>
                <w:rFonts w:hint="eastAsia" w:ascii="宋体" w:hAnsi="宋体" w:cs="宋体"/>
                <w:sz w:val="24"/>
              </w:rPr>
              <w:t>③</w:t>
            </w:r>
            <w:r>
              <w:rPr>
                <w:sz w:val="24"/>
              </w:rPr>
              <w:t>建立健全的环保管理机构，对环保管理人员和技术人员进行岗位培训，委托具有专业资质的环境检测单位对项目排放的各类污染物进行定期检测；</w:t>
            </w:r>
          </w:p>
          <w:p w14:paraId="4B4A410B">
            <w:pPr>
              <w:tabs>
                <w:tab w:val="left" w:pos="360"/>
              </w:tabs>
              <w:snapToGrid w:val="0"/>
              <w:spacing w:line="360" w:lineRule="auto"/>
              <w:ind w:firstLine="480" w:firstLineChars="200"/>
              <w:rPr>
                <w:sz w:val="24"/>
              </w:rPr>
            </w:pPr>
            <w:r>
              <w:rPr>
                <w:rFonts w:hint="eastAsia" w:ascii="宋体" w:hAnsi="宋体" w:cs="宋体"/>
                <w:sz w:val="24"/>
              </w:rPr>
              <w:t>④</w:t>
            </w:r>
            <w:r>
              <w:rPr>
                <w:sz w:val="24"/>
              </w:rPr>
              <w:t>应定期维护、检修废气净化装置，以保持废气处理装置的净化能力和净化容量。</w:t>
            </w:r>
          </w:p>
          <w:p w14:paraId="7AAE32DC">
            <w:pPr>
              <w:tabs>
                <w:tab w:val="left" w:pos="360"/>
              </w:tabs>
              <w:snapToGrid w:val="0"/>
              <w:spacing w:line="360" w:lineRule="auto"/>
              <w:ind w:firstLine="480" w:firstLineChars="200"/>
              <w:rPr>
                <w:b/>
                <w:bCs/>
                <w:sz w:val="24"/>
              </w:rPr>
            </w:pPr>
            <w:r>
              <w:rPr>
                <w:sz w:val="24"/>
              </w:rPr>
              <w:t>综上，本项目废气收集及处理措施可行</w:t>
            </w:r>
            <w:r>
              <w:rPr>
                <w:rFonts w:hint="eastAsia"/>
                <w:sz w:val="24"/>
              </w:rPr>
              <w:t>。</w:t>
            </w:r>
          </w:p>
          <w:bookmarkEnd w:id="10"/>
          <w:p w14:paraId="07E22965">
            <w:pPr>
              <w:spacing w:line="360" w:lineRule="auto"/>
              <w:rPr>
                <w:b/>
                <w:bCs/>
                <w:sz w:val="24"/>
              </w:rPr>
            </w:pPr>
          </w:p>
          <w:p w14:paraId="0A5ACAC1">
            <w:pPr>
              <w:spacing w:line="360" w:lineRule="auto"/>
              <w:rPr>
                <w:b/>
                <w:bCs/>
                <w:sz w:val="24"/>
              </w:rPr>
            </w:pPr>
            <w:r>
              <w:rPr>
                <w:b/>
                <w:bCs/>
                <w:sz w:val="24"/>
              </w:rPr>
              <w:t xml:space="preserve">1.6废气排放口基本情况 </w:t>
            </w:r>
          </w:p>
          <w:p w14:paraId="58211764">
            <w:pPr>
              <w:spacing w:line="360" w:lineRule="auto"/>
              <w:ind w:left="420" w:firstLine="240" w:firstLineChars="100"/>
              <w:rPr>
                <w:sz w:val="24"/>
              </w:rPr>
            </w:pPr>
            <w:r>
              <w:rPr>
                <w:sz w:val="24"/>
              </w:rPr>
              <w:t xml:space="preserve">项目废气排放口基本情况如下表。 </w:t>
            </w:r>
          </w:p>
          <w:p w14:paraId="49238CA1">
            <w:pPr>
              <w:spacing w:line="360" w:lineRule="auto"/>
              <w:ind w:left="420" w:firstLine="1687" w:firstLineChars="800"/>
              <w:rPr>
                <w:b/>
                <w:bCs/>
              </w:rPr>
            </w:pPr>
          </w:p>
          <w:p w14:paraId="14E05B12">
            <w:pPr>
              <w:spacing w:line="360" w:lineRule="auto"/>
              <w:ind w:left="420" w:firstLine="1687" w:firstLineChars="800"/>
              <w:rPr>
                <w:b/>
                <w:bCs/>
              </w:rPr>
            </w:pPr>
          </w:p>
          <w:p w14:paraId="23AFFCAE">
            <w:pPr>
              <w:spacing w:line="360" w:lineRule="auto"/>
              <w:ind w:left="420" w:firstLine="1687" w:firstLineChars="800"/>
              <w:rPr>
                <w:b/>
                <w:bCs/>
              </w:rPr>
            </w:pPr>
          </w:p>
          <w:p w14:paraId="088B49E6">
            <w:pPr>
              <w:spacing w:line="360" w:lineRule="auto"/>
              <w:ind w:left="420" w:firstLine="1687" w:firstLineChars="800"/>
              <w:rPr>
                <w:b/>
                <w:bCs/>
              </w:rPr>
            </w:pPr>
            <w:r>
              <w:rPr>
                <w:b/>
                <w:bCs/>
              </w:rPr>
              <w:t>表4</w:t>
            </w:r>
            <w:r>
              <w:rPr>
                <w:rFonts w:hint="eastAsia"/>
                <w:b/>
                <w:bCs/>
              </w:rPr>
              <w:t>-8</w:t>
            </w:r>
            <w:r>
              <w:rPr>
                <w:b/>
                <w:bCs/>
              </w:rPr>
              <w:t xml:space="preserve"> 项目废气排放口基本情况表</w:t>
            </w:r>
          </w:p>
          <w:tbl>
            <w:tblPr>
              <w:tblStyle w:val="26"/>
              <w:tblW w:w="7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34"/>
              <w:gridCol w:w="709"/>
              <w:gridCol w:w="851"/>
              <w:gridCol w:w="708"/>
              <w:gridCol w:w="993"/>
              <w:gridCol w:w="850"/>
              <w:gridCol w:w="709"/>
              <w:gridCol w:w="1276"/>
            </w:tblGrid>
            <w:tr w14:paraId="6A48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36" w:type="dxa"/>
                </w:tcPr>
                <w:p w14:paraId="629EA59D">
                  <w:pPr>
                    <w:jc w:val="left"/>
                  </w:pPr>
                  <w:r>
                    <w:t>排气筒编号</w:t>
                  </w:r>
                </w:p>
              </w:tc>
              <w:tc>
                <w:tcPr>
                  <w:tcW w:w="1134" w:type="dxa"/>
                  <w:vAlign w:val="center"/>
                </w:tcPr>
                <w:p w14:paraId="7B44668D">
                  <w:pPr>
                    <w:jc w:val="center"/>
                  </w:pPr>
                  <w:r>
                    <w:t>排气筒名称</w:t>
                  </w:r>
                </w:p>
              </w:tc>
              <w:tc>
                <w:tcPr>
                  <w:tcW w:w="709" w:type="dxa"/>
                  <w:vAlign w:val="center"/>
                </w:tcPr>
                <w:p w14:paraId="0A1F2C5B">
                  <w:pPr>
                    <w:jc w:val="center"/>
                  </w:pPr>
                  <w:r>
                    <w:t>高度</w:t>
                  </w:r>
                </w:p>
              </w:tc>
              <w:tc>
                <w:tcPr>
                  <w:tcW w:w="851" w:type="dxa"/>
                  <w:vAlign w:val="center"/>
                </w:tcPr>
                <w:p w14:paraId="68F55FB8">
                  <w:pPr>
                    <w:jc w:val="center"/>
                  </w:pPr>
                  <w:r>
                    <w:t>排气筒内径</w:t>
                  </w:r>
                </w:p>
              </w:tc>
              <w:tc>
                <w:tcPr>
                  <w:tcW w:w="708" w:type="dxa"/>
                  <w:vAlign w:val="center"/>
                </w:tcPr>
                <w:p w14:paraId="28660CAF">
                  <w:pPr>
                    <w:jc w:val="center"/>
                  </w:pPr>
                  <w:r>
                    <w:t>温度℃</w:t>
                  </w:r>
                </w:p>
              </w:tc>
              <w:tc>
                <w:tcPr>
                  <w:tcW w:w="993" w:type="dxa"/>
                  <w:vAlign w:val="center"/>
                </w:tcPr>
                <w:p w14:paraId="6E014C32">
                  <w:pPr>
                    <w:jc w:val="center"/>
                  </w:pPr>
                  <w:r>
                    <w:t>地理坐标</w:t>
                  </w:r>
                </w:p>
              </w:tc>
              <w:tc>
                <w:tcPr>
                  <w:tcW w:w="850" w:type="dxa"/>
                  <w:vAlign w:val="center"/>
                </w:tcPr>
                <w:p w14:paraId="42D503F7">
                  <w:pPr>
                    <w:jc w:val="center"/>
                  </w:pPr>
                  <w:r>
                    <w:t>排气筒类型</w:t>
                  </w:r>
                </w:p>
              </w:tc>
              <w:tc>
                <w:tcPr>
                  <w:tcW w:w="709" w:type="dxa"/>
                  <w:vAlign w:val="center"/>
                </w:tcPr>
                <w:p w14:paraId="0105E07E">
                  <w:pPr>
                    <w:jc w:val="center"/>
                  </w:pPr>
                  <w:r>
                    <w:t>监测频次</w:t>
                  </w:r>
                </w:p>
              </w:tc>
              <w:tc>
                <w:tcPr>
                  <w:tcW w:w="1276" w:type="dxa"/>
                  <w:vAlign w:val="center"/>
                </w:tcPr>
                <w:p w14:paraId="5981F95E">
                  <w:pPr>
                    <w:jc w:val="center"/>
                  </w:pPr>
                  <w:r>
                    <w:t>执行排放标准</w:t>
                  </w:r>
                </w:p>
              </w:tc>
            </w:tr>
            <w:tr w14:paraId="5ABA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36" w:type="dxa"/>
                  <w:vAlign w:val="center"/>
                </w:tcPr>
                <w:p w14:paraId="7ACF2792">
                  <w:pPr>
                    <w:jc w:val="left"/>
                    <w:rPr>
                      <w:color w:val="000000" w:themeColor="text1"/>
                      <w14:textFill>
                        <w14:solidFill>
                          <w14:schemeClr w14:val="tx1"/>
                        </w14:solidFill>
                      </w14:textFill>
                    </w:rPr>
                  </w:pPr>
                  <w:r>
                    <w:rPr>
                      <w:color w:val="000000" w:themeColor="text1"/>
                      <w14:textFill>
                        <w14:solidFill>
                          <w14:schemeClr w14:val="tx1"/>
                        </w14:solidFill>
                      </w14:textFill>
                    </w:rPr>
                    <w:t>DA001</w:t>
                  </w:r>
                </w:p>
              </w:tc>
              <w:tc>
                <w:tcPr>
                  <w:tcW w:w="1134" w:type="dxa"/>
                  <w:vAlign w:val="center"/>
                </w:tcPr>
                <w:p w14:paraId="782E0D36">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生物质蒸汽发生器燃烧废气</w:t>
                  </w:r>
                </w:p>
              </w:tc>
              <w:tc>
                <w:tcPr>
                  <w:tcW w:w="709" w:type="dxa"/>
                  <w:vAlign w:val="center"/>
                </w:tcPr>
                <w:p w14:paraId="19BDD684">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m</w:t>
                  </w:r>
                </w:p>
              </w:tc>
              <w:tc>
                <w:tcPr>
                  <w:tcW w:w="851" w:type="dxa"/>
                  <w:vAlign w:val="center"/>
                </w:tcPr>
                <w:p w14:paraId="22DB5036">
                  <w:pPr>
                    <w:ind w:firstLine="210" w:firstLineChar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.3</w:t>
                  </w:r>
                </w:p>
              </w:tc>
              <w:tc>
                <w:tcPr>
                  <w:tcW w:w="708" w:type="dxa"/>
                  <w:vAlign w:val="center"/>
                </w:tcPr>
                <w:p w14:paraId="52A0DB51">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93" w:type="dxa"/>
                  <w:vAlign w:val="center"/>
                </w:tcPr>
                <w:p w14:paraId="000A9902">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 xml:space="preserve"> 27.</w:t>
                  </w:r>
                  <w:r>
                    <w:rPr>
                      <w:rFonts w:hint="eastAsia"/>
                      <w:color w:val="000000" w:themeColor="text1"/>
                      <w14:textFill>
                        <w14:solidFill>
                          <w14:schemeClr w14:val="tx1"/>
                        </w14:solidFill>
                      </w14:textFill>
                    </w:rPr>
                    <w:t>248907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112.</w:t>
                  </w:r>
                  <w:r>
                    <w:rPr>
                      <w:rFonts w:hint="eastAsia"/>
                      <w:color w:val="000000" w:themeColor="text1"/>
                      <w14:textFill>
                        <w14:solidFill>
                          <w14:schemeClr w14:val="tx1"/>
                        </w14:solidFill>
                      </w14:textFill>
                    </w:rPr>
                    <w:t>87819</w:t>
                  </w:r>
                  <w:r>
                    <w:rPr>
                      <w:color w:val="000000" w:themeColor="text1"/>
                      <w14:textFill>
                        <w14:solidFill>
                          <w14:schemeClr w14:val="tx1"/>
                        </w14:solidFill>
                      </w14:textFill>
                    </w:rPr>
                    <w:t>1°</w:t>
                  </w:r>
                </w:p>
              </w:tc>
              <w:tc>
                <w:tcPr>
                  <w:tcW w:w="850" w:type="dxa"/>
                  <w:vAlign w:val="center"/>
                </w:tcPr>
                <w:p w14:paraId="319C8864">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一般排放口</w:t>
                  </w:r>
                </w:p>
              </w:tc>
              <w:tc>
                <w:tcPr>
                  <w:tcW w:w="709" w:type="dxa"/>
                  <w:vAlign w:val="center"/>
                </w:tcPr>
                <w:p w14:paraId="5D2933AD">
                  <w:pPr>
                    <w:jc w:val="left"/>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月</w:t>
                  </w:r>
                </w:p>
              </w:tc>
              <w:tc>
                <w:tcPr>
                  <w:tcW w:w="1276" w:type="dxa"/>
                  <w:vAlign w:val="center"/>
                </w:tcPr>
                <w:p w14:paraId="10B0690A">
                  <w:pPr>
                    <w:jc w:val="center"/>
                    <w:rPr>
                      <w:szCs w:val="21"/>
                    </w:rPr>
                  </w:pPr>
                  <w:r>
                    <w:rPr>
                      <w:szCs w:val="21"/>
                    </w:rPr>
                    <w:t>《锅炉大气污染物排放标准》（GB13271-2014）中表2新建锅炉（燃煤锅炉）大气污染物排放浓度限值标准值要求</w:t>
                  </w:r>
                </w:p>
              </w:tc>
            </w:tr>
          </w:tbl>
          <w:p w14:paraId="5D933572">
            <w:pPr>
              <w:spacing w:line="360" w:lineRule="auto"/>
            </w:pPr>
          </w:p>
          <w:p w14:paraId="737635B8">
            <w:pPr>
              <w:spacing w:line="360" w:lineRule="auto"/>
              <w:rPr>
                <w:b/>
                <w:bCs/>
                <w:sz w:val="24"/>
              </w:rPr>
            </w:pPr>
            <w:r>
              <w:rPr>
                <w:b/>
                <w:bCs/>
                <w:sz w:val="24"/>
              </w:rPr>
              <w:t xml:space="preserve">1.7大气自行监测计划 </w:t>
            </w:r>
          </w:p>
          <w:p w14:paraId="18F7D5D9">
            <w:pPr>
              <w:spacing w:line="360" w:lineRule="auto"/>
              <w:ind w:firstLine="480" w:firstLineChars="200"/>
              <w:rPr>
                <w:sz w:val="24"/>
              </w:rPr>
            </w:pPr>
            <w:r>
              <w:rPr>
                <w:sz w:val="24"/>
              </w:rPr>
              <w:t>根据</w:t>
            </w:r>
            <w:r>
              <w:rPr>
                <w:rFonts w:hint="eastAsia"/>
                <w:sz w:val="24"/>
              </w:rPr>
              <w:t>《排污单位自行监测技术指南 总则》（HJ819-2016）、</w:t>
            </w:r>
            <w:r>
              <w:rPr>
                <w:sz w:val="24"/>
              </w:rPr>
              <w:t xml:space="preserve">根据《排污单位自行监测技术指南 </w:t>
            </w:r>
            <w:r>
              <w:rPr>
                <w:rFonts w:hint="eastAsia"/>
                <w:sz w:val="24"/>
              </w:rPr>
              <w:t>锅炉</w:t>
            </w:r>
            <w:r>
              <w:rPr>
                <w:sz w:val="24"/>
              </w:rPr>
              <w:t>》（HJ9</w:t>
            </w:r>
            <w:r>
              <w:rPr>
                <w:rFonts w:hint="eastAsia"/>
                <w:sz w:val="24"/>
              </w:rPr>
              <w:t>53</w:t>
            </w:r>
            <w:r>
              <w:rPr>
                <w:sz w:val="24"/>
              </w:rPr>
              <w:t>-201</w:t>
            </w:r>
            <w:r>
              <w:rPr>
                <w:rFonts w:hint="eastAsia"/>
                <w:sz w:val="24"/>
              </w:rPr>
              <w:t>8</w:t>
            </w:r>
            <w:r>
              <w:rPr>
                <w:sz w:val="24"/>
              </w:rPr>
              <w:t>）</w:t>
            </w:r>
            <w:r>
              <w:rPr>
                <w:rFonts w:hint="eastAsia"/>
                <w:sz w:val="24"/>
              </w:rPr>
              <w:t>、</w:t>
            </w:r>
            <w:r>
              <w:rPr>
                <w:rFonts w:hint="eastAsia"/>
                <w:color w:val="000000" w:themeColor="text1"/>
                <w:sz w:val="24"/>
                <w:lang w:bidi="ar"/>
                <w14:textFill>
                  <w14:solidFill>
                    <w14:schemeClr w14:val="tx1"/>
                  </w14:solidFill>
                </w14:textFill>
              </w:rPr>
              <w:t>《排污单位自行监测技术指南 火力发电及锅炉》(HJ820-2017)</w:t>
            </w:r>
            <w:r>
              <w:rPr>
                <w:sz w:val="24"/>
              </w:rPr>
              <w:t>的相关要求，大气环境监测计划：为掌握项目大气污染源排放情况，控制厂区、周围废气浓度、保证操作人员和周围人群健康，定期环境监测工作由有资质的第三方监测单位完成，并出具具有法律效力的监测报告，自行环境监测安排见下表。</w:t>
            </w:r>
          </w:p>
          <w:p w14:paraId="76D39F00">
            <w:pPr>
              <w:spacing w:line="360" w:lineRule="auto"/>
              <w:jc w:val="center"/>
              <w:rPr>
                <w:b/>
                <w:bCs/>
              </w:rPr>
            </w:pPr>
            <w:r>
              <w:rPr>
                <w:b/>
                <w:bCs/>
              </w:rPr>
              <w:t>表4</w:t>
            </w:r>
            <w:r>
              <w:rPr>
                <w:rFonts w:hint="eastAsia"/>
                <w:b/>
                <w:bCs/>
              </w:rPr>
              <w:t>-9</w:t>
            </w:r>
            <w:r>
              <w:rPr>
                <w:b/>
                <w:bCs/>
              </w:rPr>
              <w:t xml:space="preserve"> 废气监测计划表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619"/>
              <w:gridCol w:w="1560"/>
              <w:gridCol w:w="2770"/>
            </w:tblGrid>
            <w:tr w14:paraId="0B7D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2F87B38B">
                  <w:pPr>
                    <w:spacing w:line="360" w:lineRule="auto"/>
                    <w:jc w:val="center"/>
                  </w:pPr>
                  <w:r>
                    <w:t>监测点位</w:t>
                  </w:r>
                </w:p>
              </w:tc>
              <w:tc>
                <w:tcPr>
                  <w:tcW w:w="1619" w:type="dxa"/>
                </w:tcPr>
                <w:p w14:paraId="03FFAEBF">
                  <w:pPr>
                    <w:spacing w:line="360" w:lineRule="auto"/>
                    <w:jc w:val="center"/>
                  </w:pPr>
                  <w:r>
                    <w:t>监测因子</w:t>
                  </w:r>
                </w:p>
              </w:tc>
              <w:tc>
                <w:tcPr>
                  <w:tcW w:w="1560" w:type="dxa"/>
                </w:tcPr>
                <w:p w14:paraId="02DF814C">
                  <w:pPr>
                    <w:spacing w:line="360" w:lineRule="auto"/>
                    <w:jc w:val="center"/>
                  </w:pPr>
                  <w:r>
                    <w:t>监测频次</w:t>
                  </w:r>
                </w:p>
              </w:tc>
              <w:tc>
                <w:tcPr>
                  <w:tcW w:w="2770" w:type="dxa"/>
                </w:tcPr>
                <w:p w14:paraId="53700505">
                  <w:pPr>
                    <w:spacing w:line="360" w:lineRule="auto"/>
                    <w:jc w:val="center"/>
                  </w:pPr>
                  <w:r>
                    <w:t>执行排放标准</w:t>
                  </w:r>
                </w:p>
              </w:tc>
            </w:tr>
            <w:tr w14:paraId="3AB5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2" w:type="dxa"/>
                  <w:vAlign w:val="center"/>
                </w:tcPr>
                <w:p w14:paraId="64830270">
                  <w:pPr>
                    <w:jc w:val="center"/>
                    <w:rPr>
                      <w:color w:val="000000" w:themeColor="text1"/>
                      <w14:textFill>
                        <w14:solidFill>
                          <w14:schemeClr w14:val="tx1"/>
                        </w14:solidFill>
                      </w14:textFill>
                    </w:rPr>
                  </w:pPr>
                  <w:r>
                    <w:rPr>
                      <w:color w:val="000000" w:themeColor="text1"/>
                      <w14:textFill>
                        <w14:solidFill>
                          <w14:schemeClr w14:val="tx1"/>
                        </w14:solidFill>
                      </w14:textFill>
                    </w:rPr>
                    <w:t>DA001</w:t>
                  </w:r>
                </w:p>
              </w:tc>
              <w:tc>
                <w:tcPr>
                  <w:tcW w:w="1619" w:type="dxa"/>
                  <w:vAlign w:val="center"/>
                </w:tcPr>
                <w:p w14:paraId="110176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颗粒物、S</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X</w:t>
                  </w:r>
                </w:p>
              </w:tc>
              <w:tc>
                <w:tcPr>
                  <w:tcW w:w="1560" w:type="dxa"/>
                  <w:vAlign w:val="center"/>
                </w:tcPr>
                <w:p w14:paraId="001E8C7D">
                  <w:pPr>
                    <w:spacing w:line="360" w:lineRule="auto"/>
                    <w:jc w:val="center"/>
                    <w:rPr>
                      <w:color w:val="000000" w:themeColor="text1"/>
                      <w14:textFill>
                        <w14:solidFill>
                          <w14:schemeClr w14:val="tx1"/>
                        </w14:solidFill>
                      </w14:textFill>
                    </w:rPr>
                  </w:pPr>
                  <w:r>
                    <w:rPr>
                      <w:color w:val="000000" w:themeColor="text1"/>
                      <w:kern w:val="21"/>
                      <w:szCs w:val="21"/>
                      <w14:textFill>
                        <w14:solidFill>
                          <w14:schemeClr w14:val="tx1"/>
                        </w14:solidFill>
                      </w14:textFill>
                    </w:rPr>
                    <w:t>1次/</w:t>
                  </w:r>
                  <w:r>
                    <w:rPr>
                      <w:rFonts w:hint="eastAsia"/>
                      <w:color w:val="000000" w:themeColor="text1"/>
                      <w:kern w:val="21"/>
                      <w:szCs w:val="21"/>
                      <w14:textFill>
                        <w14:solidFill>
                          <w14:schemeClr w14:val="tx1"/>
                        </w14:solidFill>
                      </w14:textFill>
                    </w:rPr>
                    <w:t>月</w:t>
                  </w:r>
                </w:p>
              </w:tc>
              <w:tc>
                <w:tcPr>
                  <w:tcW w:w="2770" w:type="dxa"/>
                  <w:vAlign w:val="center"/>
                </w:tcPr>
                <w:p w14:paraId="2F00547A">
                  <w:pPr>
                    <w:jc w:val="center"/>
                    <w:rPr>
                      <w:color w:val="000000" w:themeColor="text1"/>
                      <w14:textFill>
                        <w14:solidFill>
                          <w14:schemeClr w14:val="tx1"/>
                        </w14:solidFill>
                      </w14:textFill>
                    </w:rPr>
                  </w:pPr>
                  <w:r>
                    <w:rPr>
                      <w:szCs w:val="21"/>
                    </w:rPr>
                    <w:t>《锅炉大气污染物排放标准》（GB13271-2014）中表2新建锅炉</w:t>
                  </w:r>
                  <w:r>
                    <w:rPr>
                      <w:rFonts w:hint="eastAsia"/>
                      <w:szCs w:val="21"/>
                    </w:rPr>
                    <w:t>标准</w:t>
                  </w:r>
                  <w:r>
                    <w:rPr>
                      <w:rFonts w:hint="eastAsia"/>
                      <w:color w:val="000000" w:themeColor="text1"/>
                      <w:szCs w:val="21"/>
                      <w14:textFill>
                        <w14:solidFill>
                          <w14:schemeClr w14:val="tx1"/>
                        </w14:solidFill>
                      </w14:textFill>
                    </w:rPr>
                    <w:t>要求</w:t>
                  </w:r>
                </w:p>
              </w:tc>
            </w:tr>
            <w:bookmarkEnd w:id="9"/>
          </w:tbl>
          <w:p w14:paraId="7AD95C50">
            <w:pPr>
              <w:rPr>
                <w:color w:val="000000" w:themeColor="text1"/>
                <w14:textFill>
                  <w14:solidFill>
                    <w14:schemeClr w14:val="tx1"/>
                  </w14:solidFill>
                </w14:textFill>
              </w:rPr>
            </w:pPr>
          </w:p>
          <w:p w14:paraId="4DCECB7B">
            <w:pPr>
              <w:spacing w:line="360" w:lineRule="auto"/>
              <w:jc w:val="left"/>
              <w:rPr>
                <w:b/>
                <w:bCs/>
                <w:color w:val="000000"/>
                <w:sz w:val="24"/>
              </w:rPr>
            </w:pPr>
          </w:p>
          <w:p w14:paraId="7FB760F2">
            <w:pPr>
              <w:spacing w:line="360" w:lineRule="auto"/>
              <w:jc w:val="left"/>
              <w:rPr>
                <w:b/>
                <w:bCs/>
                <w:color w:val="000000"/>
                <w:sz w:val="24"/>
              </w:rPr>
            </w:pPr>
            <w:r>
              <w:rPr>
                <w:b/>
                <w:bCs/>
                <w:color w:val="000000"/>
                <w:sz w:val="24"/>
              </w:rPr>
              <w:t>1.8 废气环境影响评价</w:t>
            </w:r>
          </w:p>
          <w:p w14:paraId="6988EF62">
            <w:pPr>
              <w:pStyle w:val="4"/>
              <w:spacing w:line="360" w:lineRule="auto"/>
              <w:ind w:left="0" w:firstLine="480" w:firstLineChars="200"/>
              <w:rPr>
                <w:rFonts w:eastAsia="宋体"/>
                <w:b w:val="0"/>
                <w:color w:val="auto"/>
                <w:kern w:val="2"/>
                <w:sz w:val="24"/>
                <w:szCs w:val="24"/>
              </w:rPr>
            </w:pPr>
            <w:r>
              <w:rPr>
                <w:rFonts w:eastAsia="宋体"/>
                <w:b w:val="0"/>
                <w:color w:val="000000" w:themeColor="text1"/>
                <w:kern w:val="2"/>
                <w:sz w:val="24"/>
                <w:szCs w:val="24"/>
                <w14:textFill>
                  <w14:solidFill>
                    <w14:schemeClr w14:val="tx1"/>
                  </w14:solidFill>
                </w14:textFill>
              </w:rPr>
              <w:t>项目所在区域</w:t>
            </w:r>
            <w:r>
              <w:rPr>
                <w:rFonts w:hint="eastAsia" w:eastAsia="宋体"/>
                <w:b w:val="0"/>
                <w:color w:val="000000" w:themeColor="text1"/>
                <w:kern w:val="2"/>
                <w:sz w:val="24"/>
                <w:szCs w:val="24"/>
                <w14:textFill>
                  <w14:solidFill>
                    <w14:schemeClr w14:val="tx1"/>
                  </w14:solidFill>
                </w14:textFill>
              </w:rPr>
              <w:t>为</w:t>
            </w:r>
            <w:r>
              <w:rPr>
                <w:rFonts w:eastAsia="宋体"/>
                <w:b w:val="0"/>
                <w:color w:val="000000" w:themeColor="text1"/>
                <w:kern w:val="2"/>
                <w:sz w:val="24"/>
                <w:szCs w:val="24"/>
                <w14:textFill>
                  <w14:solidFill>
                    <w14:schemeClr w14:val="tx1"/>
                  </w14:solidFill>
                </w14:textFill>
              </w:rPr>
              <w:t>空气质量为达标区，项目</w:t>
            </w:r>
            <w:r>
              <w:rPr>
                <w:rFonts w:hint="eastAsia" w:eastAsia="宋体"/>
                <w:b w:val="0"/>
                <w:color w:val="000000" w:themeColor="text1"/>
                <w:kern w:val="2"/>
                <w:sz w:val="24"/>
                <w:szCs w:val="24"/>
                <w14:textFill>
                  <w14:solidFill>
                    <w14:schemeClr w14:val="tx1"/>
                  </w14:solidFill>
                </w14:textFill>
              </w:rPr>
              <w:t>生物质蒸汽发生器燃烧废气</w:t>
            </w:r>
            <w:r>
              <w:rPr>
                <w:rFonts w:eastAsia="宋体"/>
                <w:b w:val="0"/>
                <w:color w:val="000000" w:themeColor="text1"/>
                <w:kern w:val="2"/>
                <w:sz w:val="24"/>
                <w:szCs w:val="24"/>
                <w14:textFill>
                  <w14:solidFill>
                    <w14:schemeClr w14:val="tx1"/>
                  </w14:solidFill>
                </w14:textFill>
              </w:rPr>
              <w:t>经</w:t>
            </w:r>
            <w:r>
              <w:rPr>
                <w:rFonts w:hint="eastAsia" w:eastAsia="宋体"/>
                <w:b w:val="0"/>
                <w:color w:val="000000" w:themeColor="text1"/>
                <w:kern w:val="2"/>
                <w:sz w:val="24"/>
                <w:szCs w:val="24"/>
                <w14:textFill>
                  <w14:solidFill>
                    <w14:schemeClr w14:val="tx1"/>
                  </w14:solidFill>
                </w14:textFill>
              </w:rPr>
              <w:t>密闭集气管道</w:t>
            </w:r>
            <w:r>
              <w:rPr>
                <w:rFonts w:eastAsia="宋体"/>
                <w:b w:val="0"/>
                <w:color w:val="000000" w:themeColor="text1"/>
                <w:kern w:val="2"/>
                <w:sz w:val="24"/>
                <w:szCs w:val="24"/>
                <w14:textFill>
                  <w14:solidFill>
                    <w14:schemeClr w14:val="tx1"/>
                  </w14:solidFill>
                </w14:textFill>
              </w:rPr>
              <w:t>收集后经</w:t>
            </w:r>
            <w:r>
              <w:rPr>
                <w:rFonts w:hint="eastAsia" w:eastAsia="宋体"/>
                <w:b w:val="0"/>
                <w:color w:val="000000" w:themeColor="text1"/>
                <w:kern w:val="2"/>
                <w:sz w:val="24"/>
                <w:szCs w:val="24"/>
                <w14:textFill>
                  <w14:solidFill>
                    <w14:schemeClr w14:val="tx1"/>
                  </w14:solidFill>
                </w14:textFill>
              </w:rPr>
              <w:t>水喷淋塔</w:t>
            </w:r>
            <w:r>
              <w:rPr>
                <w:rFonts w:eastAsia="宋体"/>
                <w:b w:val="0"/>
                <w:color w:val="000000" w:themeColor="text1"/>
                <w:kern w:val="2"/>
                <w:sz w:val="24"/>
                <w:szCs w:val="24"/>
                <w14:textFill>
                  <w14:solidFill>
                    <w14:schemeClr w14:val="tx1"/>
                  </w14:solidFill>
                </w14:textFill>
              </w:rPr>
              <w:t xml:space="preserve">装置处理后引至 </w:t>
            </w:r>
            <w:r>
              <w:rPr>
                <w:rFonts w:hint="eastAsia" w:eastAsia="宋体"/>
                <w:b w:val="0"/>
                <w:color w:val="000000" w:themeColor="text1"/>
                <w:kern w:val="2"/>
                <w:sz w:val="24"/>
                <w:szCs w:val="24"/>
                <w14:textFill>
                  <w14:solidFill>
                    <w14:schemeClr w14:val="tx1"/>
                  </w14:solidFill>
                </w14:textFill>
              </w:rPr>
              <w:t>2</w:t>
            </w:r>
            <w:r>
              <w:rPr>
                <w:rFonts w:eastAsia="宋体"/>
                <w:b w:val="0"/>
                <w:color w:val="000000" w:themeColor="text1"/>
                <w:kern w:val="2"/>
                <w:sz w:val="24"/>
                <w:szCs w:val="24"/>
                <w14:textFill>
                  <w14:solidFill>
                    <w14:schemeClr w14:val="tx1"/>
                  </w14:solidFill>
                </w14:textFill>
              </w:rPr>
              <w:t>5m 排气筒</w:t>
            </w:r>
            <w:r>
              <w:rPr>
                <w:rFonts w:hint="eastAsia" w:eastAsia="宋体"/>
                <w:b w:val="0"/>
                <w:color w:val="000000" w:themeColor="text1"/>
                <w:kern w:val="2"/>
                <w:sz w:val="24"/>
                <w:szCs w:val="24"/>
                <w14:textFill>
                  <w14:solidFill>
                    <w14:schemeClr w14:val="tx1"/>
                  </w14:solidFill>
                </w14:textFill>
              </w:rPr>
              <w:t>（D</w:t>
            </w:r>
            <w:r>
              <w:rPr>
                <w:rFonts w:eastAsia="宋体"/>
                <w:b w:val="0"/>
                <w:color w:val="000000" w:themeColor="text1"/>
                <w:kern w:val="2"/>
                <w:sz w:val="24"/>
                <w:szCs w:val="24"/>
                <w14:textFill>
                  <w14:solidFill>
                    <w14:schemeClr w14:val="tx1"/>
                  </w14:solidFill>
                </w14:textFill>
              </w:rPr>
              <w:t>A00</w:t>
            </w:r>
            <w:r>
              <w:rPr>
                <w:rFonts w:hint="eastAsia" w:eastAsia="宋体"/>
                <w:b w:val="0"/>
                <w:color w:val="000000" w:themeColor="text1"/>
                <w:kern w:val="2"/>
                <w:sz w:val="24"/>
                <w:szCs w:val="24"/>
                <w14:textFill>
                  <w14:solidFill>
                    <w14:schemeClr w14:val="tx1"/>
                  </w14:solidFill>
                </w14:textFill>
              </w:rPr>
              <w:t>1）</w:t>
            </w:r>
            <w:r>
              <w:rPr>
                <w:rFonts w:eastAsia="宋体"/>
                <w:b w:val="0"/>
                <w:color w:val="000000" w:themeColor="text1"/>
                <w:kern w:val="2"/>
                <w:sz w:val="24"/>
                <w:szCs w:val="24"/>
                <w14:textFill>
                  <w14:solidFill>
                    <w14:schemeClr w14:val="tx1"/>
                  </w14:solidFill>
                </w14:textFill>
              </w:rPr>
              <w:t>达标排放</w:t>
            </w:r>
            <w:r>
              <w:rPr>
                <w:rFonts w:hint="eastAsia" w:eastAsia="宋体"/>
                <w:b w:val="0"/>
                <w:color w:val="000000" w:themeColor="text1"/>
                <w:kern w:val="2"/>
                <w:sz w:val="24"/>
                <w:szCs w:val="24"/>
                <w14:textFill>
                  <w14:solidFill>
                    <w14:schemeClr w14:val="tx1"/>
                  </w14:solidFill>
                </w14:textFill>
              </w:rPr>
              <w:t>；</w:t>
            </w:r>
            <w:r>
              <w:rPr>
                <w:rFonts w:eastAsia="宋体"/>
                <w:b w:val="0"/>
                <w:color w:val="auto"/>
                <w:kern w:val="2"/>
                <w:sz w:val="24"/>
                <w:szCs w:val="24"/>
              </w:rPr>
              <w:t>废气采取措施处理后，对周边环境的影响较小</w:t>
            </w:r>
            <w:r>
              <w:rPr>
                <w:rFonts w:hint="eastAsia" w:eastAsia="宋体"/>
                <w:b w:val="0"/>
                <w:color w:val="auto"/>
                <w:kern w:val="2"/>
                <w:sz w:val="24"/>
                <w:szCs w:val="24"/>
              </w:rPr>
              <w:t>。</w:t>
            </w:r>
          </w:p>
          <w:p w14:paraId="653217D7">
            <w:pPr>
              <w:pStyle w:val="61"/>
              <w:adjustRightInd/>
              <w:snapToGrid/>
              <w:spacing w:line="240" w:lineRule="auto"/>
              <w:rPr>
                <w:sz w:val="21"/>
                <w:szCs w:val="21"/>
              </w:rPr>
            </w:pPr>
          </w:p>
          <w:p w14:paraId="54082F0E">
            <w:pPr>
              <w:adjustRightInd w:val="0"/>
              <w:snapToGrid w:val="0"/>
              <w:spacing w:line="360" w:lineRule="auto"/>
              <w:rPr>
                <w:rFonts w:hint="eastAsia" w:ascii="宋体" w:hAnsi="宋体"/>
                <w:bCs/>
                <w:spacing w:val="-10"/>
                <w:sz w:val="24"/>
              </w:rPr>
            </w:pPr>
            <w:r>
              <w:rPr>
                <w:rFonts w:hint="eastAsia" w:ascii="宋体" w:hAnsi="宋体"/>
                <w:b/>
                <w:spacing w:val="-10"/>
                <w:sz w:val="24"/>
              </w:rPr>
              <w:t>2.废水</w:t>
            </w:r>
          </w:p>
          <w:p w14:paraId="5902144F">
            <w:pPr>
              <w:adjustRightInd w:val="0"/>
              <w:snapToGrid w:val="0"/>
              <w:spacing w:line="360" w:lineRule="auto"/>
              <w:rPr>
                <w:rFonts w:hint="eastAsia" w:ascii="宋体" w:hAnsi="宋体"/>
                <w:bCs/>
                <w:spacing w:val="-10"/>
                <w:sz w:val="24"/>
              </w:rPr>
            </w:pPr>
            <w:r>
              <w:rPr>
                <w:rFonts w:hint="eastAsia" w:ascii="宋体" w:hAnsi="宋体"/>
                <w:b/>
                <w:spacing w:val="-10"/>
                <w:sz w:val="24"/>
              </w:rPr>
              <w:t>2.1废水污染源分析</w:t>
            </w:r>
          </w:p>
          <w:p w14:paraId="71BF813D">
            <w:pPr>
              <w:adjustRightInd w:val="0"/>
              <w:snapToGrid w:val="0"/>
              <w:spacing w:line="360" w:lineRule="auto"/>
              <w:ind w:firstLine="480" w:firstLineChars="200"/>
              <w:rPr>
                <w:bCs/>
                <w:sz w:val="24"/>
              </w:rPr>
            </w:pPr>
            <w:r>
              <w:rPr>
                <w:rFonts w:hint="eastAsia"/>
                <w:bCs/>
                <w:sz w:val="24"/>
              </w:rPr>
              <w:t>本项目用水主要为生活用水和生产用水</w:t>
            </w:r>
          </w:p>
          <w:p w14:paraId="674A92BD">
            <w:pPr>
              <w:adjustRightInd w:val="0"/>
              <w:snapToGrid w:val="0"/>
              <w:spacing w:line="360" w:lineRule="auto"/>
              <w:ind w:firstLine="240" w:firstLineChars="100"/>
              <w:rPr>
                <w:bCs/>
                <w:sz w:val="24"/>
              </w:rPr>
            </w:pPr>
            <w:r>
              <w:rPr>
                <w:rFonts w:hint="eastAsia"/>
                <w:bCs/>
                <w:sz w:val="24"/>
              </w:rPr>
              <w:t>1、用水情况</w:t>
            </w:r>
          </w:p>
          <w:p w14:paraId="264121A8">
            <w:pPr>
              <w:pStyle w:val="2"/>
              <w:spacing w:after="0"/>
              <w:ind w:left="0" w:leftChars="0" w:firstLine="480"/>
              <w:rPr>
                <w:szCs w:val="24"/>
              </w:rPr>
            </w:pPr>
            <w:r>
              <w:rPr>
                <w:rFonts w:hint="eastAsia"/>
                <w:szCs w:val="24"/>
              </w:rPr>
              <w:t>（1）生活用水</w:t>
            </w:r>
          </w:p>
          <w:p w14:paraId="257B2D86">
            <w:pPr>
              <w:pStyle w:val="2"/>
              <w:spacing w:after="0"/>
              <w:ind w:left="0" w:leftChars="0" w:firstLine="480"/>
              <w:rPr>
                <w:szCs w:val="24"/>
              </w:rPr>
            </w:pPr>
            <w:r>
              <w:rPr>
                <w:rFonts w:hint="eastAsia"/>
                <w:szCs w:val="24"/>
              </w:rPr>
              <w:t>本项目员工1</w:t>
            </w:r>
            <w:r>
              <w:rPr>
                <w:szCs w:val="24"/>
              </w:rPr>
              <w:t>0人且不涉及住宿， 根据《湖南省地方标准用水定额》（DB43/T388-2020）中相关参数，用水量按50L/人•d计；项目年运营3</w:t>
            </w:r>
            <w:r>
              <w:rPr>
                <w:rFonts w:hint="eastAsia"/>
                <w:szCs w:val="24"/>
              </w:rPr>
              <w:t>00</w:t>
            </w:r>
            <w:r>
              <w:rPr>
                <w:szCs w:val="24"/>
              </w:rPr>
              <w:t>天，则生活用水量为</w:t>
            </w:r>
            <w:r>
              <w:rPr>
                <w:rFonts w:hint="eastAsia"/>
                <w:szCs w:val="24"/>
              </w:rPr>
              <w:t>0.5</w:t>
            </w:r>
            <w:r>
              <w:rPr>
                <w:szCs w:val="24"/>
              </w:rPr>
              <w:t>m</w:t>
            </w:r>
            <w:r>
              <w:rPr>
                <w:szCs w:val="24"/>
                <w:vertAlign w:val="superscript"/>
              </w:rPr>
              <w:t>3</w:t>
            </w:r>
            <w:r>
              <w:rPr>
                <w:szCs w:val="24"/>
              </w:rPr>
              <w:t>/d、</w:t>
            </w:r>
            <w:r>
              <w:rPr>
                <w:rFonts w:hint="eastAsia"/>
                <w:szCs w:val="24"/>
              </w:rPr>
              <w:t>150</w:t>
            </w:r>
            <w:r>
              <w:rPr>
                <w:szCs w:val="24"/>
              </w:rPr>
              <w:t>m</w:t>
            </w:r>
            <w:r>
              <w:rPr>
                <w:szCs w:val="24"/>
                <w:vertAlign w:val="superscript"/>
              </w:rPr>
              <w:t>3</w:t>
            </w:r>
            <w:r>
              <w:rPr>
                <w:szCs w:val="24"/>
              </w:rPr>
              <w:t xml:space="preserve">/a。 </w:t>
            </w:r>
          </w:p>
          <w:p w14:paraId="018E388A">
            <w:pPr>
              <w:pStyle w:val="2"/>
              <w:spacing w:after="0"/>
              <w:ind w:left="0" w:leftChars="0" w:firstLine="0" w:firstLineChars="0"/>
              <w:rPr>
                <w:szCs w:val="24"/>
              </w:rPr>
            </w:pPr>
            <w:r>
              <w:rPr>
                <w:rFonts w:hint="eastAsia"/>
                <w:szCs w:val="24"/>
              </w:rPr>
              <w:t>（2）</w:t>
            </w:r>
            <w:r>
              <w:rPr>
                <w:szCs w:val="24"/>
              </w:rPr>
              <w:t xml:space="preserve">生产用水 </w:t>
            </w:r>
          </w:p>
          <w:p w14:paraId="481BA4DA">
            <w:pPr>
              <w:pStyle w:val="2"/>
              <w:spacing w:after="0"/>
              <w:ind w:left="0" w:leftChars="0" w:firstLine="480"/>
              <w:rPr>
                <w:szCs w:val="24"/>
              </w:rPr>
            </w:pPr>
            <w:r>
              <w:rPr>
                <w:rFonts w:hint="eastAsia" w:ascii="宋体" w:hAnsi="宋体" w:cs="Cambria Math"/>
                <w:szCs w:val="24"/>
              </w:rPr>
              <w:t>①</w:t>
            </w:r>
            <w:r>
              <w:rPr>
                <w:szCs w:val="24"/>
              </w:rPr>
              <w:t>锅炉用水：</w:t>
            </w:r>
          </w:p>
          <w:p w14:paraId="0375C6E0">
            <w:pPr>
              <w:pStyle w:val="2"/>
              <w:spacing w:after="0"/>
              <w:ind w:left="0" w:leftChars="0" w:firstLine="480"/>
              <w:rPr>
                <w:szCs w:val="24"/>
              </w:rPr>
            </w:pPr>
            <w:r>
              <w:rPr>
                <w:szCs w:val="24"/>
              </w:rPr>
              <w:t>项目拟配备1台</w:t>
            </w:r>
            <w:r>
              <w:rPr>
                <w:rFonts w:hint="eastAsia"/>
                <w:szCs w:val="24"/>
              </w:rPr>
              <w:t>1.5</w:t>
            </w:r>
            <w:r>
              <w:rPr>
                <w:szCs w:val="24"/>
              </w:rPr>
              <w:t>t/h的蒸汽</w:t>
            </w:r>
            <w:r>
              <w:rPr>
                <w:rFonts w:hint="eastAsia"/>
                <w:szCs w:val="24"/>
              </w:rPr>
              <w:t>发生器</w:t>
            </w:r>
            <w:r>
              <w:rPr>
                <w:szCs w:val="24"/>
              </w:rPr>
              <w:t>提供蒸汽，蒸汽</w:t>
            </w:r>
            <w:r>
              <w:rPr>
                <w:rFonts w:hint="eastAsia"/>
                <w:szCs w:val="24"/>
              </w:rPr>
              <w:t>发生器</w:t>
            </w:r>
            <w:r>
              <w:rPr>
                <w:szCs w:val="24"/>
              </w:rPr>
              <w:t>自带软化水设备，锅炉负荷</w:t>
            </w:r>
            <w:r>
              <w:rPr>
                <w:rFonts w:hint="eastAsia"/>
                <w:szCs w:val="24"/>
              </w:rPr>
              <w:t>1.5</w:t>
            </w:r>
            <w:r>
              <w:rPr>
                <w:szCs w:val="24"/>
              </w:rPr>
              <w:t>t/h，年运行约</w:t>
            </w:r>
            <w:r>
              <w:rPr>
                <w:rFonts w:hint="eastAsia"/>
                <w:szCs w:val="24"/>
              </w:rPr>
              <w:t>240</w:t>
            </w:r>
            <w:r>
              <w:rPr>
                <w:szCs w:val="24"/>
              </w:rPr>
              <w:t>0h，产蒸汽量约为</w:t>
            </w:r>
            <w:r>
              <w:rPr>
                <w:rFonts w:hint="eastAsia"/>
                <w:szCs w:val="24"/>
              </w:rPr>
              <w:t>36</w:t>
            </w:r>
            <w:r>
              <w:rPr>
                <w:szCs w:val="24"/>
              </w:rPr>
              <w:t>00t/a，主要为</w:t>
            </w:r>
            <w:r>
              <w:rPr>
                <w:rFonts w:hint="eastAsia"/>
                <w:szCs w:val="24"/>
              </w:rPr>
              <w:t>蒸汽洗涤</w:t>
            </w:r>
            <w:r>
              <w:rPr>
                <w:szCs w:val="24"/>
              </w:rPr>
              <w:t>工艺流程提供蒸汽，锅炉产生的蒸汽全部进入生产线消耗。</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《排放源统计调查产排污核算方法和系数手册（工业锅炉（热力供应）行业系数手册）》（2021年）生物质燃料锅炉（锅外水处理）产污系数为0.</w:t>
            </w:r>
            <w:r>
              <w:rPr>
                <w:rFonts w:hint="eastAsia"/>
                <w:color w:val="000000" w:themeColor="text1"/>
                <w14:textFill>
                  <w14:solidFill>
                    <w14:schemeClr w14:val="tx1"/>
                  </w14:solidFill>
                </w14:textFill>
              </w:rPr>
              <w:t>356</w:t>
            </w:r>
            <w:r>
              <w:rPr>
                <w:color w:val="000000" w:themeColor="text1"/>
                <w14:textFill>
                  <w14:solidFill>
                    <w14:schemeClr w14:val="tx1"/>
                  </w14:solidFill>
                </w14:textFill>
              </w:rPr>
              <w:t>吨/吨-原料（锅炉排污水十软化处理废水），</w:t>
            </w:r>
            <w:r>
              <w:rPr>
                <w:rFonts w:hint="eastAsia"/>
                <w:color w:val="000000" w:themeColor="text1"/>
                <w14:textFill>
                  <w14:solidFill>
                    <w14:schemeClr w14:val="tx1"/>
                  </w14:solidFill>
                </w14:textFill>
              </w:rPr>
              <w:t>项目使用颗粒物为564t/a，</w:t>
            </w:r>
            <w:r>
              <w:rPr>
                <w:color w:val="000000" w:themeColor="text1"/>
                <w14:textFill>
                  <w14:solidFill>
                    <w14:schemeClr w14:val="tx1"/>
                  </w14:solidFill>
                </w14:textFill>
              </w:rPr>
              <w:t>则锅炉排污水十软化处理废水量为</w:t>
            </w:r>
            <w:r>
              <w:rPr>
                <w:rFonts w:hint="eastAsia"/>
                <w:color w:val="000000" w:themeColor="text1"/>
                <w14:textFill>
                  <w14:solidFill>
                    <w14:schemeClr w14:val="tx1"/>
                  </w14:solidFill>
                </w14:textFill>
              </w:rPr>
              <w:t>0.669</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200.8</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p>
          <w:p w14:paraId="585B1EEB">
            <w:pPr>
              <w:spacing w:line="480" w:lineRule="exact"/>
              <w:ind w:firstLine="480" w:firstLineChars="200"/>
              <w:jc w:val="left"/>
              <w:rPr>
                <w:sz w:val="24"/>
              </w:rPr>
            </w:pPr>
            <w:r>
              <w:rPr>
                <w:sz w:val="24"/>
              </w:rPr>
              <w:t>根据建设方提供的资料，在洗衣机内</w:t>
            </w:r>
            <w:r>
              <w:rPr>
                <w:rFonts w:hint="eastAsia"/>
                <w:sz w:val="24"/>
              </w:rPr>
              <w:t>洗涤</w:t>
            </w:r>
            <w:r>
              <w:rPr>
                <w:sz w:val="24"/>
              </w:rPr>
              <w:t>时需通入蒸汽对酒店布草进行加热消毒，将水温加热到60℃</w:t>
            </w:r>
            <w:r>
              <w:rPr>
                <w:rFonts w:hint="eastAsia"/>
                <w:sz w:val="24"/>
              </w:rPr>
              <w:t>，</w:t>
            </w:r>
            <w:r>
              <w:rPr>
                <w:sz w:val="24"/>
              </w:rPr>
              <w:t>这部分蒸汽约占蒸汽</w:t>
            </w:r>
            <w:r>
              <w:rPr>
                <w:rFonts w:hint="eastAsia"/>
                <w:sz w:val="24"/>
              </w:rPr>
              <w:t>总</w:t>
            </w:r>
            <w:r>
              <w:rPr>
                <w:sz w:val="24"/>
              </w:rPr>
              <w:t>量的</w:t>
            </w:r>
            <w:r>
              <w:rPr>
                <w:rFonts w:hint="eastAsia"/>
                <w:sz w:val="24"/>
              </w:rPr>
              <w:t>4</w:t>
            </w:r>
            <w:r>
              <w:rPr>
                <w:sz w:val="24"/>
              </w:rPr>
              <w:t>0%，并在洗衣机内以凝结水形式参与洗涤</w:t>
            </w:r>
            <w:r>
              <w:rPr>
                <w:rFonts w:hint="eastAsia"/>
                <w:sz w:val="24"/>
              </w:rPr>
              <w:t>，进入洗涤</w:t>
            </w:r>
            <w:r>
              <w:rPr>
                <w:sz w:val="24"/>
              </w:rPr>
              <w:t>水量为</w:t>
            </w:r>
            <w:r>
              <w:rPr>
                <w:rFonts w:hint="eastAsia"/>
                <w:sz w:val="24"/>
              </w:rPr>
              <w:t>4.</w:t>
            </w:r>
            <w:r>
              <w:rPr>
                <w:sz w:val="24"/>
              </w:rPr>
              <w:t>8m</w:t>
            </w:r>
            <w:r>
              <w:rPr>
                <w:sz w:val="24"/>
                <w:vertAlign w:val="superscript"/>
              </w:rPr>
              <w:t>3</w:t>
            </w:r>
            <w:r>
              <w:rPr>
                <w:sz w:val="24"/>
              </w:rPr>
              <w:t>/d，</w:t>
            </w:r>
            <w:r>
              <w:rPr>
                <w:rFonts w:hint="eastAsia"/>
                <w:sz w:val="24"/>
              </w:rPr>
              <w:t>1440</w:t>
            </w:r>
            <w:r>
              <w:rPr>
                <w:sz w:val="24"/>
              </w:rPr>
              <w:t>m</w:t>
            </w:r>
            <w:r>
              <w:rPr>
                <w:sz w:val="24"/>
                <w:vertAlign w:val="superscript"/>
              </w:rPr>
              <w:t>3</w:t>
            </w:r>
            <w:r>
              <w:rPr>
                <w:sz w:val="24"/>
              </w:rPr>
              <w:t>/a</w:t>
            </w:r>
            <w:r>
              <w:rPr>
                <w:rFonts w:hint="eastAsia"/>
                <w:sz w:val="24"/>
              </w:rPr>
              <w:t>；剩余60%的蒸汽进入熨烫烘干工序，其中</w:t>
            </w:r>
            <w:r>
              <w:rPr>
                <w:sz w:val="24"/>
              </w:rPr>
              <w:t>蒸汽约有</w:t>
            </w:r>
            <w:r>
              <w:rPr>
                <w:rFonts w:hint="eastAsia"/>
                <w:sz w:val="24"/>
              </w:rPr>
              <w:t>5</w:t>
            </w:r>
            <w:r>
              <w:rPr>
                <w:sz w:val="24"/>
              </w:rPr>
              <w:t>5%进入到蒸汽回收装置循环使用， 5%的蒸汽在熨烫过程中损耗，则回用水量为</w:t>
            </w:r>
            <w:r>
              <w:rPr>
                <w:rFonts w:hint="eastAsia"/>
                <w:sz w:val="24"/>
              </w:rPr>
              <w:t>6.6</w:t>
            </w:r>
            <w:r>
              <w:rPr>
                <w:sz w:val="24"/>
              </w:rPr>
              <w:t>m</w:t>
            </w:r>
            <w:r>
              <w:rPr>
                <w:sz w:val="24"/>
                <w:vertAlign w:val="superscript"/>
              </w:rPr>
              <w:t>3</w:t>
            </w:r>
            <w:r>
              <w:rPr>
                <w:sz w:val="24"/>
              </w:rPr>
              <w:t>/d，</w:t>
            </w:r>
            <w:r>
              <w:rPr>
                <w:rFonts w:hint="eastAsia"/>
                <w:sz w:val="24"/>
              </w:rPr>
              <w:t>19</w:t>
            </w:r>
            <w:r>
              <w:rPr>
                <w:sz w:val="24"/>
              </w:rPr>
              <w:t>80m</w:t>
            </w:r>
            <w:r>
              <w:rPr>
                <w:sz w:val="24"/>
                <w:vertAlign w:val="superscript"/>
              </w:rPr>
              <w:t>3</w:t>
            </w:r>
            <w:r>
              <w:rPr>
                <w:sz w:val="24"/>
              </w:rPr>
              <w:t xml:space="preserve">/a，损耗量为 </w:t>
            </w:r>
            <w:r>
              <w:rPr>
                <w:rFonts w:hint="eastAsia"/>
                <w:sz w:val="24"/>
              </w:rPr>
              <w:t>0.6</w:t>
            </w:r>
            <w:r>
              <w:rPr>
                <w:sz w:val="24"/>
              </w:rPr>
              <w:t>m</w:t>
            </w:r>
            <w:r>
              <w:rPr>
                <w:sz w:val="24"/>
                <w:vertAlign w:val="superscript"/>
              </w:rPr>
              <w:t>3</w:t>
            </w:r>
            <w:r>
              <w:rPr>
                <w:sz w:val="24"/>
              </w:rPr>
              <w:t>/d，</w:t>
            </w:r>
            <w:r>
              <w:rPr>
                <w:rFonts w:hint="eastAsia"/>
                <w:sz w:val="24"/>
              </w:rPr>
              <w:t>180</w:t>
            </w:r>
            <w:r>
              <w:rPr>
                <w:sz w:val="24"/>
              </w:rPr>
              <w:t>m</w:t>
            </w:r>
            <w:r>
              <w:rPr>
                <w:sz w:val="24"/>
                <w:vertAlign w:val="superscript"/>
              </w:rPr>
              <w:t>3</w:t>
            </w:r>
            <w:r>
              <w:rPr>
                <w:sz w:val="24"/>
              </w:rPr>
              <w:t>/a</w:t>
            </w:r>
            <w:r>
              <w:rPr>
                <w:rFonts w:hint="eastAsia"/>
                <w:sz w:val="24"/>
              </w:rPr>
              <w:t>；则本项目</w:t>
            </w:r>
            <w:r>
              <w:rPr>
                <w:sz w:val="24"/>
              </w:rPr>
              <w:t>锅炉</w:t>
            </w:r>
            <w:r>
              <w:rPr>
                <w:rFonts w:hint="eastAsia"/>
                <w:sz w:val="24"/>
              </w:rPr>
              <w:t>总</w:t>
            </w:r>
            <w:r>
              <w:rPr>
                <w:sz w:val="24"/>
              </w:rPr>
              <w:t>用水量约为</w:t>
            </w:r>
            <w:r>
              <w:rPr>
                <w:rFonts w:hint="eastAsia"/>
                <w:sz w:val="24"/>
              </w:rPr>
              <w:t>1820</w:t>
            </w:r>
            <w:r>
              <w:rPr>
                <w:sz w:val="24"/>
              </w:rPr>
              <w:t>.</w:t>
            </w:r>
            <w:r>
              <w:rPr>
                <w:rFonts w:hint="eastAsia"/>
                <w:sz w:val="24"/>
              </w:rPr>
              <w:t>8</w:t>
            </w:r>
            <w:r>
              <w:rPr>
                <w:sz w:val="24"/>
              </w:rPr>
              <w:t>m</w:t>
            </w:r>
            <w:r>
              <w:rPr>
                <w:sz w:val="24"/>
                <w:vertAlign w:val="superscript"/>
              </w:rPr>
              <w:t>3</w:t>
            </w:r>
            <w:r>
              <w:rPr>
                <w:sz w:val="24"/>
              </w:rPr>
              <w:t>/a。</w:t>
            </w:r>
          </w:p>
          <w:p w14:paraId="3ABE0945">
            <w:pPr>
              <w:spacing w:line="480" w:lineRule="exact"/>
              <w:ind w:firstLine="480" w:firstLineChars="200"/>
              <w:jc w:val="left"/>
              <w:rPr>
                <w:bCs/>
                <w:color w:val="000000"/>
                <w:sz w:val="24"/>
              </w:rPr>
            </w:pPr>
            <w:r>
              <w:rPr>
                <w:color w:val="000000" w:themeColor="text1"/>
                <w:sz w:val="24"/>
                <w14:textFill>
                  <w14:solidFill>
                    <w14:schemeClr w14:val="tx1"/>
                  </w14:solidFill>
                </w14:textFill>
              </w:rPr>
              <w:t>锅炉排污水十软化处理废水</w:t>
            </w:r>
            <w:r>
              <w:rPr>
                <w:rFonts w:hint="eastAsia"/>
                <w:color w:val="000000" w:themeColor="text1"/>
                <w:sz w:val="24"/>
                <w14:textFill>
                  <w14:solidFill>
                    <w14:schemeClr w14:val="tx1"/>
                  </w14:solidFill>
                </w14:textFill>
              </w:rPr>
              <w:t>经管道直接排入衡山国祯水处理有限公司处理</w:t>
            </w:r>
            <w:r>
              <w:rPr>
                <w:bCs/>
                <w:color w:val="000000"/>
                <w:sz w:val="24"/>
              </w:rPr>
              <w:t>。</w:t>
            </w:r>
          </w:p>
          <w:p w14:paraId="76590605">
            <w:pPr>
              <w:pStyle w:val="2"/>
              <w:spacing w:after="0"/>
              <w:ind w:left="0" w:leftChars="0" w:firstLine="480"/>
              <w:rPr>
                <w:szCs w:val="24"/>
              </w:rPr>
            </w:pPr>
          </w:p>
          <w:p w14:paraId="6152E45D">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喷淋用水:</w:t>
            </w:r>
          </w:p>
          <w:p w14:paraId="440FB527">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本项目蒸汽发生器燃烧废气采用水喷淋进行处理，水喷淋装置循环水量为 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/h，喷淋塔容量为2m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，水喷淋废水循环使用，每天更换一次，年工作时间按300天，则喷淋废水量约为600m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/a；水喷淋装置循环水量为 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/h，喷淋循环水损耗按照 1%计算，年工作时间按2400小时，则喷淋损耗量为192m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/a，损耗补水量约为 192m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/a，则喷淋用水合计为792m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w:t>
            </w:r>
          </w:p>
          <w:p w14:paraId="29A56C31">
            <w:pPr>
              <w:pStyle w:val="2"/>
              <w:spacing w:after="0"/>
              <w:ind w:left="0" w:leftChars="0" w:firstLine="480"/>
              <w:rPr>
                <w:szCs w:val="24"/>
              </w:rPr>
            </w:pPr>
            <w:r>
              <w:rPr>
                <w:rFonts w:hint="eastAsia" w:ascii="宋体" w:hAnsi="宋体" w:cs="Cambria Math"/>
                <w:szCs w:val="24"/>
              </w:rPr>
              <w:t>③</w:t>
            </w:r>
            <w:r>
              <w:rPr>
                <w:szCs w:val="24"/>
              </w:rPr>
              <w:t xml:space="preserve">布草洗涤用水 </w:t>
            </w:r>
          </w:p>
          <w:p w14:paraId="4A34512B">
            <w:pPr>
              <w:pStyle w:val="2"/>
              <w:spacing w:after="0"/>
              <w:ind w:left="0" w:leftChars="0" w:firstLine="480"/>
              <w:rPr>
                <w:szCs w:val="24"/>
              </w:rPr>
            </w:pPr>
            <w:r>
              <w:rPr>
                <w:szCs w:val="24"/>
              </w:rPr>
              <w:t>项目布草洗涤用水参照《建筑给水排水设计规范》（GB50015-2019）中洗衣房的用水定额为40~80L/kg干衣，本项目用水定额取60L/kg干布草。项目洗涤用水主要为床单、被套、枕巾、浴巾、面巾</w:t>
            </w:r>
            <w:r>
              <w:rPr>
                <w:rFonts w:hint="eastAsia"/>
                <w:szCs w:val="24"/>
              </w:rPr>
              <w:t>等，</w:t>
            </w:r>
            <w:r>
              <w:rPr>
                <w:szCs w:val="24"/>
              </w:rPr>
              <w:t>每套布草约2kg，项目清洗量约为</w:t>
            </w:r>
            <w:r>
              <w:rPr>
                <w:rFonts w:hint="eastAsia"/>
                <w:szCs w:val="24"/>
              </w:rPr>
              <w:t>24万</w:t>
            </w:r>
            <w:r>
              <w:rPr>
                <w:szCs w:val="24"/>
              </w:rPr>
              <w:t>套</w:t>
            </w:r>
            <w:r>
              <w:rPr>
                <w:rFonts w:hint="eastAsia"/>
                <w:szCs w:val="24"/>
              </w:rPr>
              <w:t>布草，</w:t>
            </w:r>
            <w:r>
              <w:rPr>
                <w:szCs w:val="24"/>
              </w:rPr>
              <w:t>洗涤布草</w:t>
            </w:r>
            <w:r>
              <w:rPr>
                <w:rFonts w:hint="eastAsia"/>
                <w:szCs w:val="24"/>
              </w:rPr>
              <w:t>重量约48</w:t>
            </w:r>
            <w:r>
              <w:rPr>
                <w:szCs w:val="24"/>
              </w:rPr>
              <w:t>0t，则洗涤用水量为</w:t>
            </w:r>
            <w:r>
              <w:rPr>
                <w:rFonts w:hint="eastAsia"/>
                <w:szCs w:val="24"/>
              </w:rPr>
              <w:t>28800</w:t>
            </w:r>
            <w:r>
              <w:t xml:space="preserve"> m</w:t>
            </w:r>
            <w:r>
              <w:rPr>
                <w:vertAlign w:val="superscript"/>
              </w:rPr>
              <w:t>3</w:t>
            </w:r>
            <w:r>
              <w:t>/a</w:t>
            </w:r>
            <w:r>
              <w:rPr>
                <w:rFonts w:hint="eastAsia"/>
                <w:szCs w:val="24"/>
              </w:rPr>
              <w:t>，其中</w:t>
            </w:r>
            <w:r>
              <w:rPr>
                <w:rFonts w:hint="eastAsia"/>
              </w:rPr>
              <w:t>1440</w:t>
            </w:r>
            <w:r>
              <w:t>m</w:t>
            </w:r>
            <w:r>
              <w:rPr>
                <w:vertAlign w:val="superscript"/>
              </w:rPr>
              <w:t>3</w:t>
            </w:r>
            <w:r>
              <w:t>/a</w:t>
            </w:r>
            <w:r>
              <w:rPr>
                <w:rFonts w:hint="eastAsia"/>
              </w:rPr>
              <w:t>为蒸汽凝水，新鲜水量为</w:t>
            </w:r>
            <w:r>
              <w:rPr>
                <w:rFonts w:hint="eastAsia"/>
                <w:szCs w:val="21"/>
              </w:rPr>
              <w:t>27360</w:t>
            </w:r>
            <w:r>
              <w:t>m</w:t>
            </w:r>
            <w:r>
              <w:rPr>
                <w:vertAlign w:val="superscript"/>
              </w:rPr>
              <w:t>3</w:t>
            </w:r>
            <w:r>
              <w:t>/a</w:t>
            </w:r>
            <w:r>
              <w:rPr>
                <w:rFonts w:hint="eastAsia"/>
              </w:rPr>
              <w:t>。</w:t>
            </w:r>
          </w:p>
          <w:p w14:paraId="2DDEAF48">
            <w:pPr>
              <w:spacing w:line="480" w:lineRule="exact"/>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10</w:t>
            </w:r>
            <w:r>
              <w:rPr>
                <w:b/>
                <w:bCs/>
                <w:color w:val="000000" w:themeColor="text1"/>
                <w:szCs w:val="21"/>
                <w14:textFill>
                  <w14:solidFill>
                    <w14:schemeClr w14:val="tx1"/>
                  </w14:solidFill>
                </w14:textFill>
              </w:rPr>
              <w:t xml:space="preserve"> 项目用水情况一览表</w:t>
            </w:r>
          </w:p>
          <w:tbl>
            <w:tblPr>
              <w:tblStyle w:val="2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86"/>
              <w:gridCol w:w="1345"/>
              <w:gridCol w:w="1025"/>
              <w:gridCol w:w="1014"/>
              <w:gridCol w:w="1025"/>
              <w:gridCol w:w="1014"/>
              <w:gridCol w:w="1305"/>
            </w:tblGrid>
            <w:tr w14:paraId="612A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2645ED41">
                  <w:pPr>
                    <w:spacing w:line="0" w:lineRule="atLeast"/>
                    <w:rPr>
                      <w:b/>
                      <w:bCs/>
                      <w:szCs w:val="21"/>
                    </w:rPr>
                  </w:pPr>
                  <w:r>
                    <w:rPr>
                      <w:b/>
                      <w:bCs/>
                      <w:szCs w:val="21"/>
                    </w:rPr>
                    <w:t>序号</w:t>
                  </w:r>
                </w:p>
              </w:tc>
              <w:tc>
                <w:tcPr>
                  <w:tcW w:w="493" w:type="pct"/>
                  <w:vAlign w:val="center"/>
                </w:tcPr>
                <w:p w14:paraId="63ABA164">
                  <w:pPr>
                    <w:spacing w:line="0" w:lineRule="atLeast"/>
                    <w:jc w:val="center"/>
                    <w:rPr>
                      <w:b/>
                      <w:bCs/>
                      <w:szCs w:val="21"/>
                    </w:rPr>
                  </w:pPr>
                  <w:r>
                    <w:rPr>
                      <w:b/>
                      <w:bCs/>
                      <w:szCs w:val="21"/>
                    </w:rPr>
                    <w:t>类别</w:t>
                  </w:r>
                </w:p>
              </w:tc>
              <w:tc>
                <w:tcPr>
                  <w:tcW w:w="845" w:type="pct"/>
                  <w:vAlign w:val="center"/>
                </w:tcPr>
                <w:p w14:paraId="4A5B5DCF">
                  <w:pPr>
                    <w:spacing w:line="0" w:lineRule="atLeast"/>
                    <w:jc w:val="center"/>
                    <w:rPr>
                      <w:b/>
                      <w:bCs/>
                      <w:szCs w:val="21"/>
                    </w:rPr>
                  </w:pPr>
                  <w:r>
                    <w:rPr>
                      <w:b/>
                      <w:bCs/>
                      <w:szCs w:val="21"/>
                    </w:rPr>
                    <w:t>用水定额</w:t>
                  </w:r>
                </w:p>
              </w:tc>
              <w:tc>
                <w:tcPr>
                  <w:tcW w:w="644" w:type="pct"/>
                  <w:vAlign w:val="center"/>
                </w:tcPr>
                <w:p w14:paraId="2E2A97EE">
                  <w:pPr>
                    <w:spacing w:line="0" w:lineRule="atLeast"/>
                    <w:jc w:val="center"/>
                    <w:rPr>
                      <w:b/>
                      <w:bCs/>
                      <w:szCs w:val="21"/>
                    </w:rPr>
                  </w:pPr>
                  <w:r>
                    <w:rPr>
                      <w:b/>
                      <w:bCs/>
                      <w:szCs w:val="21"/>
                    </w:rPr>
                    <w:t>用水量（m</w:t>
                  </w:r>
                  <w:r>
                    <w:rPr>
                      <w:b/>
                      <w:bCs/>
                      <w:szCs w:val="21"/>
                      <w:vertAlign w:val="superscript"/>
                    </w:rPr>
                    <w:t>3</w:t>
                  </w:r>
                  <w:r>
                    <w:rPr>
                      <w:b/>
                      <w:bCs/>
                      <w:szCs w:val="21"/>
                    </w:rPr>
                    <w:t>/d）</w:t>
                  </w:r>
                </w:p>
              </w:tc>
              <w:tc>
                <w:tcPr>
                  <w:tcW w:w="637" w:type="pct"/>
                  <w:vAlign w:val="center"/>
                </w:tcPr>
                <w:p w14:paraId="3313551C">
                  <w:pPr>
                    <w:spacing w:line="0" w:lineRule="atLeast"/>
                    <w:jc w:val="center"/>
                    <w:rPr>
                      <w:b/>
                      <w:bCs/>
                      <w:szCs w:val="21"/>
                    </w:rPr>
                  </w:pPr>
                  <w:r>
                    <w:rPr>
                      <w:b/>
                      <w:bCs/>
                      <w:szCs w:val="21"/>
                    </w:rPr>
                    <w:t>用水量（m</w:t>
                  </w:r>
                  <w:r>
                    <w:rPr>
                      <w:b/>
                      <w:bCs/>
                      <w:szCs w:val="21"/>
                      <w:vertAlign w:val="superscript"/>
                    </w:rPr>
                    <w:t>3</w:t>
                  </w:r>
                  <w:r>
                    <w:rPr>
                      <w:b/>
                      <w:bCs/>
                      <w:szCs w:val="21"/>
                    </w:rPr>
                    <w:t>/a）</w:t>
                  </w:r>
                </w:p>
              </w:tc>
              <w:tc>
                <w:tcPr>
                  <w:tcW w:w="644" w:type="pct"/>
                  <w:vAlign w:val="center"/>
                </w:tcPr>
                <w:p w14:paraId="07B4F03D">
                  <w:pPr>
                    <w:spacing w:line="0" w:lineRule="atLeast"/>
                    <w:jc w:val="center"/>
                    <w:rPr>
                      <w:b/>
                      <w:bCs/>
                      <w:szCs w:val="21"/>
                    </w:rPr>
                  </w:pPr>
                  <w:r>
                    <w:rPr>
                      <w:b/>
                      <w:bCs/>
                      <w:szCs w:val="21"/>
                    </w:rPr>
                    <w:t>排水量（m</w:t>
                  </w:r>
                  <w:r>
                    <w:rPr>
                      <w:b/>
                      <w:bCs/>
                      <w:szCs w:val="21"/>
                      <w:vertAlign w:val="superscript"/>
                    </w:rPr>
                    <w:t>3</w:t>
                  </w:r>
                  <w:r>
                    <w:rPr>
                      <w:b/>
                      <w:bCs/>
                      <w:szCs w:val="21"/>
                    </w:rPr>
                    <w:t>/d）</w:t>
                  </w:r>
                </w:p>
              </w:tc>
              <w:tc>
                <w:tcPr>
                  <w:tcW w:w="637" w:type="pct"/>
                  <w:vAlign w:val="center"/>
                </w:tcPr>
                <w:p w14:paraId="4370F833">
                  <w:pPr>
                    <w:spacing w:line="0" w:lineRule="atLeast"/>
                    <w:jc w:val="center"/>
                    <w:rPr>
                      <w:b/>
                      <w:bCs/>
                      <w:szCs w:val="21"/>
                    </w:rPr>
                  </w:pPr>
                  <w:r>
                    <w:rPr>
                      <w:b/>
                      <w:bCs/>
                      <w:szCs w:val="21"/>
                    </w:rPr>
                    <w:t>排水量（m</w:t>
                  </w:r>
                  <w:r>
                    <w:rPr>
                      <w:b/>
                      <w:bCs/>
                      <w:szCs w:val="21"/>
                      <w:vertAlign w:val="superscript"/>
                    </w:rPr>
                    <w:t>3</w:t>
                  </w:r>
                  <w:r>
                    <w:rPr>
                      <w:b/>
                      <w:bCs/>
                      <w:szCs w:val="21"/>
                    </w:rPr>
                    <w:t>/a）</w:t>
                  </w:r>
                </w:p>
              </w:tc>
              <w:tc>
                <w:tcPr>
                  <w:tcW w:w="820" w:type="pct"/>
                  <w:vAlign w:val="center"/>
                </w:tcPr>
                <w:p w14:paraId="5FEEA487">
                  <w:pPr>
                    <w:spacing w:line="0" w:lineRule="atLeast"/>
                    <w:ind w:firstLine="422"/>
                    <w:jc w:val="center"/>
                    <w:rPr>
                      <w:b/>
                      <w:bCs/>
                      <w:szCs w:val="21"/>
                    </w:rPr>
                  </w:pPr>
                  <w:r>
                    <w:rPr>
                      <w:b/>
                      <w:bCs/>
                      <w:szCs w:val="21"/>
                    </w:rPr>
                    <w:t>备注</w:t>
                  </w:r>
                </w:p>
              </w:tc>
            </w:tr>
            <w:tr w14:paraId="18F2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9" w:type="pct"/>
                  <w:vAlign w:val="center"/>
                </w:tcPr>
                <w:p w14:paraId="3D4A3004">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93" w:type="pct"/>
                  <w:vAlign w:val="center"/>
                </w:tcPr>
                <w:p w14:paraId="6220D1C2">
                  <w:pPr>
                    <w:spacing w:line="0" w:lineRule="atLeast"/>
                    <w:jc w:val="center"/>
                    <w:rPr>
                      <w:bCs/>
                      <w:color w:val="000000"/>
                      <w:szCs w:val="21"/>
                    </w:rPr>
                  </w:pPr>
                  <w:r>
                    <w:rPr>
                      <w:rFonts w:hint="eastAsia"/>
                      <w:bCs/>
                      <w:szCs w:val="21"/>
                    </w:rPr>
                    <w:t>布草洗涤</w:t>
                  </w:r>
                  <w:r>
                    <w:rPr>
                      <w:bCs/>
                      <w:szCs w:val="21"/>
                    </w:rPr>
                    <w:t>用水</w:t>
                  </w:r>
                </w:p>
              </w:tc>
              <w:tc>
                <w:tcPr>
                  <w:tcW w:w="845" w:type="pct"/>
                  <w:shd w:val="clear" w:color="auto" w:fill="auto"/>
                  <w:vAlign w:val="center"/>
                </w:tcPr>
                <w:p w14:paraId="201BE42F">
                  <w:pPr>
                    <w:spacing w:line="0" w:lineRule="atLeast"/>
                    <w:jc w:val="center"/>
                    <w:rPr>
                      <w:b/>
                      <w:bCs/>
                      <w:szCs w:val="21"/>
                    </w:rPr>
                  </w:pPr>
                  <w:r>
                    <w:t>60L/kg</w:t>
                  </w:r>
                </w:p>
              </w:tc>
              <w:tc>
                <w:tcPr>
                  <w:tcW w:w="644" w:type="pct"/>
                  <w:vAlign w:val="center"/>
                </w:tcPr>
                <w:p w14:paraId="690D9758">
                  <w:pPr>
                    <w:spacing w:line="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96</w:t>
                  </w:r>
                </w:p>
              </w:tc>
              <w:tc>
                <w:tcPr>
                  <w:tcW w:w="637" w:type="pct"/>
                  <w:vAlign w:val="center"/>
                </w:tcPr>
                <w:p w14:paraId="4973F49E">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28800（</w:t>
                  </w:r>
                  <w:r>
                    <w:rPr>
                      <w:rFonts w:hint="eastAsia"/>
                      <w:szCs w:val="21"/>
                    </w:rPr>
                    <w:t>27360为新鲜水</w:t>
                  </w:r>
                  <w:r>
                    <w:rPr>
                      <w:rFonts w:hint="eastAsia"/>
                      <w:color w:val="000000" w:themeColor="text1"/>
                      <w:szCs w:val="21"/>
                      <w14:textFill>
                        <w14:solidFill>
                          <w14:schemeClr w14:val="tx1"/>
                        </w14:solidFill>
                      </w14:textFill>
                    </w:rPr>
                    <w:t>）</w:t>
                  </w:r>
                </w:p>
              </w:tc>
              <w:tc>
                <w:tcPr>
                  <w:tcW w:w="644" w:type="pct"/>
                  <w:vAlign w:val="center"/>
                </w:tcPr>
                <w:p w14:paraId="007C2F96">
                  <w:pPr>
                    <w:spacing w:line="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67.2</w:t>
                  </w:r>
                </w:p>
              </w:tc>
              <w:tc>
                <w:tcPr>
                  <w:tcW w:w="637" w:type="pct"/>
                  <w:vAlign w:val="center"/>
                </w:tcPr>
                <w:p w14:paraId="373A4D55">
                  <w:pPr>
                    <w:spacing w:line="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20160</w:t>
                  </w:r>
                </w:p>
              </w:tc>
              <w:tc>
                <w:tcPr>
                  <w:tcW w:w="820" w:type="pct"/>
                  <w:vAlign w:val="center"/>
                </w:tcPr>
                <w:p w14:paraId="52B5866D">
                  <w:pPr>
                    <w:spacing w:line="0" w:lineRule="atLeast"/>
                    <w:jc w:val="center"/>
                    <w:rPr>
                      <w:color w:val="000000" w:themeColor="text1"/>
                      <w:szCs w:val="21"/>
                      <w14:textFill>
                        <w14:solidFill>
                          <w14:schemeClr w14:val="tx1"/>
                        </w14:solidFill>
                      </w14:textFill>
                    </w:rPr>
                  </w:pPr>
                  <w:r>
                    <w:rPr>
                      <w:rFonts w:hint="eastAsia"/>
                      <w:szCs w:val="21"/>
                    </w:rPr>
                    <w:t>1440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为</w:t>
                  </w:r>
                  <w:r>
                    <w:rPr>
                      <w:rFonts w:hint="eastAsia"/>
                      <w:szCs w:val="21"/>
                    </w:rPr>
                    <w:t>蒸汽</w:t>
                  </w:r>
                  <w:r>
                    <w:rPr>
                      <w:szCs w:val="21"/>
                    </w:rPr>
                    <w:t>冷凝水</w:t>
                  </w:r>
                  <w:r>
                    <w:rPr>
                      <w:rFonts w:hint="eastAsia"/>
                      <w:szCs w:val="21"/>
                    </w:rPr>
                    <w:t>，27360为新鲜水</w:t>
                  </w:r>
                </w:p>
              </w:tc>
            </w:tr>
            <w:tr w14:paraId="6F44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3B61BE1D">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93" w:type="pct"/>
                  <w:vAlign w:val="center"/>
                </w:tcPr>
                <w:p w14:paraId="2FC73A53">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锅炉</w:t>
                  </w:r>
                  <w:r>
                    <w:rPr>
                      <w:color w:val="000000" w:themeColor="text1"/>
                      <w:szCs w:val="21"/>
                      <w14:textFill>
                        <w14:solidFill>
                          <w14:schemeClr w14:val="tx1"/>
                        </w14:solidFill>
                      </w14:textFill>
                    </w:rPr>
                    <w:t>用水</w:t>
                  </w:r>
                </w:p>
              </w:tc>
              <w:tc>
                <w:tcPr>
                  <w:tcW w:w="845" w:type="pct"/>
                  <w:vAlign w:val="center"/>
                </w:tcPr>
                <w:p w14:paraId="09154930">
                  <w:pPr>
                    <w:widowControl/>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4" w:type="pct"/>
                  <w:vAlign w:val="center"/>
                </w:tcPr>
                <w:p w14:paraId="10A57169">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12.67</w:t>
                  </w:r>
                </w:p>
              </w:tc>
              <w:tc>
                <w:tcPr>
                  <w:tcW w:w="637" w:type="pct"/>
                  <w:vAlign w:val="center"/>
                </w:tcPr>
                <w:p w14:paraId="35FC7ABF">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1820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p>
              </w:tc>
              <w:tc>
                <w:tcPr>
                  <w:tcW w:w="644" w:type="pct"/>
                  <w:vAlign w:val="center"/>
                </w:tcPr>
                <w:p w14:paraId="31FDD4AB">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0.669</w:t>
                  </w:r>
                </w:p>
              </w:tc>
              <w:tc>
                <w:tcPr>
                  <w:tcW w:w="637" w:type="pct"/>
                  <w:vAlign w:val="center"/>
                </w:tcPr>
                <w:p w14:paraId="71D47172">
                  <w:pPr>
                    <w:spacing w:line="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200.8</w:t>
                  </w:r>
                </w:p>
              </w:tc>
              <w:tc>
                <w:tcPr>
                  <w:tcW w:w="820" w:type="pct"/>
                  <w:vAlign w:val="center"/>
                </w:tcPr>
                <w:p w14:paraId="7E110DA2">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蒸汽3600中40%进入洗涤工序，60%进入烘干熨烫工序</w:t>
                  </w:r>
                </w:p>
              </w:tc>
            </w:tr>
            <w:tr w14:paraId="7B88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44B86F7D">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93" w:type="pct"/>
                  <w:vAlign w:val="center"/>
                </w:tcPr>
                <w:p w14:paraId="7299E9BF">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喷淋用水</w:t>
                  </w:r>
                </w:p>
              </w:tc>
              <w:tc>
                <w:tcPr>
                  <w:tcW w:w="845" w:type="pct"/>
                  <w:vAlign w:val="center"/>
                </w:tcPr>
                <w:p w14:paraId="15A92E57">
                  <w:pPr>
                    <w:widowControl/>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4" w:type="pct"/>
                  <w:vAlign w:val="center"/>
                </w:tcPr>
                <w:p w14:paraId="16636D17">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2.64</w:t>
                  </w:r>
                </w:p>
              </w:tc>
              <w:tc>
                <w:tcPr>
                  <w:tcW w:w="637" w:type="pct"/>
                  <w:vAlign w:val="center"/>
                </w:tcPr>
                <w:p w14:paraId="7F5CC8A5">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644" w:type="pct"/>
                  <w:vAlign w:val="center"/>
                </w:tcPr>
                <w:p w14:paraId="258A521C">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37" w:type="pct"/>
                  <w:vAlign w:val="center"/>
                </w:tcPr>
                <w:p w14:paraId="467CD2DD">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820" w:type="pct"/>
                  <w:vAlign w:val="center"/>
                </w:tcPr>
                <w:p w14:paraId="3DB24832">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损耗量192</w:t>
                  </w:r>
                </w:p>
              </w:tc>
            </w:tr>
            <w:tr w14:paraId="7FE3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79" w:type="pct"/>
                  <w:vAlign w:val="center"/>
                </w:tcPr>
                <w:p w14:paraId="3BC39925">
                  <w:pPr>
                    <w:spacing w:line="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493" w:type="pct"/>
                  <w:vAlign w:val="center"/>
                </w:tcPr>
                <w:p w14:paraId="59D6E6CC">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生活用水</w:t>
                  </w:r>
                </w:p>
              </w:tc>
              <w:tc>
                <w:tcPr>
                  <w:tcW w:w="845" w:type="pct"/>
                  <w:vAlign w:val="center"/>
                </w:tcPr>
                <w:p w14:paraId="24610F74">
                  <w:pPr>
                    <w:widowControl/>
                    <w:spacing w:line="0" w:lineRule="atLeast"/>
                    <w:jc w:val="center"/>
                    <w:rPr>
                      <w:color w:val="000000" w:themeColor="text1"/>
                      <w:szCs w:val="21"/>
                      <w14:textFill>
                        <w14:solidFill>
                          <w14:schemeClr w14:val="tx1"/>
                        </w14:solidFill>
                      </w14:textFill>
                    </w:rPr>
                  </w:pPr>
                  <w:r>
                    <w:t>50L/人•d</w:t>
                  </w:r>
                </w:p>
              </w:tc>
              <w:tc>
                <w:tcPr>
                  <w:tcW w:w="644" w:type="pct"/>
                  <w:vAlign w:val="center"/>
                </w:tcPr>
                <w:p w14:paraId="3A9AABD5">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637" w:type="pct"/>
                  <w:vAlign w:val="center"/>
                </w:tcPr>
                <w:p w14:paraId="5ABEEA49">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644" w:type="pct"/>
                  <w:vAlign w:val="center"/>
                </w:tcPr>
                <w:p w14:paraId="692EDF8A">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w:t>
                  </w:r>
                </w:p>
              </w:tc>
              <w:tc>
                <w:tcPr>
                  <w:tcW w:w="637" w:type="pct"/>
                  <w:vAlign w:val="center"/>
                </w:tcPr>
                <w:p w14:paraId="464295FC">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820" w:type="pct"/>
                  <w:vAlign w:val="center"/>
                </w:tcPr>
                <w:p w14:paraId="0380D11F">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5841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 w:type="pct"/>
                  <w:vAlign w:val="center"/>
                </w:tcPr>
                <w:p w14:paraId="4E198845">
                  <w:pPr>
                    <w:numPr>
                      <w:ilvl w:val="0"/>
                      <w:numId w:val="5"/>
                    </w:numPr>
                    <w:spacing w:line="0" w:lineRule="atLeast"/>
                    <w:jc w:val="center"/>
                    <w:rPr>
                      <w:color w:val="000000" w:themeColor="text1"/>
                      <w:szCs w:val="21"/>
                      <w14:textFill>
                        <w14:solidFill>
                          <w14:schemeClr w14:val="tx1"/>
                        </w14:solidFill>
                      </w14:textFill>
                    </w:rPr>
                  </w:pPr>
                </w:p>
              </w:tc>
              <w:tc>
                <w:tcPr>
                  <w:tcW w:w="1338" w:type="pct"/>
                  <w:gridSpan w:val="2"/>
                  <w:vAlign w:val="center"/>
                </w:tcPr>
                <w:p w14:paraId="448D9E4D">
                  <w:pPr>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644" w:type="pct"/>
                  <w:vAlign w:val="center"/>
                </w:tcPr>
                <w:p w14:paraId="07FEC4A5">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111.81</w:t>
                  </w:r>
                </w:p>
              </w:tc>
              <w:tc>
                <w:tcPr>
                  <w:tcW w:w="637" w:type="pct"/>
                  <w:vAlign w:val="center"/>
                </w:tcPr>
                <w:p w14:paraId="53CAAB28">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30122.8（新鲜水）</w:t>
                  </w:r>
                </w:p>
              </w:tc>
              <w:tc>
                <w:tcPr>
                  <w:tcW w:w="644" w:type="pct"/>
                  <w:vAlign w:val="center"/>
                </w:tcPr>
                <w:p w14:paraId="211506BC">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70.269</w:t>
                  </w:r>
                </w:p>
              </w:tc>
              <w:tc>
                <w:tcPr>
                  <w:tcW w:w="637" w:type="pct"/>
                  <w:vAlign w:val="center"/>
                </w:tcPr>
                <w:p w14:paraId="3EB00EAC">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21080.8</w:t>
                  </w:r>
                </w:p>
              </w:tc>
              <w:tc>
                <w:tcPr>
                  <w:tcW w:w="820" w:type="pct"/>
                  <w:vAlign w:val="center"/>
                </w:tcPr>
                <w:p w14:paraId="032FB50E">
                  <w:pPr>
                    <w:spacing w:line="0" w:lineRule="atLeast"/>
                    <w:jc w:val="center"/>
                    <w:rPr>
                      <w:color w:val="000000" w:themeColor="text1"/>
                      <w:szCs w:val="21"/>
                      <w14:textFill>
                        <w14:solidFill>
                          <w14:schemeClr w14:val="tx1"/>
                        </w14:solidFill>
                      </w14:textFill>
                    </w:rPr>
                  </w:pPr>
                </w:p>
              </w:tc>
            </w:tr>
          </w:tbl>
          <w:p w14:paraId="4757A71F"/>
          <w:p w14:paraId="43DFB07B">
            <w:pPr>
              <w:pStyle w:val="2"/>
              <w:ind w:firstLine="480"/>
            </w:pPr>
          </w:p>
          <w:p w14:paraId="1EC78831">
            <w:pPr>
              <w:pStyle w:val="2"/>
              <w:spacing w:after="0"/>
              <w:ind w:left="0" w:leftChars="0" w:firstLine="0" w:firstLineChars="0"/>
              <w:rPr>
                <w:color w:val="000000" w:themeColor="text1"/>
                <w:szCs w:val="24"/>
                <w14:textFill>
                  <w14:solidFill>
                    <w14:schemeClr w14:val="tx1"/>
                  </w14:solidFill>
                </w14:textFill>
              </w:rPr>
            </w:pPr>
            <w:r>
              <w:rPr>
                <w:rFonts w:hint="eastAsia"/>
                <w:szCs w:val="24"/>
              </w:rPr>
              <w:t>2、废水源强分析</w:t>
            </w:r>
          </w:p>
          <w:p w14:paraId="67C072C0">
            <w:pPr>
              <w:widowControl/>
              <w:spacing w:line="360" w:lineRule="auto"/>
              <w:ind w:firstLine="480" w:firstLineChars="200"/>
              <w:rPr>
                <w:color w:val="000000"/>
                <w:sz w:val="24"/>
              </w:rPr>
            </w:pPr>
            <w:r>
              <w:rPr>
                <w:color w:val="000000"/>
                <w:sz w:val="24"/>
              </w:rPr>
              <w:t>项目排水主要包括生活污水和生产废水，生活污水和生产废水均经管道排入衡山国祯水处理有限公司，</w:t>
            </w:r>
            <w:r>
              <w:rPr>
                <w:rFonts w:hint="eastAsia"/>
                <w:color w:val="000000"/>
                <w:sz w:val="24"/>
              </w:rPr>
              <w:t>污水处理厂进一步处理后</w:t>
            </w:r>
            <w:r>
              <w:rPr>
                <w:color w:val="000000"/>
                <w:sz w:val="24"/>
              </w:rPr>
              <w:t>最终排入</w:t>
            </w:r>
            <w:r>
              <w:rPr>
                <w:rFonts w:hint="eastAsia"/>
                <w:color w:val="000000"/>
                <w:sz w:val="24"/>
              </w:rPr>
              <w:t>湘江</w:t>
            </w:r>
            <w:r>
              <w:rPr>
                <w:color w:val="000000"/>
                <w:sz w:val="24"/>
              </w:rPr>
              <w:t xml:space="preserve">。 </w:t>
            </w:r>
          </w:p>
          <w:p w14:paraId="5CFF1D5E">
            <w:pPr>
              <w:keepNext/>
              <w:keepLines/>
              <w:widowControl/>
              <w:spacing w:line="360" w:lineRule="auto"/>
              <w:ind w:firstLine="480" w:firstLineChars="200"/>
              <w:rPr>
                <w:color w:val="000000"/>
                <w:sz w:val="24"/>
              </w:rPr>
            </w:pPr>
            <w:r>
              <w:rPr>
                <w:rFonts w:hint="eastAsia"/>
                <w:color w:val="000000"/>
                <w:sz w:val="24"/>
              </w:rPr>
              <w:t>（1）</w:t>
            </w:r>
            <w:r>
              <w:rPr>
                <w:color w:val="000000"/>
                <w:sz w:val="24"/>
              </w:rPr>
              <w:t>生活污水：</w:t>
            </w:r>
          </w:p>
          <w:p w14:paraId="6B92C5BC">
            <w:pPr>
              <w:adjustRightInd w:val="0"/>
              <w:snapToGrid w:val="0"/>
              <w:spacing w:line="360" w:lineRule="auto"/>
              <w:ind w:firstLine="480" w:firstLineChars="200"/>
              <w:rPr>
                <w:bCs/>
                <w:sz w:val="24"/>
              </w:rPr>
            </w:pPr>
            <w:r>
              <w:rPr>
                <w:color w:val="000000"/>
                <w:sz w:val="24"/>
              </w:rPr>
              <w:t>本项目生活用水量为</w:t>
            </w:r>
            <w:r>
              <w:rPr>
                <w:rFonts w:hint="eastAsia"/>
                <w:color w:val="000000"/>
                <w:sz w:val="24"/>
              </w:rPr>
              <w:t>0.5</w:t>
            </w:r>
            <w:r>
              <w:rPr>
                <w:color w:val="000000"/>
                <w:sz w:val="24"/>
              </w:rPr>
              <w:t>m</w:t>
            </w:r>
            <w:r>
              <w:rPr>
                <w:color w:val="000000"/>
                <w:sz w:val="24"/>
                <w:vertAlign w:val="superscript"/>
              </w:rPr>
              <w:t>3</w:t>
            </w:r>
            <w:r>
              <w:rPr>
                <w:color w:val="000000"/>
                <w:sz w:val="24"/>
              </w:rPr>
              <w:t>/d、</w:t>
            </w:r>
            <w:r>
              <w:rPr>
                <w:rFonts w:hint="eastAsia"/>
                <w:color w:val="000000"/>
                <w:sz w:val="24"/>
              </w:rPr>
              <w:t>150</w:t>
            </w:r>
            <w:r>
              <w:rPr>
                <w:color w:val="000000"/>
                <w:sz w:val="24"/>
              </w:rPr>
              <w:t>m</w:t>
            </w:r>
            <w:r>
              <w:rPr>
                <w:color w:val="000000"/>
                <w:sz w:val="24"/>
                <w:vertAlign w:val="superscript"/>
              </w:rPr>
              <w:t>3</w:t>
            </w:r>
            <w:r>
              <w:rPr>
                <w:color w:val="000000"/>
                <w:sz w:val="24"/>
              </w:rPr>
              <w:t>/a， 生活污水排污系数取0.8，核算得生活污水年产生量为0.</w:t>
            </w:r>
            <w:r>
              <w:rPr>
                <w:rFonts w:hint="eastAsia"/>
                <w:color w:val="000000"/>
                <w:sz w:val="24"/>
              </w:rPr>
              <w:t>4</w:t>
            </w:r>
            <w:r>
              <w:rPr>
                <w:color w:val="000000"/>
                <w:sz w:val="24"/>
              </w:rPr>
              <w:t>m</w:t>
            </w:r>
            <w:r>
              <w:rPr>
                <w:color w:val="000000"/>
                <w:sz w:val="24"/>
                <w:vertAlign w:val="superscript"/>
              </w:rPr>
              <w:t>3</w:t>
            </w:r>
            <w:r>
              <w:rPr>
                <w:color w:val="000000"/>
                <w:sz w:val="24"/>
              </w:rPr>
              <w:t>/d、</w:t>
            </w:r>
            <w:r>
              <w:rPr>
                <w:rFonts w:hint="eastAsia"/>
                <w:color w:val="000000"/>
                <w:sz w:val="24"/>
              </w:rPr>
              <w:t>120</w:t>
            </w:r>
            <w:r>
              <w:rPr>
                <w:color w:val="000000"/>
                <w:sz w:val="24"/>
              </w:rPr>
              <w:t>m</w:t>
            </w:r>
            <w:r>
              <w:rPr>
                <w:color w:val="000000"/>
                <w:sz w:val="24"/>
                <w:vertAlign w:val="superscript"/>
              </w:rPr>
              <w:t>3</w:t>
            </w:r>
            <w:r>
              <w:rPr>
                <w:color w:val="000000"/>
                <w:sz w:val="24"/>
              </w:rPr>
              <w:t>/a</w:t>
            </w:r>
            <w:r>
              <w:rPr>
                <w:rFonts w:hint="eastAsia"/>
                <w:color w:val="000000"/>
                <w:sz w:val="24"/>
              </w:rPr>
              <w:t>；</w:t>
            </w:r>
            <w:r>
              <w:rPr>
                <w:rFonts w:hint="eastAsia"/>
                <w:bCs/>
                <w:sz w:val="24"/>
              </w:rPr>
              <w:t>生活污水中主要因子为COD、BOD5、氨氮、SS，产生浓度分别为300mg/L、200mg/L mg、25mg/L、200mg/L；生活污水经化粪池预处理后排入衡山国祯水处理有限公司进一步处理。</w:t>
            </w:r>
          </w:p>
          <w:p w14:paraId="765348DC"/>
          <w:p w14:paraId="776DC290">
            <w:pPr>
              <w:keepNext/>
              <w:keepLines/>
              <w:widowControl/>
              <w:spacing w:line="360" w:lineRule="auto"/>
              <w:ind w:firstLine="480" w:firstLineChars="200"/>
              <w:rPr>
                <w:color w:val="000000"/>
                <w:sz w:val="24"/>
              </w:rPr>
            </w:pPr>
            <w:r>
              <w:rPr>
                <w:rFonts w:hint="eastAsia"/>
                <w:color w:val="000000"/>
                <w:sz w:val="24"/>
              </w:rPr>
              <w:t>（2）喷淋废水</w:t>
            </w:r>
          </w:p>
          <w:p w14:paraId="48CE1914">
            <w:pPr>
              <w:keepNext/>
              <w:keepLines/>
              <w:widowControl/>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本项目蒸汽发生器燃烧废气采用水喷淋塔进行处理，水喷淋塔装置循环水量为8m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/h，喷淋塔容量为2m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，水喷淋废水循环使用，每天更换一次，年工作时间按300天，每年更换300次，则喷淋废水产生量约为600m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w:t>
            </w:r>
          </w:p>
          <w:p w14:paraId="25A4FD64">
            <w:pPr>
              <w:keepNext/>
              <w:keepLines/>
              <w:widowControl/>
              <w:spacing w:line="360" w:lineRule="auto"/>
              <w:ind w:firstLine="480" w:firstLineChars="200"/>
              <w:rPr>
                <w:color w:val="000000"/>
                <w:sz w:val="24"/>
              </w:rPr>
            </w:pPr>
            <w:r>
              <w:rPr>
                <w:rFonts w:hint="eastAsia"/>
                <w:color w:val="000000" w:themeColor="text1"/>
                <w:sz w:val="24"/>
                <w14:textFill>
                  <w14:solidFill>
                    <w14:schemeClr w14:val="tx1"/>
                  </w14:solidFill>
                </w14:textFill>
              </w:rPr>
              <w:t>（3）</w:t>
            </w:r>
            <w:r>
              <w:rPr>
                <w:color w:val="000000"/>
                <w:sz w:val="24"/>
              </w:rPr>
              <w:t>布草洗涤废水：</w:t>
            </w:r>
          </w:p>
          <w:p w14:paraId="4599B919">
            <w:pPr>
              <w:keepNext/>
              <w:keepLines/>
              <w:widowControl/>
              <w:spacing w:line="360" w:lineRule="auto"/>
              <w:ind w:firstLine="480" w:firstLineChars="200"/>
              <w:rPr>
                <w:color w:val="000000"/>
                <w:sz w:val="24"/>
              </w:rPr>
            </w:pPr>
            <w:r>
              <w:rPr>
                <w:color w:val="000000"/>
                <w:sz w:val="24"/>
              </w:rPr>
              <w:t>本项目布草洗涤用水量为</w:t>
            </w:r>
            <w:r>
              <w:rPr>
                <w:rFonts w:hint="eastAsia"/>
                <w:sz w:val="24"/>
              </w:rPr>
              <w:t>28800</w:t>
            </w:r>
            <w:r>
              <w:rPr>
                <w:sz w:val="24"/>
              </w:rPr>
              <w:t>t/a</w:t>
            </w:r>
            <w:r>
              <w:rPr>
                <w:color w:val="000000"/>
                <w:sz w:val="24"/>
              </w:rPr>
              <w:t>，废水排放系数按0.7计（主要考虑洗涤烘干蒸发），则废水产生量约</w:t>
            </w:r>
            <w:r>
              <w:rPr>
                <w:rFonts w:hint="eastAsia"/>
                <w:color w:val="000000"/>
                <w:sz w:val="24"/>
              </w:rPr>
              <w:t>67.2</w:t>
            </w:r>
            <w:r>
              <w:rPr>
                <w:color w:val="000000"/>
                <w:sz w:val="24"/>
              </w:rPr>
              <w:t>m³/d（</w:t>
            </w:r>
            <w:r>
              <w:rPr>
                <w:rFonts w:hint="eastAsia"/>
                <w:color w:val="000000"/>
                <w:sz w:val="24"/>
              </w:rPr>
              <w:t>20160</w:t>
            </w:r>
            <w:r>
              <w:rPr>
                <w:color w:val="000000"/>
                <w:sz w:val="24"/>
              </w:rPr>
              <w:t xml:space="preserve">m³/a）。 </w:t>
            </w:r>
          </w:p>
          <w:p w14:paraId="355ED0C5">
            <w:pPr>
              <w:keepNext/>
              <w:keepLines/>
              <w:widowControl/>
              <w:spacing w:line="360" w:lineRule="auto"/>
              <w:ind w:firstLine="480" w:firstLineChars="200"/>
              <w:rPr>
                <w:color w:val="000000"/>
                <w:sz w:val="24"/>
              </w:rPr>
            </w:pPr>
            <w:r>
              <w:rPr>
                <w:rFonts w:hint="eastAsia"/>
                <w:color w:val="000000"/>
                <w:sz w:val="24"/>
              </w:rPr>
              <w:t>（4）</w:t>
            </w:r>
            <w:r>
              <w:rPr>
                <w:color w:val="000000"/>
                <w:sz w:val="24"/>
              </w:rPr>
              <w:t>锅炉废水：</w:t>
            </w:r>
          </w:p>
          <w:p w14:paraId="117BE37F">
            <w:pPr>
              <w:keepNext/>
              <w:keepLines/>
              <w:widowControl/>
              <w:spacing w:line="360" w:lineRule="auto"/>
              <w:ind w:firstLine="480" w:firstLineChars="200"/>
              <w:rPr>
                <w:color w:val="000000"/>
                <w:sz w:val="24"/>
              </w:rPr>
            </w:pPr>
            <w:r>
              <w:rPr>
                <w:rFonts w:hint="eastAsia"/>
                <w:color w:val="000000" w:themeColor="text1"/>
                <w:sz w:val="24"/>
                <w14:textFill>
                  <w14:solidFill>
                    <w14:schemeClr w14:val="tx1"/>
                  </w14:solidFill>
                </w14:textFill>
              </w:rPr>
              <w:t>参照</w:t>
            </w:r>
            <w:r>
              <w:rPr>
                <w:color w:val="000000" w:themeColor="text1"/>
                <w:sz w:val="24"/>
                <w14:textFill>
                  <w14:solidFill>
                    <w14:schemeClr w14:val="tx1"/>
                  </w14:solidFill>
                </w14:textFill>
              </w:rPr>
              <w:t>《排放源统计调查产排污核算方法和系数手册（工业锅炉（热力供应）行业系数手册）》（2021年）生物质燃料锅炉（锅外水处理）产污系数为0.</w:t>
            </w:r>
            <w:r>
              <w:rPr>
                <w:rFonts w:hint="eastAsia"/>
                <w:color w:val="000000" w:themeColor="text1"/>
                <w:sz w:val="24"/>
                <w14:textFill>
                  <w14:solidFill>
                    <w14:schemeClr w14:val="tx1"/>
                  </w14:solidFill>
                </w14:textFill>
              </w:rPr>
              <w:t>356</w:t>
            </w:r>
            <w:r>
              <w:rPr>
                <w:color w:val="000000" w:themeColor="text1"/>
                <w:sz w:val="24"/>
                <w14:textFill>
                  <w14:solidFill>
                    <w14:schemeClr w14:val="tx1"/>
                  </w14:solidFill>
                </w14:textFill>
              </w:rPr>
              <w:t>吨/吨-原料（锅炉排污水十软化处理废水），</w:t>
            </w:r>
            <w:r>
              <w:rPr>
                <w:rFonts w:hint="eastAsia"/>
                <w:color w:val="000000" w:themeColor="text1"/>
                <w:sz w:val="24"/>
                <w14:textFill>
                  <w14:solidFill>
                    <w14:schemeClr w14:val="tx1"/>
                  </w14:solidFill>
                </w14:textFill>
              </w:rPr>
              <w:t>项目使用颗粒物为564t/a，</w:t>
            </w:r>
            <w:r>
              <w:rPr>
                <w:color w:val="000000" w:themeColor="text1"/>
                <w:sz w:val="24"/>
                <w14:textFill>
                  <w14:solidFill>
                    <w14:schemeClr w14:val="tx1"/>
                  </w14:solidFill>
                </w14:textFill>
              </w:rPr>
              <w:t>则锅炉排污水十软化处理废水量为</w:t>
            </w:r>
            <w:r>
              <w:rPr>
                <w:rFonts w:hint="eastAsia"/>
                <w:color w:val="000000" w:themeColor="text1"/>
                <w:sz w:val="24"/>
                <w14:textFill>
                  <w14:solidFill>
                    <w14:schemeClr w14:val="tx1"/>
                  </w14:solidFill>
                </w14:textFill>
              </w:rPr>
              <w:t>0.669</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200.8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color w:val="000000"/>
                <w:sz w:val="24"/>
              </w:rPr>
              <w:t>。</w:t>
            </w:r>
          </w:p>
          <w:p w14:paraId="3C6C9843">
            <w:pPr>
              <w:pStyle w:val="2"/>
              <w:ind w:left="0" w:leftChars="0" w:firstLine="0" w:firstLineChars="0"/>
            </w:pPr>
            <w:r>
              <w:rPr>
                <w:rFonts w:hint="eastAsia"/>
              </w:rPr>
              <w:t xml:space="preserve">   本项目生产废水经二级沉淀池预处理后排入衡山国祯水处理有限公司进一步处理，根据废水污染物现状监测结果生产废水污染物产生浓度为（按照监测结果最大值计算）：</w:t>
            </w:r>
            <w:r>
              <w:t>SS：</w:t>
            </w:r>
            <w:r>
              <w:rPr>
                <w:rFonts w:hint="eastAsia"/>
              </w:rPr>
              <w:t>43</w:t>
            </w:r>
            <w:r>
              <w:t>mg/L、CODCr：</w:t>
            </w:r>
            <w:r>
              <w:rPr>
                <w:rFonts w:hint="eastAsia"/>
              </w:rPr>
              <w:t>118</w:t>
            </w:r>
            <w:r>
              <w:t>mg/L、BOD5：</w:t>
            </w:r>
            <w:r>
              <w:rPr>
                <w:rFonts w:hint="eastAsia"/>
              </w:rPr>
              <w:t>35.1</w:t>
            </w:r>
            <w:r>
              <w:t>mg/L、 NH3-N：1.</w:t>
            </w:r>
            <w:r>
              <w:rPr>
                <w:rFonts w:hint="eastAsia"/>
              </w:rPr>
              <w:t>7</w:t>
            </w:r>
            <w:r>
              <w:t>1mg/L、TP：2.</w:t>
            </w:r>
            <w:r>
              <w:rPr>
                <w:rFonts w:hint="eastAsia"/>
              </w:rPr>
              <w:t>21</w:t>
            </w:r>
            <w:r>
              <w:t>mg/L、</w:t>
            </w:r>
            <w:r>
              <w:rPr>
                <w:rFonts w:hint="eastAsia"/>
              </w:rPr>
              <w:t>TN</w:t>
            </w:r>
            <w:r>
              <w:rPr>
                <w:rFonts w:hint="eastAsia"/>
                <w:szCs w:val="24"/>
              </w:rPr>
              <w:t>：4.45</w:t>
            </w:r>
            <w:r>
              <w:t xml:space="preserve">mg/L </w:t>
            </w:r>
            <w:r>
              <w:rPr>
                <w:rFonts w:hint="eastAsia"/>
              </w:rPr>
              <w:t>、</w:t>
            </w:r>
            <w:r>
              <w:t>LAS：</w:t>
            </w:r>
            <w:r>
              <w:rPr>
                <w:rFonts w:hint="eastAsia"/>
              </w:rPr>
              <w:t>0.67</w:t>
            </w:r>
            <w:r>
              <w:t>mg/L</w:t>
            </w:r>
            <w:r>
              <w:rPr>
                <w:rFonts w:hint="eastAsia"/>
              </w:rPr>
              <w:t>。</w:t>
            </w:r>
          </w:p>
          <w:p w14:paraId="350C37B9">
            <w:pPr>
              <w:pStyle w:val="50"/>
              <w:spacing w:before="120"/>
            </w:pPr>
          </w:p>
          <w:p w14:paraId="30DC0A89">
            <w:pPr>
              <w:pStyle w:val="50"/>
              <w:spacing w:before="120"/>
            </w:pPr>
          </w:p>
          <w:p w14:paraId="2EF8DE8E">
            <w:pPr>
              <w:pStyle w:val="50"/>
              <w:spacing w:before="120"/>
            </w:pPr>
          </w:p>
          <w:p w14:paraId="4470CC65">
            <w:pPr>
              <w:pStyle w:val="50"/>
              <w:spacing w:before="120"/>
            </w:pPr>
          </w:p>
          <w:p w14:paraId="5113FFC5">
            <w:pPr>
              <w:pStyle w:val="50"/>
              <w:spacing w:before="120"/>
            </w:pPr>
          </w:p>
          <w:p w14:paraId="78354950">
            <w:pPr>
              <w:pStyle w:val="50"/>
              <w:spacing w:before="120"/>
            </w:pPr>
            <w:r>
              <w:rPr>
                <w:rFonts w:hint="eastAsia"/>
              </w:rPr>
              <w:t>表4-11</w:t>
            </w:r>
            <w:r>
              <w:t>废水产生及排放情况一览表</w:t>
            </w:r>
          </w:p>
          <w:p w14:paraId="57B5E594"/>
          <w:tbl>
            <w:tblPr>
              <w:tblStyle w:val="26"/>
              <w:tblW w:w="7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2"/>
              <w:gridCol w:w="850"/>
              <w:gridCol w:w="851"/>
              <w:gridCol w:w="992"/>
              <w:gridCol w:w="709"/>
              <w:gridCol w:w="709"/>
              <w:gridCol w:w="1034"/>
              <w:gridCol w:w="1134"/>
            </w:tblGrid>
            <w:tr w14:paraId="21F5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Align w:val="center"/>
                </w:tcPr>
                <w:p w14:paraId="4DC2AF7E">
                  <w:pPr>
                    <w:widowControl/>
                    <w:jc w:val="center"/>
                    <w:rPr>
                      <w:kern w:val="0"/>
                      <w:szCs w:val="21"/>
                    </w:rPr>
                  </w:pPr>
                  <w:r>
                    <w:rPr>
                      <w:kern w:val="0"/>
                      <w:szCs w:val="21"/>
                    </w:rPr>
                    <w:t>产排污环节</w:t>
                  </w:r>
                </w:p>
              </w:tc>
              <w:tc>
                <w:tcPr>
                  <w:tcW w:w="842" w:type="dxa"/>
                  <w:vAlign w:val="center"/>
                </w:tcPr>
                <w:p w14:paraId="070E1C9B">
                  <w:pPr>
                    <w:widowControl/>
                    <w:jc w:val="center"/>
                    <w:rPr>
                      <w:kern w:val="0"/>
                      <w:szCs w:val="21"/>
                    </w:rPr>
                  </w:pPr>
                  <w:r>
                    <w:rPr>
                      <w:kern w:val="0"/>
                      <w:szCs w:val="21"/>
                    </w:rPr>
                    <w:t>污染物种类</w:t>
                  </w:r>
                </w:p>
              </w:tc>
              <w:tc>
                <w:tcPr>
                  <w:tcW w:w="850" w:type="dxa"/>
                  <w:vAlign w:val="center"/>
                </w:tcPr>
                <w:p w14:paraId="436C17D6">
                  <w:pPr>
                    <w:widowControl/>
                    <w:jc w:val="center"/>
                    <w:rPr>
                      <w:kern w:val="0"/>
                      <w:szCs w:val="21"/>
                    </w:rPr>
                  </w:pPr>
                  <w:r>
                    <w:rPr>
                      <w:kern w:val="0"/>
                      <w:szCs w:val="21"/>
                    </w:rPr>
                    <w:t>废水产生量t/a</w:t>
                  </w:r>
                </w:p>
              </w:tc>
              <w:tc>
                <w:tcPr>
                  <w:tcW w:w="851" w:type="dxa"/>
                  <w:vAlign w:val="center"/>
                </w:tcPr>
                <w:p w14:paraId="24DB490E">
                  <w:pPr>
                    <w:widowControl/>
                    <w:jc w:val="center"/>
                    <w:rPr>
                      <w:kern w:val="0"/>
                      <w:szCs w:val="21"/>
                    </w:rPr>
                  </w:pPr>
                  <w:r>
                    <w:rPr>
                      <w:kern w:val="0"/>
                      <w:szCs w:val="21"/>
                    </w:rPr>
                    <w:t>污染物产生量t/a</w:t>
                  </w:r>
                </w:p>
              </w:tc>
              <w:tc>
                <w:tcPr>
                  <w:tcW w:w="992" w:type="dxa"/>
                  <w:vAlign w:val="center"/>
                </w:tcPr>
                <w:p w14:paraId="0B8E6F89">
                  <w:pPr>
                    <w:widowControl/>
                    <w:jc w:val="center"/>
                    <w:rPr>
                      <w:kern w:val="0"/>
                      <w:szCs w:val="21"/>
                    </w:rPr>
                  </w:pPr>
                  <w:r>
                    <w:rPr>
                      <w:kern w:val="0"/>
                      <w:szCs w:val="21"/>
                    </w:rPr>
                    <w:t>污染物产生浓度mg/L</w:t>
                  </w:r>
                </w:p>
              </w:tc>
              <w:tc>
                <w:tcPr>
                  <w:tcW w:w="709" w:type="dxa"/>
                  <w:vAlign w:val="center"/>
                </w:tcPr>
                <w:p w14:paraId="72599F40">
                  <w:pPr>
                    <w:widowControl/>
                    <w:jc w:val="center"/>
                    <w:rPr>
                      <w:kern w:val="0"/>
                      <w:szCs w:val="21"/>
                    </w:rPr>
                  </w:pPr>
                  <w:r>
                    <w:rPr>
                      <w:kern w:val="0"/>
                      <w:szCs w:val="21"/>
                    </w:rPr>
                    <w:t>治理措施</w:t>
                  </w:r>
                </w:p>
              </w:tc>
              <w:tc>
                <w:tcPr>
                  <w:tcW w:w="709" w:type="dxa"/>
                  <w:vAlign w:val="center"/>
                </w:tcPr>
                <w:p w14:paraId="733F5B33">
                  <w:pPr>
                    <w:widowControl/>
                    <w:jc w:val="center"/>
                    <w:rPr>
                      <w:kern w:val="0"/>
                      <w:szCs w:val="21"/>
                    </w:rPr>
                  </w:pPr>
                  <w:r>
                    <w:rPr>
                      <w:kern w:val="0"/>
                      <w:szCs w:val="21"/>
                    </w:rPr>
                    <w:t>是否为可行技术</w:t>
                  </w:r>
                </w:p>
              </w:tc>
              <w:tc>
                <w:tcPr>
                  <w:tcW w:w="1034" w:type="dxa"/>
                  <w:vAlign w:val="center"/>
                </w:tcPr>
                <w:p w14:paraId="27A938CE">
                  <w:pPr>
                    <w:widowControl/>
                    <w:jc w:val="center"/>
                    <w:rPr>
                      <w:kern w:val="0"/>
                      <w:szCs w:val="21"/>
                    </w:rPr>
                  </w:pPr>
                  <w:r>
                    <w:rPr>
                      <w:kern w:val="0"/>
                      <w:szCs w:val="21"/>
                    </w:rPr>
                    <w:t>污染物</w:t>
                  </w:r>
                  <w:r>
                    <w:rPr>
                      <w:rFonts w:hint="eastAsia"/>
                      <w:kern w:val="0"/>
                      <w:szCs w:val="21"/>
                    </w:rPr>
                    <w:t>排放浓度</w:t>
                  </w:r>
                  <w:r>
                    <w:rPr>
                      <w:kern w:val="0"/>
                      <w:szCs w:val="21"/>
                    </w:rPr>
                    <w:t>mg/L</w:t>
                  </w:r>
                </w:p>
              </w:tc>
              <w:tc>
                <w:tcPr>
                  <w:tcW w:w="1134" w:type="dxa"/>
                  <w:vAlign w:val="center"/>
                </w:tcPr>
                <w:p w14:paraId="617EE563">
                  <w:pPr>
                    <w:widowControl/>
                    <w:jc w:val="center"/>
                    <w:rPr>
                      <w:kern w:val="0"/>
                      <w:szCs w:val="21"/>
                    </w:rPr>
                  </w:pPr>
                  <w:r>
                    <w:rPr>
                      <w:kern w:val="0"/>
                      <w:szCs w:val="21"/>
                    </w:rPr>
                    <w:t>污染物排放量t/a</w:t>
                  </w:r>
                </w:p>
              </w:tc>
            </w:tr>
            <w:tr w14:paraId="7F68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restart"/>
                  <w:vAlign w:val="center"/>
                </w:tcPr>
                <w:p w14:paraId="50CCF72F">
                  <w:pPr>
                    <w:widowControl/>
                    <w:spacing w:line="360" w:lineRule="exact"/>
                    <w:jc w:val="center"/>
                    <w:rPr>
                      <w:kern w:val="0"/>
                      <w:szCs w:val="21"/>
                    </w:rPr>
                  </w:pPr>
                  <w:r>
                    <w:rPr>
                      <w:kern w:val="0"/>
                      <w:szCs w:val="21"/>
                    </w:rPr>
                    <w:t>生活污水</w:t>
                  </w:r>
                </w:p>
              </w:tc>
              <w:tc>
                <w:tcPr>
                  <w:tcW w:w="842" w:type="dxa"/>
                  <w:vAlign w:val="center"/>
                </w:tcPr>
                <w:p w14:paraId="729BB964">
                  <w:pPr>
                    <w:pStyle w:val="12"/>
                    <w:spacing w:after="0" w:line="360" w:lineRule="exact"/>
                    <w:jc w:val="center"/>
                    <w:rPr>
                      <w:sz w:val="21"/>
                      <w:szCs w:val="21"/>
                    </w:rPr>
                  </w:pPr>
                  <w:r>
                    <w:rPr>
                      <w:sz w:val="21"/>
                      <w:szCs w:val="21"/>
                    </w:rPr>
                    <w:t>COD</w:t>
                  </w:r>
                </w:p>
              </w:tc>
              <w:tc>
                <w:tcPr>
                  <w:tcW w:w="850" w:type="dxa"/>
                  <w:vMerge w:val="restart"/>
                  <w:vAlign w:val="center"/>
                </w:tcPr>
                <w:p w14:paraId="5B242936">
                  <w:pPr>
                    <w:jc w:val="center"/>
                    <w:rPr>
                      <w:szCs w:val="21"/>
                    </w:rPr>
                  </w:pPr>
                  <w:r>
                    <w:rPr>
                      <w:rFonts w:hint="eastAsia"/>
                      <w:szCs w:val="21"/>
                    </w:rPr>
                    <w:t>12</w:t>
                  </w:r>
                  <w:r>
                    <w:rPr>
                      <w:szCs w:val="21"/>
                    </w:rPr>
                    <w:t>0</w:t>
                  </w:r>
                </w:p>
              </w:tc>
              <w:tc>
                <w:tcPr>
                  <w:tcW w:w="851" w:type="dxa"/>
                  <w:vAlign w:val="center"/>
                </w:tcPr>
                <w:p w14:paraId="154DEE70">
                  <w:pPr>
                    <w:widowControl/>
                    <w:spacing w:line="360" w:lineRule="exact"/>
                    <w:jc w:val="center"/>
                    <w:rPr>
                      <w:kern w:val="0"/>
                      <w:szCs w:val="21"/>
                    </w:rPr>
                  </w:pPr>
                  <w:r>
                    <w:rPr>
                      <w:rFonts w:hint="eastAsia"/>
                      <w:kern w:val="0"/>
                      <w:szCs w:val="21"/>
                    </w:rPr>
                    <w:t>0.036</w:t>
                  </w:r>
                </w:p>
              </w:tc>
              <w:tc>
                <w:tcPr>
                  <w:tcW w:w="992" w:type="dxa"/>
                  <w:vAlign w:val="center"/>
                </w:tcPr>
                <w:p w14:paraId="69C0EECA">
                  <w:pPr>
                    <w:widowControl/>
                    <w:spacing w:line="360" w:lineRule="exact"/>
                    <w:jc w:val="center"/>
                    <w:rPr>
                      <w:kern w:val="0"/>
                      <w:szCs w:val="21"/>
                    </w:rPr>
                  </w:pPr>
                  <w:r>
                    <w:rPr>
                      <w:kern w:val="0"/>
                      <w:szCs w:val="21"/>
                    </w:rPr>
                    <w:t>300</w:t>
                  </w:r>
                </w:p>
              </w:tc>
              <w:tc>
                <w:tcPr>
                  <w:tcW w:w="709" w:type="dxa"/>
                  <w:vMerge w:val="restart"/>
                  <w:vAlign w:val="center"/>
                </w:tcPr>
                <w:p w14:paraId="2995ACC0">
                  <w:pPr>
                    <w:jc w:val="center"/>
                    <w:rPr>
                      <w:szCs w:val="21"/>
                    </w:rPr>
                  </w:pPr>
                  <w:r>
                    <w:rPr>
                      <w:szCs w:val="21"/>
                    </w:rPr>
                    <w:t>化粪池</w:t>
                  </w:r>
                </w:p>
              </w:tc>
              <w:tc>
                <w:tcPr>
                  <w:tcW w:w="709" w:type="dxa"/>
                  <w:vMerge w:val="restart"/>
                  <w:vAlign w:val="center"/>
                </w:tcPr>
                <w:p w14:paraId="6E1114C5">
                  <w:pPr>
                    <w:jc w:val="center"/>
                    <w:rPr>
                      <w:szCs w:val="21"/>
                    </w:rPr>
                  </w:pPr>
                  <w:r>
                    <w:rPr>
                      <w:szCs w:val="21"/>
                    </w:rPr>
                    <w:t>是</w:t>
                  </w:r>
                </w:p>
              </w:tc>
              <w:tc>
                <w:tcPr>
                  <w:tcW w:w="1034" w:type="dxa"/>
                  <w:vAlign w:val="center"/>
                </w:tcPr>
                <w:p w14:paraId="38430D75">
                  <w:pPr>
                    <w:widowControl/>
                    <w:spacing w:line="360" w:lineRule="exact"/>
                    <w:jc w:val="center"/>
                    <w:rPr>
                      <w:kern w:val="0"/>
                      <w:szCs w:val="21"/>
                    </w:rPr>
                  </w:pPr>
                  <w:r>
                    <w:rPr>
                      <w:rFonts w:hint="eastAsia"/>
                      <w:kern w:val="0"/>
                      <w:szCs w:val="21"/>
                    </w:rPr>
                    <w:t>270</w:t>
                  </w:r>
                </w:p>
              </w:tc>
              <w:tc>
                <w:tcPr>
                  <w:tcW w:w="1134" w:type="dxa"/>
                  <w:vAlign w:val="center"/>
                </w:tcPr>
                <w:p w14:paraId="40CAAE20">
                  <w:pPr>
                    <w:widowControl/>
                    <w:spacing w:line="360" w:lineRule="exact"/>
                    <w:jc w:val="center"/>
                    <w:rPr>
                      <w:kern w:val="0"/>
                      <w:szCs w:val="21"/>
                    </w:rPr>
                  </w:pPr>
                  <w:r>
                    <w:rPr>
                      <w:rFonts w:hint="eastAsia"/>
                      <w:kern w:val="0"/>
                      <w:szCs w:val="21"/>
                    </w:rPr>
                    <w:t>0.032</w:t>
                  </w:r>
                </w:p>
              </w:tc>
            </w:tr>
            <w:tr w14:paraId="0C03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continue"/>
                  <w:vAlign w:val="center"/>
                </w:tcPr>
                <w:p w14:paraId="57DF7149">
                  <w:pPr>
                    <w:jc w:val="center"/>
                    <w:rPr>
                      <w:szCs w:val="21"/>
                    </w:rPr>
                  </w:pPr>
                </w:p>
              </w:tc>
              <w:tc>
                <w:tcPr>
                  <w:tcW w:w="842" w:type="dxa"/>
                  <w:vAlign w:val="center"/>
                </w:tcPr>
                <w:p w14:paraId="419FD32D">
                  <w:pPr>
                    <w:pStyle w:val="12"/>
                    <w:spacing w:after="0" w:line="360" w:lineRule="exact"/>
                    <w:jc w:val="center"/>
                    <w:rPr>
                      <w:sz w:val="21"/>
                      <w:szCs w:val="21"/>
                    </w:rPr>
                  </w:pPr>
                  <w:r>
                    <w:rPr>
                      <w:sz w:val="21"/>
                      <w:szCs w:val="21"/>
                    </w:rPr>
                    <w:t>BOD</w:t>
                  </w:r>
                </w:p>
              </w:tc>
              <w:tc>
                <w:tcPr>
                  <w:tcW w:w="850" w:type="dxa"/>
                  <w:vMerge w:val="continue"/>
                  <w:vAlign w:val="center"/>
                </w:tcPr>
                <w:p w14:paraId="2B753E97">
                  <w:pPr>
                    <w:jc w:val="center"/>
                    <w:rPr>
                      <w:szCs w:val="21"/>
                    </w:rPr>
                  </w:pPr>
                </w:p>
              </w:tc>
              <w:tc>
                <w:tcPr>
                  <w:tcW w:w="851" w:type="dxa"/>
                  <w:vAlign w:val="center"/>
                </w:tcPr>
                <w:p w14:paraId="4BEEE725">
                  <w:pPr>
                    <w:widowControl/>
                    <w:spacing w:line="360" w:lineRule="exact"/>
                    <w:jc w:val="center"/>
                    <w:rPr>
                      <w:kern w:val="0"/>
                      <w:szCs w:val="21"/>
                    </w:rPr>
                  </w:pPr>
                  <w:r>
                    <w:rPr>
                      <w:rFonts w:hint="eastAsia"/>
                      <w:kern w:val="0"/>
                      <w:szCs w:val="21"/>
                    </w:rPr>
                    <w:t>0.024</w:t>
                  </w:r>
                </w:p>
              </w:tc>
              <w:tc>
                <w:tcPr>
                  <w:tcW w:w="992" w:type="dxa"/>
                  <w:vAlign w:val="center"/>
                </w:tcPr>
                <w:p w14:paraId="27264A70">
                  <w:pPr>
                    <w:widowControl/>
                    <w:spacing w:line="360" w:lineRule="exact"/>
                    <w:jc w:val="center"/>
                    <w:rPr>
                      <w:kern w:val="0"/>
                      <w:szCs w:val="21"/>
                    </w:rPr>
                  </w:pPr>
                  <w:r>
                    <w:rPr>
                      <w:rFonts w:hint="eastAsia"/>
                      <w:kern w:val="0"/>
                      <w:szCs w:val="21"/>
                    </w:rPr>
                    <w:t>20</w:t>
                  </w:r>
                  <w:r>
                    <w:rPr>
                      <w:kern w:val="0"/>
                      <w:szCs w:val="21"/>
                    </w:rPr>
                    <w:t>0</w:t>
                  </w:r>
                </w:p>
              </w:tc>
              <w:tc>
                <w:tcPr>
                  <w:tcW w:w="709" w:type="dxa"/>
                  <w:vMerge w:val="continue"/>
                  <w:vAlign w:val="center"/>
                </w:tcPr>
                <w:p w14:paraId="030275EB">
                  <w:pPr>
                    <w:jc w:val="center"/>
                    <w:rPr>
                      <w:szCs w:val="21"/>
                    </w:rPr>
                  </w:pPr>
                </w:p>
              </w:tc>
              <w:tc>
                <w:tcPr>
                  <w:tcW w:w="709" w:type="dxa"/>
                  <w:vMerge w:val="continue"/>
                  <w:vAlign w:val="center"/>
                </w:tcPr>
                <w:p w14:paraId="107279F0">
                  <w:pPr>
                    <w:jc w:val="center"/>
                    <w:rPr>
                      <w:szCs w:val="21"/>
                    </w:rPr>
                  </w:pPr>
                </w:p>
              </w:tc>
              <w:tc>
                <w:tcPr>
                  <w:tcW w:w="1034" w:type="dxa"/>
                  <w:vAlign w:val="center"/>
                </w:tcPr>
                <w:p w14:paraId="68E749B3">
                  <w:pPr>
                    <w:widowControl/>
                    <w:spacing w:line="360" w:lineRule="exact"/>
                    <w:jc w:val="center"/>
                    <w:rPr>
                      <w:kern w:val="0"/>
                      <w:szCs w:val="21"/>
                    </w:rPr>
                  </w:pPr>
                  <w:r>
                    <w:rPr>
                      <w:rFonts w:hint="eastAsia"/>
                      <w:kern w:val="0"/>
                      <w:szCs w:val="21"/>
                    </w:rPr>
                    <w:t>180</w:t>
                  </w:r>
                </w:p>
              </w:tc>
              <w:tc>
                <w:tcPr>
                  <w:tcW w:w="1134" w:type="dxa"/>
                  <w:vAlign w:val="center"/>
                </w:tcPr>
                <w:p w14:paraId="09602D0C">
                  <w:pPr>
                    <w:widowControl/>
                    <w:spacing w:line="360" w:lineRule="exact"/>
                    <w:jc w:val="center"/>
                    <w:rPr>
                      <w:kern w:val="0"/>
                      <w:szCs w:val="21"/>
                    </w:rPr>
                  </w:pPr>
                  <w:r>
                    <w:rPr>
                      <w:rFonts w:hint="eastAsia"/>
                      <w:kern w:val="0"/>
                      <w:szCs w:val="21"/>
                    </w:rPr>
                    <w:t>0.022</w:t>
                  </w:r>
                </w:p>
              </w:tc>
            </w:tr>
            <w:tr w14:paraId="1651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continue"/>
                  <w:vAlign w:val="center"/>
                </w:tcPr>
                <w:p w14:paraId="7351CFA9">
                  <w:pPr>
                    <w:jc w:val="center"/>
                    <w:rPr>
                      <w:szCs w:val="21"/>
                    </w:rPr>
                  </w:pPr>
                </w:p>
              </w:tc>
              <w:tc>
                <w:tcPr>
                  <w:tcW w:w="842" w:type="dxa"/>
                  <w:vAlign w:val="center"/>
                </w:tcPr>
                <w:p w14:paraId="087C43D6">
                  <w:pPr>
                    <w:pStyle w:val="12"/>
                    <w:spacing w:after="0" w:line="360" w:lineRule="exact"/>
                    <w:jc w:val="center"/>
                    <w:rPr>
                      <w:sz w:val="21"/>
                      <w:szCs w:val="21"/>
                    </w:rPr>
                  </w:pPr>
                  <w:r>
                    <w:rPr>
                      <w:sz w:val="21"/>
                      <w:szCs w:val="21"/>
                    </w:rPr>
                    <w:t>SS</w:t>
                  </w:r>
                </w:p>
              </w:tc>
              <w:tc>
                <w:tcPr>
                  <w:tcW w:w="850" w:type="dxa"/>
                  <w:vMerge w:val="continue"/>
                  <w:vAlign w:val="center"/>
                </w:tcPr>
                <w:p w14:paraId="224316E6">
                  <w:pPr>
                    <w:jc w:val="center"/>
                    <w:rPr>
                      <w:szCs w:val="21"/>
                    </w:rPr>
                  </w:pPr>
                </w:p>
              </w:tc>
              <w:tc>
                <w:tcPr>
                  <w:tcW w:w="851" w:type="dxa"/>
                  <w:vAlign w:val="center"/>
                </w:tcPr>
                <w:p w14:paraId="02D24B34">
                  <w:pPr>
                    <w:widowControl/>
                    <w:spacing w:line="360" w:lineRule="exact"/>
                    <w:jc w:val="center"/>
                    <w:rPr>
                      <w:kern w:val="0"/>
                      <w:szCs w:val="21"/>
                    </w:rPr>
                  </w:pPr>
                  <w:r>
                    <w:rPr>
                      <w:rFonts w:hint="eastAsia"/>
                      <w:kern w:val="0"/>
                      <w:szCs w:val="21"/>
                    </w:rPr>
                    <w:t>0.024</w:t>
                  </w:r>
                </w:p>
              </w:tc>
              <w:tc>
                <w:tcPr>
                  <w:tcW w:w="992" w:type="dxa"/>
                  <w:vAlign w:val="center"/>
                </w:tcPr>
                <w:p w14:paraId="589BAE9B">
                  <w:pPr>
                    <w:widowControl/>
                    <w:spacing w:line="360" w:lineRule="exact"/>
                    <w:jc w:val="center"/>
                    <w:rPr>
                      <w:kern w:val="0"/>
                      <w:szCs w:val="21"/>
                    </w:rPr>
                  </w:pPr>
                  <w:r>
                    <w:rPr>
                      <w:kern w:val="0"/>
                      <w:szCs w:val="21"/>
                    </w:rPr>
                    <w:t>200</w:t>
                  </w:r>
                </w:p>
              </w:tc>
              <w:tc>
                <w:tcPr>
                  <w:tcW w:w="709" w:type="dxa"/>
                  <w:vMerge w:val="continue"/>
                  <w:vAlign w:val="center"/>
                </w:tcPr>
                <w:p w14:paraId="67864A4C">
                  <w:pPr>
                    <w:jc w:val="center"/>
                    <w:rPr>
                      <w:szCs w:val="21"/>
                    </w:rPr>
                  </w:pPr>
                </w:p>
              </w:tc>
              <w:tc>
                <w:tcPr>
                  <w:tcW w:w="709" w:type="dxa"/>
                  <w:vMerge w:val="continue"/>
                  <w:vAlign w:val="center"/>
                </w:tcPr>
                <w:p w14:paraId="25DD3C39">
                  <w:pPr>
                    <w:jc w:val="center"/>
                    <w:rPr>
                      <w:szCs w:val="21"/>
                    </w:rPr>
                  </w:pPr>
                </w:p>
              </w:tc>
              <w:tc>
                <w:tcPr>
                  <w:tcW w:w="1034" w:type="dxa"/>
                  <w:vAlign w:val="center"/>
                </w:tcPr>
                <w:p w14:paraId="7015FB2E">
                  <w:pPr>
                    <w:widowControl/>
                    <w:spacing w:line="360" w:lineRule="exact"/>
                    <w:jc w:val="center"/>
                    <w:rPr>
                      <w:kern w:val="0"/>
                      <w:szCs w:val="21"/>
                    </w:rPr>
                  </w:pPr>
                  <w:r>
                    <w:rPr>
                      <w:rFonts w:hint="eastAsia"/>
                      <w:kern w:val="0"/>
                      <w:szCs w:val="21"/>
                    </w:rPr>
                    <w:t>140</w:t>
                  </w:r>
                </w:p>
              </w:tc>
              <w:tc>
                <w:tcPr>
                  <w:tcW w:w="1134" w:type="dxa"/>
                  <w:vAlign w:val="center"/>
                </w:tcPr>
                <w:p w14:paraId="7B2B66BA">
                  <w:pPr>
                    <w:widowControl/>
                    <w:spacing w:line="360" w:lineRule="exact"/>
                    <w:jc w:val="center"/>
                    <w:rPr>
                      <w:kern w:val="0"/>
                      <w:szCs w:val="21"/>
                    </w:rPr>
                  </w:pPr>
                  <w:r>
                    <w:rPr>
                      <w:rFonts w:hint="eastAsia"/>
                      <w:kern w:val="0"/>
                      <w:szCs w:val="21"/>
                    </w:rPr>
                    <w:t>0.017</w:t>
                  </w:r>
                </w:p>
              </w:tc>
            </w:tr>
            <w:tr w14:paraId="54AD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65" w:type="dxa"/>
                  <w:vMerge w:val="continue"/>
                  <w:vAlign w:val="center"/>
                </w:tcPr>
                <w:p w14:paraId="62A54E47">
                  <w:pPr>
                    <w:jc w:val="center"/>
                    <w:rPr>
                      <w:szCs w:val="21"/>
                    </w:rPr>
                  </w:pPr>
                </w:p>
              </w:tc>
              <w:tc>
                <w:tcPr>
                  <w:tcW w:w="842" w:type="dxa"/>
                  <w:vAlign w:val="center"/>
                </w:tcPr>
                <w:p w14:paraId="21D7C5CA">
                  <w:pPr>
                    <w:pStyle w:val="12"/>
                    <w:spacing w:after="0" w:line="240" w:lineRule="auto"/>
                    <w:jc w:val="center"/>
                    <w:rPr>
                      <w:sz w:val="21"/>
                      <w:szCs w:val="21"/>
                    </w:rPr>
                  </w:pPr>
                  <w:r>
                    <w:rPr>
                      <w:sz w:val="21"/>
                      <w:szCs w:val="21"/>
                    </w:rPr>
                    <w:t>NH3-N</w:t>
                  </w:r>
                </w:p>
              </w:tc>
              <w:tc>
                <w:tcPr>
                  <w:tcW w:w="850" w:type="dxa"/>
                  <w:vMerge w:val="continue"/>
                  <w:vAlign w:val="center"/>
                </w:tcPr>
                <w:p w14:paraId="6DCBA162">
                  <w:pPr>
                    <w:jc w:val="center"/>
                    <w:rPr>
                      <w:szCs w:val="21"/>
                    </w:rPr>
                  </w:pPr>
                </w:p>
              </w:tc>
              <w:tc>
                <w:tcPr>
                  <w:tcW w:w="851" w:type="dxa"/>
                  <w:vAlign w:val="center"/>
                </w:tcPr>
                <w:p w14:paraId="37FB25FC">
                  <w:pPr>
                    <w:widowControl/>
                    <w:spacing w:line="360" w:lineRule="exact"/>
                    <w:jc w:val="center"/>
                    <w:rPr>
                      <w:kern w:val="0"/>
                      <w:szCs w:val="21"/>
                    </w:rPr>
                  </w:pPr>
                  <w:r>
                    <w:rPr>
                      <w:rFonts w:hint="eastAsia"/>
                      <w:kern w:val="0"/>
                      <w:szCs w:val="21"/>
                    </w:rPr>
                    <w:t>0.003</w:t>
                  </w:r>
                </w:p>
              </w:tc>
              <w:tc>
                <w:tcPr>
                  <w:tcW w:w="992" w:type="dxa"/>
                  <w:vAlign w:val="center"/>
                </w:tcPr>
                <w:p w14:paraId="38ED1847">
                  <w:pPr>
                    <w:widowControl/>
                    <w:spacing w:line="360" w:lineRule="exact"/>
                    <w:jc w:val="center"/>
                    <w:rPr>
                      <w:kern w:val="0"/>
                      <w:szCs w:val="21"/>
                    </w:rPr>
                  </w:pPr>
                  <w:r>
                    <w:rPr>
                      <w:rFonts w:hint="eastAsia"/>
                      <w:kern w:val="0"/>
                      <w:szCs w:val="21"/>
                    </w:rPr>
                    <w:t>2</w:t>
                  </w:r>
                  <w:r>
                    <w:rPr>
                      <w:kern w:val="0"/>
                      <w:szCs w:val="21"/>
                    </w:rPr>
                    <w:t>5</w:t>
                  </w:r>
                </w:p>
              </w:tc>
              <w:tc>
                <w:tcPr>
                  <w:tcW w:w="709" w:type="dxa"/>
                  <w:vMerge w:val="continue"/>
                  <w:vAlign w:val="center"/>
                </w:tcPr>
                <w:p w14:paraId="7AC92C90">
                  <w:pPr>
                    <w:jc w:val="center"/>
                    <w:rPr>
                      <w:szCs w:val="21"/>
                    </w:rPr>
                  </w:pPr>
                </w:p>
              </w:tc>
              <w:tc>
                <w:tcPr>
                  <w:tcW w:w="709" w:type="dxa"/>
                  <w:vMerge w:val="continue"/>
                  <w:vAlign w:val="center"/>
                </w:tcPr>
                <w:p w14:paraId="12BF892D">
                  <w:pPr>
                    <w:jc w:val="center"/>
                    <w:rPr>
                      <w:szCs w:val="21"/>
                    </w:rPr>
                  </w:pPr>
                </w:p>
              </w:tc>
              <w:tc>
                <w:tcPr>
                  <w:tcW w:w="1034" w:type="dxa"/>
                  <w:vAlign w:val="center"/>
                </w:tcPr>
                <w:p w14:paraId="2B78CF1A">
                  <w:pPr>
                    <w:widowControl/>
                    <w:spacing w:line="360" w:lineRule="exact"/>
                    <w:jc w:val="center"/>
                    <w:rPr>
                      <w:kern w:val="0"/>
                      <w:szCs w:val="21"/>
                    </w:rPr>
                  </w:pPr>
                  <w:r>
                    <w:rPr>
                      <w:rFonts w:hint="eastAsia"/>
                      <w:kern w:val="0"/>
                      <w:szCs w:val="21"/>
                    </w:rPr>
                    <w:t>25</w:t>
                  </w:r>
                </w:p>
              </w:tc>
              <w:tc>
                <w:tcPr>
                  <w:tcW w:w="1134" w:type="dxa"/>
                  <w:vAlign w:val="center"/>
                </w:tcPr>
                <w:p w14:paraId="7FAFDF71">
                  <w:pPr>
                    <w:widowControl/>
                    <w:spacing w:line="360" w:lineRule="exact"/>
                    <w:jc w:val="center"/>
                    <w:rPr>
                      <w:kern w:val="0"/>
                      <w:szCs w:val="21"/>
                    </w:rPr>
                  </w:pPr>
                  <w:r>
                    <w:rPr>
                      <w:rFonts w:hint="eastAsia"/>
                      <w:kern w:val="0"/>
                      <w:szCs w:val="21"/>
                    </w:rPr>
                    <w:t>0.003</w:t>
                  </w:r>
                </w:p>
              </w:tc>
            </w:tr>
            <w:tr w14:paraId="0886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restart"/>
                  <w:vAlign w:val="center"/>
                </w:tcPr>
                <w:p w14:paraId="6E768351">
                  <w:pPr>
                    <w:widowControl/>
                    <w:spacing w:line="360" w:lineRule="exact"/>
                    <w:jc w:val="center"/>
                    <w:rPr>
                      <w:kern w:val="0"/>
                      <w:szCs w:val="21"/>
                    </w:rPr>
                  </w:pPr>
                  <w:r>
                    <w:rPr>
                      <w:rFonts w:hint="eastAsia"/>
                      <w:kern w:val="0"/>
                      <w:szCs w:val="21"/>
                    </w:rPr>
                    <w:t>生产废水</w:t>
                  </w:r>
                </w:p>
              </w:tc>
              <w:tc>
                <w:tcPr>
                  <w:tcW w:w="842" w:type="dxa"/>
                  <w:vAlign w:val="center"/>
                </w:tcPr>
                <w:p w14:paraId="21D2AB8D">
                  <w:pPr>
                    <w:widowControl/>
                    <w:spacing w:line="360" w:lineRule="exact"/>
                    <w:jc w:val="center"/>
                    <w:textAlignment w:val="center"/>
                    <w:rPr>
                      <w:kern w:val="0"/>
                      <w:szCs w:val="21"/>
                    </w:rPr>
                  </w:pPr>
                  <w:r>
                    <w:rPr>
                      <w:kern w:val="0"/>
                      <w:szCs w:val="21"/>
                    </w:rPr>
                    <w:t>COD</w:t>
                  </w:r>
                </w:p>
              </w:tc>
              <w:tc>
                <w:tcPr>
                  <w:tcW w:w="850" w:type="dxa"/>
                  <w:vMerge w:val="restart"/>
                  <w:vAlign w:val="center"/>
                </w:tcPr>
                <w:p w14:paraId="2A0C1365">
                  <w:pPr>
                    <w:widowControl/>
                    <w:spacing w:line="360" w:lineRule="exact"/>
                    <w:jc w:val="center"/>
                    <w:rPr>
                      <w:kern w:val="0"/>
                      <w:szCs w:val="21"/>
                    </w:rPr>
                  </w:pPr>
                  <w:r>
                    <w:rPr>
                      <w:rFonts w:hint="eastAsia"/>
                      <w:kern w:val="0"/>
                      <w:szCs w:val="21"/>
                    </w:rPr>
                    <w:t>20960.8</w:t>
                  </w:r>
                </w:p>
              </w:tc>
              <w:tc>
                <w:tcPr>
                  <w:tcW w:w="851" w:type="dxa"/>
                  <w:vAlign w:val="center"/>
                </w:tcPr>
                <w:p w14:paraId="2C50D4FF">
                  <w:pPr>
                    <w:widowControl/>
                    <w:spacing w:line="360" w:lineRule="exact"/>
                    <w:jc w:val="center"/>
                    <w:rPr>
                      <w:kern w:val="0"/>
                      <w:szCs w:val="21"/>
                    </w:rPr>
                  </w:pPr>
                  <w:r>
                    <w:rPr>
                      <w:rFonts w:hint="eastAsia"/>
                      <w:kern w:val="0"/>
                      <w:szCs w:val="21"/>
                    </w:rPr>
                    <w:t>2.4734</w:t>
                  </w:r>
                </w:p>
              </w:tc>
              <w:tc>
                <w:tcPr>
                  <w:tcW w:w="992" w:type="dxa"/>
                  <w:vAlign w:val="center"/>
                </w:tcPr>
                <w:p w14:paraId="3408032B">
                  <w:pPr>
                    <w:widowControl/>
                    <w:spacing w:line="360" w:lineRule="exact"/>
                    <w:jc w:val="center"/>
                    <w:rPr>
                      <w:kern w:val="0"/>
                      <w:szCs w:val="21"/>
                    </w:rPr>
                  </w:pPr>
                  <w:r>
                    <w:rPr>
                      <w:rFonts w:hint="eastAsia"/>
                      <w:kern w:val="0"/>
                      <w:szCs w:val="21"/>
                    </w:rPr>
                    <w:t>118</w:t>
                  </w:r>
                </w:p>
              </w:tc>
              <w:tc>
                <w:tcPr>
                  <w:tcW w:w="709" w:type="dxa"/>
                  <w:vMerge w:val="restart"/>
                  <w:vAlign w:val="center"/>
                </w:tcPr>
                <w:p w14:paraId="326E5BDE">
                  <w:pPr>
                    <w:jc w:val="center"/>
                    <w:rPr>
                      <w:szCs w:val="21"/>
                    </w:rPr>
                  </w:pPr>
                  <w:r>
                    <w:rPr>
                      <w:rFonts w:hint="eastAsia"/>
                      <w:szCs w:val="21"/>
                    </w:rPr>
                    <w:t>二级沉淀池</w:t>
                  </w:r>
                </w:p>
              </w:tc>
              <w:tc>
                <w:tcPr>
                  <w:tcW w:w="709" w:type="dxa"/>
                  <w:vMerge w:val="restart"/>
                  <w:vAlign w:val="center"/>
                </w:tcPr>
                <w:p w14:paraId="4EC725EB">
                  <w:pPr>
                    <w:jc w:val="center"/>
                    <w:rPr>
                      <w:szCs w:val="21"/>
                    </w:rPr>
                  </w:pPr>
                  <w:r>
                    <w:rPr>
                      <w:rFonts w:hint="eastAsia"/>
                      <w:szCs w:val="21"/>
                    </w:rPr>
                    <w:t>是</w:t>
                  </w:r>
                </w:p>
              </w:tc>
              <w:tc>
                <w:tcPr>
                  <w:tcW w:w="1034" w:type="dxa"/>
                  <w:vAlign w:val="center"/>
                </w:tcPr>
                <w:p w14:paraId="1C47C610">
                  <w:pPr>
                    <w:widowControl/>
                    <w:spacing w:line="360" w:lineRule="exact"/>
                    <w:jc w:val="center"/>
                    <w:rPr>
                      <w:kern w:val="0"/>
                      <w:szCs w:val="21"/>
                    </w:rPr>
                  </w:pPr>
                  <w:r>
                    <w:rPr>
                      <w:rFonts w:hint="eastAsia"/>
                      <w:kern w:val="0"/>
                      <w:szCs w:val="21"/>
                    </w:rPr>
                    <w:t>89</w:t>
                  </w:r>
                </w:p>
              </w:tc>
              <w:tc>
                <w:tcPr>
                  <w:tcW w:w="1134" w:type="dxa"/>
                  <w:vAlign w:val="center"/>
                </w:tcPr>
                <w:p w14:paraId="20056483">
                  <w:pPr>
                    <w:widowControl/>
                    <w:spacing w:line="360" w:lineRule="exact"/>
                    <w:ind w:firstLine="210" w:firstLineChars="100"/>
                    <w:rPr>
                      <w:kern w:val="0"/>
                      <w:szCs w:val="21"/>
                    </w:rPr>
                  </w:pPr>
                  <w:r>
                    <w:rPr>
                      <w:rFonts w:hint="eastAsia"/>
                      <w:kern w:val="0"/>
                      <w:szCs w:val="21"/>
                    </w:rPr>
                    <w:t>1.8655</w:t>
                  </w:r>
                </w:p>
              </w:tc>
            </w:tr>
            <w:tr w14:paraId="2ED1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1F46CA78">
                  <w:pPr>
                    <w:widowControl/>
                    <w:spacing w:line="360" w:lineRule="exact"/>
                    <w:jc w:val="center"/>
                    <w:rPr>
                      <w:kern w:val="0"/>
                      <w:szCs w:val="21"/>
                    </w:rPr>
                  </w:pPr>
                </w:p>
              </w:tc>
              <w:tc>
                <w:tcPr>
                  <w:tcW w:w="842" w:type="dxa"/>
                  <w:vAlign w:val="center"/>
                </w:tcPr>
                <w:p w14:paraId="0F5DBDBE">
                  <w:pPr>
                    <w:widowControl/>
                    <w:spacing w:line="360" w:lineRule="exact"/>
                    <w:jc w:val="center"/>
                    <w:textAlignment w:val="center"/>
                    <w:rPr>
                      <w:kern w:val="0"/>
                      <w:szCs w:val="21"/>
                    </w:rPr>
                  </w:pPr>
                  <w:r>
                    <w:rPr>
                      <w:kern w:val="0"/>
                      <w:szCs w:val="21"/>
                    </w:rPr>
                    <w:t>BOD5</w:t>
                  </w:r>
                </w:p>
              </w:tc>
              <w:tc>
                <w:tcPr>
                  <w:tcW w:w="850" w:type="dxa"/>
                  <w:vMerge w:val="continue"/>
                  <w:vAlign w:val="center"/>
                </w:tcPr>
                <w:p w14:paraId="1A44DE7E">
                  <w:pPr>
                    <w:widowControl/>
                    <w:spacing w:line="360" w:lineRule="exact"/>
                    <w:jc w:val="center"/>
                    <w:rPr>
                      <w:kern w:val="0"/>
                      <w:szCs w:val="21"/>
                    </w:rPr>
                  </w:pPr>
                </w:p>
              </w:tc>
              <w:tc>
                <w:tcPr>
                  <w:tcW w:w="851" w:type="dxa"/>
                  <w:vAlign w:val="center"/>
                </w:tcPr>
                <w:p w14:paraId="5F1851A7">
                  <w:pPr>
                    <w:widowControl/>
                    <w:spacing w:line="360" w:lineRule="exact"/>
                    <w:jc w:val="center"/>
                    <w:rPr>
                      <w:kern w:val="0"/>
                      <w:szCs w:val="21"/>
                    </w:rPr>
                  </w:pPr>
                  <w:r>
                    <w:rPr>
                      <w:rFonts w:hint="eastAsia"/>
                      <w:kern w:val="0"/>
                      <w:szCs w:val="21"/>
                    </w:rPr>
                    <w:t>0.7357</w:t>
                  </w:r>
                </w:p>
              </w:tc>
              <w:tc>
                <w:tcPr>
                  <w:tcW w:w="992" w:type="dxa"/>
                  <w:vAlign w:val="center"/>
                </w:tcPr>
                <w:p w14:paraId="43015141">
                  <w:pPr>
                    <w:widowControl/>
                    <w:spacing w:line="360" w:lineRule="exact"/>
                    <w:jc w:val="center"/>
                    <w:rPr>
                      <w:kern w:val="0"/>
                      <w:szCs w:val="21"/>
                    </w:rPr>
                  </w:pPr>
                  <w:r>
                    <w:rPr>
                      <w:rFonts w:hint="eastAsia"/>
                      <w:kern w:val="0"/>
                      <w:szCs w:val="21"/>
                    </w:rPr>
                    <w:t>35.1</w:t>
                  </w:r>
                </w:p>
              </w:tc>
              <w:tc>
                <w:tcPr>
                  <w:tcW w:w="709" w:type="dxa"/>
                  <w:vMerge w:val="continue"/>
                  <w:vAlign w:val="center"/>
                </w:tcPr>
                <w:p w14:paraId="2496FF6F">
                  <w:pPr>
                    <w:jc w:val="center"/>
                    <w:rPr>
                      <w:szCs w:val="21"/>
                    </w:rPr>
                  </w:pPr>
                </w:p>
              </w:tc>
              <w:tc>
                <w:tcPr>
                  <w:tcW w:w="709" w:type="dxa"/>
                  <w:vMerge w:val="continue"/>
                  <w:vAlign w:val="center"/>
                </w:tcPr>
                <w:p w14:paraId="4FD2107A">
                  <w:pPr>
                    <w:jc w:val="center"/>
                    <w:rPr>
                      <w:szCs w:val="21"/>
                    </w:rPr>
                  </w:pPr>
                </w:p>
              </w:tc>
              <w:tc>
                <w:tcPr>
                  <w:tcW w:w="1034" w:type="dxa"/>
                  <w:vAlign w:val="center"/>
                </w:tcPr>
                <w:p w14:paraId="473DF448">
                  <w:pPr>
                    <w:widowControl/>
                    <w:spacing w:line="360" w:lineRule="exact"/>
                    <w:jc w:val="center"/>
                    <w:rPr>
                      <w:kern w:val="0"/>
                      <w:szCs w:val="21"/>
                    </w:rPr>
                  </w:pPr>
                  <w:r>
                    <w:rPr>
                      <w:rFonts w:hint="eastAsia"/>
                      <w:kern w:val="0"/>
                      <w:szCs w:val="21"/>
                    </w:rPr>
                    <w:t>26.8</w:t>
                  </w:r>
                </w:p>
              </w:tc>
              <w:tc>
                <w:tcPr>
                  <w:tcW w:w="1134" w:type="dxa"/>
                  <w:vAlign w:val="center"/>
                </w:tcPr>
                <w:p w14:paraId="19564384">
                  <w:pPr>
                    <w:widowControl/>
                    <w:spacing w:line="360" w:lineRule="exact"/>
                    <w:jc w:val="center"/>
                    <w:rPr>
                      <w:kern w:val="0"/>
                      <w:szCs w:val="21"/>
                    </w:rPr>
                  </w:pPr>
                  <w:r>
                    <w:rPr>
                      <w:rFonts w:hint="eastAsia"/>
                      <w:kern w:val="0"/>
                      <w:szCs w:val="21"/>
                    </w:rPr>
                    <w:t>0.5617</w:t>
                  </w:r>
                </w:p>
              </w:tc>
            </w:tr>
            <w:tr w14:paraId="4AEE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665" w:type="dxa"/>
                  <w:vMerge w:val="continue"/>
                  <w:vAlign w:val="center"/>
                </w:tcPr>
                <w:p w14:paraId="3689BB2E">
                  <w:pPr>
                    <w:widowControl/>
                    <w:spacing w:line="360" w:lineRule="exact"/>
                    <w:jc w:val="center"/>
                    <w:rPr>
                      <w:kern w:val="0"/>
                      <w:szCs w:val="21"/>
                    </w:rPr>
                  </w:pPr>
                </w:p>
              </w:tc>
              <w:tc>
                <w:tcPr>
                  <w:tcW w:w="842" w:type="dxa"/>
                  <w:vAlign w:val="center"/>
                </w:tcPr>
                <w:p w14:paraId="67348AAA">
                  <w:pPr>
                    <w:widowControl/>
                    <w:spacing w:line="360" w:lineRule="exact"/>
                    <w:jc w:val="center"/>
                    <w:textAlignment w:val="center"/>
                    <w:rPr>
                      <w:kern w:val="0"/>
                      <w:szCs w:val="21"/>
                    </w:rPr>
                  </w:pPr>
                  <w:r>
                    <w:rPr>
                      <w:kern w:val="0"/>
                      <w:szCs w:val="21"/>
                    </w:rPr>
                    <w:t>SS</w:t>
                  </w:r>
                </w:p>
              </w:tc>
              <w:tc>
                <w:tcPr>
                  <w:tcW w:w="850" w:type="dxa"/>
                  <w:vMerge w:val="continue"/>
                  <w:vAlign w:val="center"/>
                </w:tcPr>
                <w:p w14:paraId="65B891EB">
                  <w:pPr>
                    <w:widowControl/>
                    <w:spacing w:line="360" w:lineRule="exact"/>
                    <w:jc w:val="center"/>
                    <w:rPr>
                      <w:kern w:val="0"/>
                      <w:szCs w:val="21"/>
                    </w:rPr>
                  </w:pPr>
                </w:p>
              </w:tc>
              <w:tc>
                <w:tcPr>
                  <w:tcW w:w="851" w:type="dxa"/>
                  <w:vAlign w:val="center"/>
                </w:tcPr>
                <w:p w14:paraId="74C2CF5E">
                  <w:pPr>
                    <w:widowControl/>
                    <w:spacing w:line="360" w:lineRule="exact"/>
                    <w:jc w:val="center"/>
                    <w:rPr>
                      <w:kern w:val="0"/>
                      <w:szCs w:val="21"/>
                    </w:rPr>
                  </w:pPr>
                  <w:r>
                    <w:rPr>
                      <w:rFonts w:hint="eastAsia"/>
                      <w:kern w:val="0"/>
                      <w:szCs w:val="21"/>
                    </w:rPr>
                    <w:t>0.9013</w:t>
                  </w:r>
                </w:p>
              </w:tc>
              <w:tc>
                <w:tcPr>
                  <w:tcW w:w="992" w:type="dxa"/>
                  <w:vAlign w:val="center"/>
                </w:tcPr>
                <w:p w14:paraId="709A31AC">
                  <w:pPr>
                    <w:widowControl/>
                    <w:spacing w:line="360" w:lineRule="exact"/>
                    <w:jc w:val="center"/>
                    <w:rPr>
                      <w:kern w:val="0"/>
                      <w:szCs w:val="21"/>
                    </w:rPr>
                  </w:pPr>
                  <w:r>
                    <w:rPr>
                      <w:rFonts w:hint="eastAsia"/>
                      <w:kern w:val="0"/>
                      <w:szCs w:val="21"/>
                    </w:rPr>
                    <w:t>43</w:t>
                  </w:r>
                </w:p>
              </w:tc>
              <w:tc>
                <w:tcPr>
                  <w:tcW w:w="709" w:type="dxa"/>
                  <w:vMerge w:val="continue"/>
                  <w:vAlign w:val="center"/>
                </w:tcPr>
                <w:p w14:paraId="66707C4F">
                  <w:pPr>
                    <w:jc w:val="center"/>
                    <w:rPr>
                      <w:szCs w:val="21"/>
                    </w:rPr>
                  </w:pPr>
                </w:p>
              </w:tc>
              <w:tc>
                <w:tcPr>
                  <w:tcW w:w="709" w:type="dxa"/>
                  <w:vMerge w:val="continue"/>
                  <w:vAlign w:val="center"/>
                </w:tcPr>
                <w:p w14:paraId="045DC10A">
                  <w:pPr>
                    <w:jc w:val="center"/>
                    <w:rPr>
                      <w:szCs w:val="21"/>
                    </w:rPr>
                  </w:pPr>
                </w:p>
              </w:tc>
              <w:tc>
                <w:tcPr>
                  <w:tcW w:w="1034" w:type="dxa"/>
                  <w:vAlign w:val="center"/>
                </w:tcPr>
                <w:p w14:paraId="2D1648AB">
                  <w:pPr>
                    <w:widowControl/>
                    <w:spacing w:line="360" w:lineRule="exact"/>
                    <w:jc w:val="center"/>
                    <w:rPr>
                      <w:kern w:val="0"/>
                      <w:szCs w:val="21"/>
                    </w:rPr>
                  </w:pPr>
                  <w:r>
                    <w:rPr>
                      <w:rFonts w:hint="eastAsia"/>
                      <w:kern w:val="0"/>
                      <w:szCs w:val="21"/>
                    </w:rPr>
                    <w:t>16</w:t>
                  </w:r>
                </w:p>
              </w:tc>
              <w:tc>
                <w:tcPr>
                  <w:tcW w:w="1134" w:type="dxa"/>
                  <w:vAlign w:val="center"/>
                </w:tcPr>
                <w:p w14:paraId="3B8F08E9">
                  <w:pPr>
                    <w:widowControl/>
                    <w:spacing w:line="360" w:lineRule="exact"/>
                    <w:jc w:val="center"/>
                    <w:rPr>
                      <w:kern w:val="0"/>
                      <w:szCs w:val="21"/>
                    </w:rPr>
                  </w:pPr>
                  <w:r>
                    <w:rPr>
                      <w:rFonts w:hint="eastAsia"/>
                      <w:kern w:val="0"/>
                      <w:szCs w:val="21"/>
                    </w:rPr>
                    <w:t>0.3354</w:t>
                  </w:r>
                </w:p>
              </w:tc>
            </w:tr>
            <w:tr w14:paraId="6DF0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23E0B348">
                  <w:pPr>
                    <w:widowControl/>
                    <w:spacing w:line="360" w:lineRule="exact"/>
                    <w:jc w:val="center"/>
                    <w:rPr>
                      <w:kern w:val="0"/>
                      <w:szCs w:val="21"/>
                    </w:rPr>
                  </w:pPr>
                </w:p>
              </w:tc>
              <w:tc>
                <w:tcPr>
                  <w:tcW w:w="842" w:type="dxa"/>
                  <w:vAlign w:val="center"/>
                </w:tcPr>
                <w:p w14:paraId="11526D07">
                  <w:pPr>
                    <w:widowControl/>
                    <w:jc w:val="center"/>
                    <w:textAlignment w:val="center"/>
                    <w:rPr>
                      <w:kern w:val="0"/>
                      <w:szCs w:val="21"/>
                    </w:rPr>
                  </w:pPr>
                  <w:r>
                    <w:rPr>
                      <w:kern w:val="0"/>
                      <w:szCs w:val="21"/>
                    </w:rPr>
                    <w:t>NH</w:t>
                  </w:r>
                  <w:r>
                    <w:rPr>
                      <w:kern w:val="0"/>
                      <w:szCs w:val="21"/>
                      <w:vertAlign w:val="subscript"/>
                    </w:rPr>
                    <w:t>3</w:t>
                  </w:r>
                  <w:r>
                    <w:rPr>
                      <w:kern w:val="0"/>
                      <w:szCs w:val="21"/>
                    </w:rPr>
                    <w:t>-N</w:t>
                  </w:r>
                </w:p>
              </w:tc>
              <w:tc>
                <w:tcPr>
                  <w:tcW w:w="850" w:type="dxa"/>
                  <w:vMerge w:val="continue"/>
                  <w:vAlign w:val="center"/>
                </w:tcPr>
                <w:p w14:paraId="222D6276">
                  <w:pPr>
                    <w:widowControl/>
                    <w:spacing w:line="360" w:lineRule="exact"/>
                    <w:jc w:val="center"/>
                    <w:rPr>
                      <w:kern w:val="0"/>
                      <w:szCs w:val="21"/>
                    </w:rPr>
                  </w:pPr>
                </w:p>
              </w:tc>
              <w:tc>
                <w:tcPr>
                  <w:tcW w:w="851" w:type="dxa"/>
                  <w:vAlign w:val="center"/>
                </w:tcPr>
                <w:p w14:paraId="42271632">
                  <w:pPr>
                    <w:widowControl/>
                    <w:spacing w:line="360" w:lineRule="exact"/>
                    <w:jc w:val="center"/>
                    <w:rPr>
                      <w:kern w:val="0"/>
                      <w:szCs w:val="21"/>
                    </w:rPr>
                  </w:pPr>
                  <w:r>
                    <w:rPr>
                      <w:rFonts w:hint="eastAsia"/>
                      <w:kern w:val="0"/>
                      <w:szCs w:val="21"/>
                    </w:rPr>
                    <w:t>0.0358</w:t>
                  </w:r>
                </w:p>
              </w:tc>
              <w:tc>
                <w:tcPr>
                  <w:tcW w:w="992" w:type="dxa"/>
                  <w:vAlign w:val="center"/>
                </w:tcPr>
                <w:p w14:paraId="708B4105">
                  <w:pPr>
                    <w:widowControl/>
                    <w:spacing w:line="360" w:lineRule="exact"/>
                    <w:jc w:val="center"/>
                    <w:rPr>
                      <w:kern w:val="0"/>
                      <w:szCs w:val="21"/>
                    </w:rPr>
                  </w:pPr>
                  <w:r>
                    <w:rPr>
                      <w:rFonts w:hint="eastAsia"/>
                      <w:kern w:val="0"/>
                      <w:szCs w:val="21"/>
                    </w:rPr>
                    <w:t>1.71</w:t>
                  </w:r>
                </w:p>
              </w:tc>
              <w:tc>
                <w:tcPr>
                  <w:tcW w:w="709" w:type="dxa"/>
                  <w:vMerge w:val="restart"/>
                  <w:vAlign w:val="center"/>
                </w:tcPr>
                <w:p w14:paraId="294A5A40">
                  <w:pPr>
                    <w:jc w:val="center"/>
                    <w:rPr>
                      <w:szCs w:val="21"/>
                    </w:rPr>
                  </w:pPr>
                  <w:r>
                    <w:rPr>
                      <w:rFonts w:hint="eastAsia"/>
                      <w:szCs w:val="21"/>
                    </w:rPr>
                    <w:t>二级沉淀池</w:t>
                  </w:r>
                </w:p>
              </w:tc>
              <w:tc>
                <w:tcPr>
                  <w:tcW w:w="709" w:type="dxa"/>
                  <w:vMerge w:val="restart"/>
                  <w:vAlign w:val="center"/>
                </w:tcPr>
                <w:p w14:paraId="2474FF6D">
                  <w:pPr>
                    <w:jc w:val="center"/>
                    <w:rPr>
                      <w:szCs w:val="21"/>
                    </w:rPr>
                  </w:pPr>
                  <w:r>
                    <w:rPr>
                      <w:rFonts w:hint="eastAsia"/>
                      <w:szCs w:val="21"/>
                    </w:rPr>
                    <w:t>是</w:t>
                  </w:r>
                </w:p>
              </w:tc>
              <w:tc>
                <w:tcPr>
                  <w:tcW w:w="1034" w:type="dxa"/>
                  <w:vAlign w:val="center"/>
                </w:tcPr>
                <w:p w14:paraId="06F130FB">
                  <w:pPr>
                    <w:widowControl/>
                    <w:spacing w:line="360" w:lineRule="exact"/>
                    <w:jc w:val="center"/>
                    <w:rPr>
                      <w:kern w:val="0"/>
                      <w:szCs w:val="21"/>
                    </w:rPr>
                  </w:pPr>
                  <w:r>
                    <w:rPr>
                      <w:rFonts w:hint="eastAsia"/>
                      <w:kern w:val="0"/>
                      <w:szCs w:val="21"/>
                    </w:rPr>
                    <w:t>1.46</w:t>
                  </w:r>
                </w:p>
              </w:tc>
              <w:tc>
                <w:tcPr>
                  <w:tcW w:w="1134" w:type="dxa"/>
                  <w:vAlign w:val="center"/>
                </w:tcPr>
                <w:p w14:paraId="3F948E2D">
                  <w:pPr>
                    <w:widowControl/>
                    <w:spacing w:line="360" w:lineRule="exact"/>
                    <w:jc w:val="center"/>
                    <w:rPr>
                      <w:kern w:val="0"/>
                      <w:szCs w:val="21"/>
                    </w:rPr>
                  </w:pPr>
                  <w:r>
                    <w:rPr>
                      <w:rFonts w:hint="eastAsia"/>
                      <w:kern w:val="0"/>
                      <w:szCs w:val="21"/>
                    </w:rPr>
                    <w:t>0.0306</w:t>
                  </w:r>
                </w:p>
              </w:tc>
            </w:tr>
            <w:tr w14:paraId="1ECC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00A264DD">
                  <w:pPr>
                    <w:widowControl/>
                    <w:spacing w:line="360" w:lineRule="exact"/>
                    <w:jc w:val="center"/>
                    <w:rPr>
                      <w:kern w:val="0"/>
                      <w:szCs w:val="21"/>
                    </w:rPr>
                  </w:pPr>
                </w:p>
              </w:tc>
              <w:tc>
                <w:tcPr>
                  <w:tcW w:w="842" w:type="dxa"/>
                  <w:vAlign w:val="center"/>
                </w:tcPr>
                <w:p w14:paraId="452F9246">
                  <w:pPr>
                    <w:widowControl/>
                    <w:spacing w:line="360" w:lineRule="exact"/>
                    <w:jc w:val="center"/>
                    <w:textAlignment w:val="center"/>
                    <w:rPr>
                      <w:kern w:val="0"/>
                      <w:szCs w:val="21"/>
                    </w:rPr>
                  </w:pPr>
                  <w:r>
                    <w:rPr>
                      <w:rFonts w:hint="eastAsia"/>
                      <w:kern w:val="0"/>
                      <w:szCs w:val="21"/>
                    </w:rPr>
                    <w:t>TP</w:t>
                  </w:r>
                </w:p>
              </w:tc>
              <w:tc>
                <w:tcPr>
                  <w:tcW w:w="850" w:type="dxa"/>
                  <w:vMerge w:val="continue"/>
                  <w:vAlign w:val="center"/>
                </w:tcPr>
                <w:p w14:paraId="4D0B68C3">
                  <w:pPr>
                    <w:widowControl/>
                    <w:spacing w:line="360" w:lineRule="exact"/>
                    <w:jc w:val="center"/>
                    <w:rPr>
                      <w:kern w:val="0"/>
                      <w:szCs w:val="21"/>
                    </w:rPr>
                  </w:pPr>
                </w:p>
              </w:tc>
              <w:tc>
                <w:tcPr>
                  <w:tcW w:w="851" w:type="dxa"/>
                  <w:vAlign w:val="center"/>
                </w:tcPr>
                <w:p w14:paraId="49BED8CE">
                  <w:pPr>
                    <w:widowControl/>
                    <w:spacing w:line="360" w:lineRule="exact"/>
                    <w:jc w:val="center"/>
                    <w:rPr>
                      <w:kern w:val="0"/>
                      <w:szCs w:val="21"/>
                    </w:rPr>
                  </w:pPr>
                  <w:r>
                    <w:rPr>
                      <w:rFonts w:hint="eastAsia"/>
                      <w:kern w:val="0"/>
                      <w:szCs w:val="21"/>
                    </w:rPr>
                    <w:t>0.0463</w:t>
                  </w:r>
                </w:p>
              </w:tc>
              <w:tc>
                <w:tcPr>
                  <w:tcW w:w="992" w:type="dxa"/>
                  <w:vAlign w:val="center"/>
                </w:tcPr>
                <w:p w14:paraId="39903A1E">
                  <w:pPr>
                    <w:widowControl/>
                    <w:spacing w:line="360" w:lineRule="exact"/>
                    <w:jc w:val="center"/>
                    <w:rPr>
                      <w:kern w:val="0"/>
                      <w:szCs w:val="21"/>
                    </w:rPr>
                  </w:pPr>
                  <w:r>
                    <w:rPr>
                      <w:rFonts w:hint="eastAsia"/>
                      <w:kern w:val="0"/>
                      <w:szCs w:val="21"/>
                    </w:rPr>
                    <w:t>2.21</w:t>
                  </w:r>
                </w:p>
              </w:tc>
              <w:tc>
                <w:tcPr>
                  <w:tcW w:w="709" w:type="dxa"/>
                  <w:vMerge w:val="continue"/>
                  <w:vAlign w:val="center"/>
                </w:tcPr>
                <w:p w14:paraId="6D125E39">
                  <w:pPr>
                    <w:jc w:val="center"/>
                    <w:rPr>
                      <w:szCs w:val="21"/>
                    </w:rPr>
                  </w:pPr>
                </w:p>
              </w:tc>
              <w:tc>
                <w:tcPr>
                  <w:tcW w:w="709" w:type="dxa"/>
                  <w:vMerge w:val="continue"/>
                  <w:vAlign w:val="center"/>
                </w:tcPr>
                <w:p w14:paraId="74B59BED">
                  <w:pPr>
                    <w:jc w:val="center"/>
                    <w:rPr>
                      <w:szCs w:val="21"/>
                    </w:rPr>
                  </w:pPr>
                </w:p>
              </w:tc>
              <w:tc>
                <w:tcPr>
                  <w:tcW w:w="1034" w:type="dxa"/>
                  <w:vAlign w:val="center"/>
                </w:tcPr>
                <w:p w14:paraId="09EE8761">
                  <w:pPr>
                    <w:widowControl/>
                    <w:spacing w:line="360" w:lineRule="exact"/>
                    <w:jc w:val="center"/>
                    <w:rPr>
                      <w:kern w:val="0"/>
                      <w:szCs w:val="21"/>
                    </w:rPr>
                  </w:pPr>
                  <w:r>
                    <w:rPr>
                      <w:rFonts w:hint="eastAsia"/>
                      <w:kern w:val="0"/>
                      <w:szCs w:val="21"/>
                    </w:rPr>
                    <w:t>0.64</w:t>
                  </w:r>
                </w:p>
              </w:tc>
              <w:tc>
                <w:tcPr>
                  <w:tcW w:w="1134" w:type="dxa"/>
                  <w:vAlign w:val="center"/>
                </w:tcPr>
                <w:p w14:paraId="2AA93A7C">
                  <w:pPr>
                    <w:widowControl/>
                    <w:spacing w:line="360" w:lineRule="exact"/>
                    <w:jc w:val="center"/>
                    <w:rPr>
                      <w:kern w:val="0"/>
                      <w:szCs w:val="21"/>
                    </w:rPr>
                  </w:pPr>
                  <w:r>
                    <w:rPr>
                      <w:rFonts w:hint="eastAsia"/>
                      <w:kern w:val="0"/>
                      <w:szCs w:val="21"/>
                    </w:rPr>
                    <w:t>0.0134</w:t>
                  </w:r>
                </w:p>
              </w:tc>
            </w:tr>
            <w:tr w14:paraId="0331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6A9CF4E8">
                  <w:pPr>
                    <w:widowControl/>
                    <w:spacing w:line="360" w:lineRule="exact"/>
                    <w:jc w:val="center"/>
                    <w:rPr>
                      <w:kern w:val="0"/>
                      <w:szCs w:val="21"/>
                    </w:rPr>
                  </w:pPr>
                </w:p>
              </w:tc>
              <w:tc>
                <w:tcPr>
                  <w:tcW w:w="842" w:type="dxa"/>
                  <w:vAlign w:val="center"/>
                </w:tcPr>
                <w:p w14:paraId="226C4E1C">
                  <w:pPr>
                    <w:widowControl/>
                    <w:spacing w:line="360" w:lineRule="exact"/>
                    <w:jc w:val="center"/>
                    <w:textAlignment w:val="center"/>
                    <w:rPr>
                      <w:kern w:val="0"/>
                      <w:szCs w:val="21"/>
                    </w:rPr>
                  </w:pPr>
                  <w:r>
                    <w:rPr>
                      <w:rFonts w:hint="eastAsia"/>
                      <w:kern w:val="0"/>
                      <w:szCs w:val="21"/>
                    </w:rPr>
                    <w:t>TN</w:t>
                  </w:r>
                </w:p>
              </w:tc>
              <w:tc>
                <w:tcPr>
                  <w:tcW w:w="850" w:type="dxa"/>
                  <w:vMerge w:val="continue"/>
                  <w:vAlign w:val="center"/>
                </w:tcPr>
                <w:p w14:paraId="2FFD5C3E">
                  <w:pPr>
                    <w:widowControl/>
                    <w:spacing w:line="360" w:lineRule="exact"/>
                    <w:jc w:val="center"/>
                    <w:rPr>
                      <w:kern w:val="0"/>
                      <w:szCs w:val="21"/>
                    </w:rPr>
                  </w:pPr>
                </w:p>
              </w:tc>
              <w:tc>
                <w:tcPr>
                  <w:tcW w:w="851" w:type="dxa"/>
                  <w:vAlign w:val="center"/>
                </w:tcPr>
                <w:p w14:paraId="25C888B9">
                  <w:pPr>
                    <w:widowControl/>
                    <w:spacing w:line="360" w:lineRule="exact"/>
                    <w:jc w:val="center"/>
                    <w:rPr>
                      <w:kern w:val="0"/>
                      <w:szCs w:val="21"/>
                    </w:rPr>
                  </w:pPr>
                  <w:r>
                    <w:rPr>
                      <w:rFonts w:hint="eastAsia"/>
                      <w:kern w:val="0"/>
                      <w:szCs w:val="21"/>
                    </w:rPr>
                    <w:t>0.0933</w:t>
                  </w:r>
                </w:p>
              </w:tc>
              <w:tc>
                <w:tcPr>
                  <w:tcW w:w="992" w:type="dxa"/>
                  <w:vAlign w:val="center"/>
                </w:tcPr>
                <w:p w14:paraId="1931DEA7">
                  <w:pPr>
                    <w:widowControl/>
                    <w:spacing w:line="360" w:lineRule="exact"/>
                    <w:jc w:val="center"/>
                    <w:rPr>
                      <w:kern w:val="0"/>
                      <w:szCs w:val="21"/>
                    </w:rPr>
                  </w:pPr>
                  <w:r>
                    <w:rPr>
                      <w:rFonts w:hint="eastAsia"/>
                      <w:kern w:val="0"/>
                      <w:szCs w:val="21"/>
                    </w:rPr>
                    <w:t>4.45</w:t>
                  </w:r>
                </w:p>
              </w:tc>
              <w:tc>
                <w:tcPr>
                  <w:tcW w:w="709" w:type="dxa"/>
                  <w:vMerge w:val="continue"/>
                  <w:vAlign w:val="center"/>
                </w:tcPr>
                <w:p w14:paraId="29375E0C">
                  <w:pPr>
                    <w:jc w:val="center"/>
                    <w:rPr>
                      <w:szCs w:val="21"/>
                    </w:rPr>
                  </w:pPr>
                </w:p>
              </w:tc>
              <w:tc>
                <w:tcPr>
                  <w:tcW w:w="709" w:type="dxa"/>
                  <w:vMerge w:val="continue"/>
                  <w:vAlign w:val="center"/>
                </w:tcPr>
                <w:p w14:paraId="4C1FC0BC">
                  <w:pPr>
                    <w:jc w:val="center"/>
                    <w:rPr>
                      <w:szCs w:val="21"/>
                    </w:rPr>
                  </w:pPr>
                </w:p>
              </w:tc>
              <w:tc>
                <w:tcPr>
                  <w:tcW w:w="1034" w:type="dxa"/>
                  <w:vAlign w:val="center"/>
                </w:tcPr>
                <w:p w14:paraId="05853EA6">
                  <w:pPr>
                    <w:widowControl/>
                    <w:spacing w:line="360" w:lineRule="exact"/>
                    <w:jc w:val="center"/>
                    <w:rPr>
                      <w:kern w:val="0"/>
                      <w:szCs w:val="21"/>
                    </w:rPr>
                  </w:pPr>
                  <w:r>
                    <w:rPr>
                      <w:rFonts w:hint="eastAsia"/>
                      <w:kern w:val="0"/>
                      <w:szCs w:val="21"/>
                    </w:rPr>
                    <w:t>3.57</w:t>
                  </w:r>
                </w:p>
              </w:tc>
              <w:tc>
                <w:tcPr>
                  <w:tcW w:w="1134" w:type="dxa"/>
                  <w:vAlign w:val="center"/>
                </w:tcPr>
                <w:p w14:paraId="63C12192">
                  <w:pPr>
                    <w:widowControl/>
                    <w:spacing w:line="360" w:lineRule="exact"/>
                    <w:jc w:val="center"/>
                    <w:rPr>
                      <w:kern w:val="0"/>
                      <w:szCs w:val="21"/>
                    </w:rPr>
                  </w:pPr>
                  <w:r>
                    <w:rPr>
                      <w:rFonts w:hint="eastAsia"/>
                      <w:kern w:val="0"/>
                      <w:szCs w:val="21"/>
                    </w:rPr>
                    <w:t>0.0748</w:t>
                  </w:r>
                </w:p>
              </w:tc>
            </w:tr>
            <w:tr w14:paraId="513D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49E27549">
                  <w:pPr>
                    <w:widowControl/>
                    <w:spacing w:line="360" w:lineRule="exact"/>
                    <w:jc w:val="center"/>
                    <w:rPr>
                      <w:kern w:val="0"/>
                      <w:szCs w:val="21"/>
                    </w:rPr>
                  </w:pPr>
                </w:p>
              </w:tc>
              <w:tc>
                <w:tcPr>
                  <w:tcW w:w="842" w:type="dxa"/>
                  <w:vAlign w:val="center"/>
                </w:tcPr>
                <w:p w14:paraId="7751AC74">
                  <w:pPr>
                    <w:widowControl/>
                    <w:spacing w:line="360" w:lineRule="exact"/>
                    <w:jc w:val="center"/>
                    <w:textAlignment w:val="center"/>
                    <w:rPr>
                      <w:kern w:val="0"/>
                      <w:szCs w:val="21"/>
                    </w:rPr>
                  </w:pPr>
                  <w:r>
                    <w:rPr>
                      <w:rFonts w:hint="eastAsia"/>
                      <w:kern w:val="0"/>
                      <w:szCs w:val="21"/>
                    </w:rPr>
                    <w:t>LAS</w:t>
                  </w:r>
                </w:p>
              </w:tc>
              <w:tc>
                <w:tcPr>
                  <w:tcW w:w="850" w:type="dxa"/>
                  <w:vMerge w:val="continue"/>
                  <w:vAlign w:val="center"/>
                </w:tcPr>
                <w:p w14:paraId="1351E7A3">
                  <w:pPr>
                    <w:widowControl/>
                    <w:spacing w:line="360" w:lineRule="exact"/>
                    <w:jc w:val="center"/>
                    <w:rPr>
                      <w:kern w:val="0"/>
                      <w:szCs w:val="21"/>
                    </w:rPr>
                  </w:pPr>
                </w:p>
              </w:tc>
              <w:tc>
                <w:tcPr>
                  <w:tcW w:w="851" w:type="dxa"/>
                  <w:vAlign w:val="center"/>
                </w:tcPr>
                <w:p w14:paraId="483017AE">
                  <w:pPr>
                    <w:widowControl/>
                    <w:spacing w:line="360" w:lineRule="exact"/>
                    <w:jc w:val="center"/>
                    <w:rPr>
                      <w:kern w:val="0"/>
                      <w:szCs w:val="21"/>
                    </w:rPr>
                  </w:pPr>
                  <w:r>
                    <w:rPr>
                      <w:rFonts w:hint="eastAsia"/>
                      <w:kern w:val="0"/>
                      <w:szCs w:val="21"/>
                    </w:rPr>
                    <w:t>0.0141</w:t>
                  </w:r>
                </w:p>
              </w:tc>
              <w:tc>
                <w:tcPr>
                  <w:tcW w:w="992" w:type="dxa"/>
                  <w:vAlign w:val="center"/>
                </w:tcPr>
                <w:p w14:paraId="78094247">
                  <w:pPr>
                    <w:widowControl/>
                    <w:spacing w:line="360" w:lineRule="exact"/>
                    <w:jc w:val="center"/>
                    <w:rPr>
                      <w:kern w:val="0"/>
                      <w:szCs w:val="21"/>
                    </w:rPr>
                  </w:pPr>
                  <w:r>
                    <w:rPr>
                      <w:rFonts w:hint="eastAsia"/>
                      <w:kern w:val="0"/>
                      <w:szCs w:val="21"/>
                    </w:rPr>
                    <w:t>0.67</w:t>
                  </w:r>
                </w:p>
              </w:tc>
              <w:tc>
                <w:tcPr>
                  <w:tcW w:w="709" w:type="dxa"/>
                  <w:vMerge w:val="continue"/>
                  <w:vAlign w:val="center"/>
                </w:tcPr>
                <w:p w14:paraId="1640965B">
                  <w:pPr>
                    <w:jc w:val="center"/>
                    <w:rPr>
                      <w:szCs w:val="21"/>
                    </w:rPr>
                  </w:pPr>
                </w:p>
              </w:tc>
              <w:tc>
                <w:tcPr>
                  <w:tcW w:w="709" w:type="dxa"/>
                  <w:vMerge w:val="continue"/>
                  <w:vAlign w:val="center"/>
                </w:tcPr>
                <w:p w14:paraId="46D4DE93">
                  <w:pPr>
                    <w:jc w:val="center"/>
                    <w:rPr>
                      <w:szCs w:val="21"/>
                    </w:rPr>
                  </w:pPr>
                </w:p>
              </w:tc>
              <w:tc>
                <w:tcPr>
                  <w:tcW w:w="1034" w:type="dxa"/>
                  <w:vAlign w:val="center"/>
                </w:tcPr>
                <w:p w14:paraId="0BEAFECB">
                  <w:pPr>
                    <w:widowControl/>
                    <w:spacing w:line="360" w:lineRule="exact"/>
                    <w:jc w:val="center"/>
                    <w:rPr>
                      <w:kern w:val="0"/>
                      <w:szCs w:val="21"/>
                    </w:rPr>
                  </w:pPr>
                  <w:r>
                    <w:rPr>
                      <w:rFonts w:hint="eastAsia"/>
                      <w:kern w:val="0"/>
                      <w:szCs w:val="21"/>
                    </w:rPr>
                    <w:t>0.13</w:t>
                  </w:r>
                </w:p>
              </w:tc>
              <w:tc>
                <w:tcPr>
                  <w:tcW w:w="1134" w:type="dxa"/>
                  <w:vAlign w:val="center"/>
                </w:tcPr>
                <w:p w14:paraId="669B0B9B">
                  <w:pPr>
                    <w:widowControl/>
                    <w:spacing w:line="360" w:lineRule="exact"/>
                    <w:jc w:val="center"/>
                    <w:rPr>
                      <w:kern w:val="0"/>
                      <w:szCs w:val="21"/>
                    </w:rPr>
                  </w:pPr>
                  <w:r>
                    <w:rPr>
                      <w:rFonts w:hint="eastAsia"/>
                      <w:kern w:val="0"/>
                      <w:szCs w:val="21"/>
                    </w:rPr>
                    <w:t>0.0027</w:t>
                  </w:r>
                </w:p>
              </w:tc>
            </w:tr>
          </w:tbl>
          <w:p w14:paraId="7378DA52">
            <w:pPr>
              <w:spacing w:line="480" w:lineRule="exact"/>
              <w:ind w:firstLine="422" w:firstLineChars="200"/>
              <w:jc w:val="center"/>
              <w:rPr>
                <w:b/>
                <w:bCs/>
                <w:color w:val="000000" w:themeColor="text1"/>
                <w:szCs w:val="21"/>
                <w14:textFill>
                  <w14:solidFill>
                    <w14:schemeClr w14:val="tx1"/>
                  </w14:solidFill>
                </w14:textFill>
              </w:rPr>
            </w:pPr>
          </w:p>
          <w:p w14:paraId="406A8093">
            <w:pPr>
              <w:spacing w:line="360" w:lineRule="auto"/>
              <w:rPr>
                <w:b/>
                <w:bCs/>
                <w:snapToGrid w:val="0"/>
                <w:color w:val="000000"/>
                <w:sz w:val="24"/>
              </w:rPr>
            </w:pPr>
            <w:r>
              <w:rPr>
                <w:rFonts w:hint="eastAsia"/>
                <w:b/>
                <w:bCs/>
                <w:snapToGrid w:val="0"/>
                <w:color w:val="000000"/>
                <w:sz w:val="24"/>
              </w:rPr>
              <w:t>2</w:t>
            </w:r>
            <w:r>
              <w:rPr>
                <w:b/>
                <w:bCs/>
                <w:snapToGrid w:val="0"/>
                <w:color w:val="000000"/>
                <w:sz w:val="24"/>
              </w:rPr>
              <w:t>.2</w:t>
            </w:r>
            <w:r>
              <w:rPr>
                <w:rFonts w:hint="eastAsia"/>
                <w:b/>
                <w:bCs/>
                <w:snapToGrid w:val="0"/>
                <w:color w:val="000000"/>
                <w:sz w:val="24"/>
              </w:rPr>
              <w:t xml:space="preserve"> 污水处理措施可行性分析</w:t>
            </w:r>
          </w:p>
          <w:p w14:paraId="1D1BDE50">
            <w:pPr>
              <w:adjustRightInd w:val="0"/>
              <w:snapToGrid w:val="0"/>
              <w:spacing w:line="360" w:lineRule="auto"/>
              <w:ind w:firstLine="480" w:firstLineChars="200"/>
              <w:rPr>
                <w:bCs/>
                <w:sz w:val="24"/>
              </w:rPr>
            </w:pPr>
            <w:r>
              <w:rPr>
                <w:rFonts w:hint="eastAsia"/>
                <w:snapToGrid w:val="0"/>
                <w:color w:val="000000"/>
                <w:sz w:val="24"/>
              </w:rPr>
              <w:t>本项目</w:t>
            </w:r>
            <w:r>
              <w:rPr>
                <w:rFonts w:hint="eastAsia"/>
                <w:bCs/>
                <w:sz w:val="24"/>
              </w:rPr>
              <w:t>生活污水经化粪池预处理后排入衡山国祯水处理有限公司进一步处理，化粪池容积为</w:t>
            </w:r>
            <w:r>
              <w:rPr>
                <w:bCs/>
                <w:sz w:val="24"/>
              </w:rPr>
              <w:t>5m</w:t>
            </w:r>
            <w:r>
              <w:rPr>
                <w:bCs/>
                <w:sz w:val="24"/>
                <w:vertAlign w:val="superscript"/>
              </w:rPr>
              <w:t>3</w:t>
            </w:r>
            <w:r>
              <w:rPr>
                <w:rFonts w:hint="eastAsia"/>
                <w:bCs/>
                <w:sz w:val="24"/>
              </w:rPr>
              <w:t>，本项目生活污水产生量为0.4t/d，能够储存1</w:t>
            </w:r>
            <w:r>
              <w:rPr>
                <w:bCs/>
                <w:sz w:val="24"/>
              </w:rPr>
              <w:t>2</w:t>
            </w:r>
            <w:r>
              <w:rPr>
                <w:rFonts w:hint="eastAsia"/>
                <w:bCs/>
                <w:sz w:val="24"/>
              </w:rPr>
              <w:t>天的生活污水，容积满足要求。生活污水经化粪池预处理后各污染物的浓度均满足污水处理厂的接管水质要求。</w:t>
            </w:r>
          </w:p>
          <w:p w14:paraId="42AE0A3A">
            <w:pPr>
              <w:adjustRightInd w:val="0"/>
              <w:snapToGrid w:val="0"/>
              <w:spacing w:line="360" w:lineRule="auto"/>
              <w:ind w:firstLine="480" w:firstLineChars="200"/>
              <w:rPr>
                <w:bCs/>
                <w:sz w:val="24"/>
              </w:rPr>
            </w:pPr>
            <w:r>
              <w:rPr>
                <w:rFonts w:hint="eastAsia"/>
                <w:bCs/>
                <w:sz w:val="24"/>
              </w:rPr>
              <w:t>本项目生产废水经二级沉淀池进行处理后排入衡山国祯水处理有限公司进一步处理，本项目一级沉淀池容积约为7m</w:t>
            </w:r>
            <w:r>
              <w:rPr>
                <w:rFonts w:hint="eastAsia"/>
                <w:bCs/>
                <w:sz w:val="24"/>
                <w:vertAlign w:val="superscript"/>
              </w:rPr>
              <w:t>3</w:t>
            </w:r>
            <w:r>
              <w:rPr>
                <w:rFonts w:hint="eastAsia"/>
                <w:bCs/>
                <w:sz w:val="24"/>
              </w:rPr>
              <w:t>，生产废水产生量为69.87t/d，沉淀池沉淀时间为5min；二级沉淀池容积约为2m</w:t>
            </w:r>
            <w:r>
              <w:rPr>
                <w:rFonts w:hint="eastAsia"/>
                <w:bCs/>
                <w:sz w:val="24"/>
                <w:vertAlign w:val="superscript"/>
              </w:rPr>
              <w:t>3</w:t>
            </w:r>
            <w:r>
              <w:rPr>
                <w:rFonts w:hint="eastAsia"/>
                <w:bCs/>
                <w:sz w:val="24"/>
              </w:rPr>
              <w:t>，沉淀时间为2min，各沉淀池容积均满足要求，废水经沉淀后各污染物的浓度均满足污水处理厂的接管水质要求。</w:t>
            </w:r>
          </w:p>
          <w:p w14:paraId="717B6457">
            <w:pPr>
              <w:adjustRightInd w:val="0"/>
              <w:snapToGrid w:val="0"/>
              <w:spacing w:line="360" w:lineRule="auto"/>
              <w:ind w:firstLine="480" w:firstLineChars="200"/>
              <w:rPr>
                <w:bCs/>
                <w:sz w:val="24"/>
              </w:rPr>
            </w:pPr>
            <w:r>
              <w:rPr>
                <w:rFonts w:hint="eastAsia"/>
                <w:bCs/>
                <w:sz w:val="24"/>
              </w:rPr>
              <w:t>因此本项目污水处理措施可行。</w:t>
            </w:r>
          </w:p>
          <w:p w14:paraId="001F070A">
            <w:pPr>
              <w:adjustRightInd w:val="0"/>
              <w:snapToGrid w:val="0"/>
              <w:spacing w:line="360" w:lineRule="auto"/>
              <w:ind w:firstLine="480" w:firstLineChars="200"/>
              <w:rPr>
                <w:bCs/>
                <w:sz w:val="24"/>
              </w:rPr>
            </w:pPr>
            <w:r>
              <w:rPr>
                <w:rFonts w:hint="eastAsia"/>
                <w:bCs/>
                <w:sz w:val="24"/>
              </w:rPr>
              <w:t>项目废水产生及排放情况见下表。</w:t>
            </w:r>
          </w:p>
          <w:p w14:paraId="415DAB74">
            <w:pPr>
              <w:pStyle w:val="61"/>
              <w:adjustRightInd/>
              <w:snapToGrid/>
              <w:spacing w:line="240" w:lineRule="auto"/>
              <w:rPr>
                <w:sz w:val="21"/>
                <w:szCs w:val="21"/>
              </w:rPr>
            </w:pPr>
            <w:r>
              <w:rPr>
                <w:rFonts w:hint="eastAsia"/>
                <w:sz w:val="21"/>
                <w:szCs w:val="21"/>
              </w:rPr>
              <w:t>表4-12  废水污染物排放源汇总一览表</w:t>
            </w:r>
          </w:p>
          <w:tbl>
            <w:tblPr>
              <w:tblStyle w:val="26"/>
              <w:tblW w:w="7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2"/>
              <w:gridCol w:w="850"/>
              <w:gridCol w:w="851"/>
              <w:gridCol w:w="992"/>
              <w:gridCol w:w="709"/>
              <w:gridCol w:w="709"/>
              <w:gridCol w:w="1104"/>
              <w:gridCol w:w="1045"/>
            </w:tblGrid>
            <w:tr w14:paraId="0C5B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Align w:val="center"/>
                </w:tcPr>
                <w:p w14:paraId="04B31EEE">
                  <w:pPr>
                    <w:widowControl/>
                    <w:jc w:val="center"/>
                    <w:rPr>
                      <w:kern w:val="0"/>
                      <w:szCs w:val="21"/>
                    </w:rPr>
                  </w:pPr>
                  <w:r>
                    <w:rPr>
                      <w:kern w:val="0"/>
                      <w:szCs w:val="21"/>
                    </w:rPr>
                    <w:t>产排污环节</w:t>
                  </w:r>
                </w:p>
              </w:tc>
              <w:tc>
                <w:tcPr>
                  <w:tcW w:w="842" w:type="dxa"/>
                  <w:vAlign w:val="center"/>
                </w:tcPr>
                <w:p w14:paraId="66B64582">
                  <w:pPr>
                    <w:widowControl/>
                    <w:jc w:val="center"/>
                    <w:rPr>
                      <w:kern w:val="0"/>
                      <w:szCs w:val="21"/>
                    </w:rPr>
                  </w:pPr>
                  <w:r>
                    <w:rPr>
                      <w:kern w:val="0"/>
                      <w:szCs w:val="21"/>
                    </w:rPr>
                    <w:t>污染物种类</w:t>
                  </w:r>
                </w:p>
              </w:tc>
              <w:tc>
                <w:tcPr>
                  <w:tcW w:w="850" w:type="dxa"/>
                  <w:vAlign w:val="center"/>
                </w:tcPr>
                <w:p w14:paraId="79957D24">
                  <w:pPr>
                    <w:widowControl/>
                    <w:jc w:val="center"/>
                    <w:rPr>
                      <w:kern w:val="0"/>
                      <w:szCs w:val="21"/>
                    </w:rPr>
                  </w:pPr>
                  <w:r>
                    <w:rPr>
                      <w:kern w:val="0"/>
                      <w:szCs w:val="21"/>
                    </w:rPr>
                    <w:t>废水产生量t/a</w:t>
                  </w:r>
                </w:p>
              </w:tc>
              <w:tc>
                <w:tcPr>
                  <w:tcW w:w="851" w:type="dxa"/>
                  <w:vAlign w:val="center"/>
                </w:tcPr>
                <w:p w14:paraId="76EEC403">
                  <w:pPr>
                    <w:widowControl/>
                    <w:jc w:val="center"/>
                    <w:rPr>
                      <w:kern w:val="0"/>
                      <w:szCs w:val="21"/>
                    </w:rPr>
                  </w:pPr>
                  <w:r>
                    <w:rPr>
                      <w:kern w:val="0"/>
                      <w:szCs w:val="21"/>
                    </w:rPr>
                    <w:t>污染物产生量t/a</w:t>
                  </w:r>
                </w:p>
              </w:tc>
              <w:tc>
                <w:tcPr>
                  <w:tcW w:w="992" w:type="dxa"/>
                  <w:vAlign w:val="center"/>
                </w:tcPr>
                <w:p w14:paraId="40E2A3B2">
                  <w:pPr>
                    <w:widowControl/>
                    <w:jc w:val="center"/>
                    <w:rPr>
                      <w:kern w:val="0"/>
                      <w:szCs w:val="21"/>
                    </w:rPr>
                  </w:pPr>
                  <w:r>
                    <w:rPr>
                      <w:kern w:val="0"/>
                      <w:szCs w:val="21"/>
                    </w:rPr>
                    <w:t>污染物产生浓度mg/L</w:t>
                  </w:r>
                </w:p>
              </w:tc>
              <w:tc>
                <w:tcPr>
                  <w:tcW w:w="709" w:type="dxa"/>
                  <w:vAlign w:val="center"/>
                </w:tcPr>
                <w:p w14:paraId="51AEC033">
                  <w:pPr>
                    <w:widowControl/>
                    <w:jc w:val="center"/>
                    <w:rPr>
                      <w:kern w:val="0"/>
                      <w:szCs w:val="21"/>
                    </w:rPr>
                  </w:pPr>
                  <w:r>
                    <w:rPr>
                      <w:kern w:val="0"/>
                      <w:szCs w:val="21"/>
                    </w:rPr>
                    <w:t>治理措施</w:t>
                  </w:r>
                </w:p>
              </w:tc>
              <w:tc>
                <w:tcPr>
                  <w:tcW w:w="709" w:type="dxa"/>
                  <w:vAlign w:val="center"/>
                </w:tcPr>
                <w:p w14:paraId="38104AE1">
                  <w:pPr>
                    <w:widowControl/>
                    <w:jc w:val="center"/>
                    <w:rPr>
                      <w:kern w:val="0"/>
                      <w:szCs w:val="21"/>
                    </w:rPr>
                  </w:pPr>
                  <w:r>
                    <w:rPr>
                      <w:kern w:val="0"/>
                      <w:szCs w:val="21"/>
                    </w:rPr>
                    <w:t>是否为可行技术</w:t>
                  </w:r>
                </w:p>
              </w:tc>
              <w:tc>
                <w:tcPr>
                  <w:tcW w:w="1104" w:type="dxa"/>
                  <w:vAlign w:val="center"/>
                </w:tcPr>
                <w:p w14:paraId="26B1FE6C">
                  <w:pPr>
                    <w:widowControl/>
                    <w:jc w:val="center"/>
                    <w:rPr>
                      <w:kern w:val="0"/>
                      <w:szCs w:val="21"/>
                    </w:rPr>
                  </w:pPr>
                  <w:r>
                    <w:rPr>
                      <w:kern w:val="0"/>
                      <w:szCs w:val="21"/>
                    </w:rPr>
                    <w:t>污染物</w:t>
                  </w:r>
                  <w:r>
                    <w:rPr>
                      <w:rFonts w:hint="eastAsia"/>
                      <w:kern w:val="0"/>
                      <w:szCs w:val="21"/>
                    </w:rPr>
                    <w:t>排放浓度</w:t>
                  </w:r>
                  <w:r>
                    <w:rPr>
                      <w:kern w:val="0"/>
                      <w:szCs w:val="21"/>
                    </w:rPr>
                    <w:t>mg/L</w:t>
                  </w:r>
                </w:p>
              </w:tc>
              <w:tc>
                <w:tcPr>
                  <w:tcW w:w="1045" w:type="dxa"/>
                  <w:vAlign w:val="center"/>
                </w:tcPr>
                <w:p w14:paraId="157A354D">
                  <w:pPr>
                    <w:widowControl/>
                    <w:jc w:val="center"/>
                    <w:rPr>
                      <w:kern w:val="0"/>
                      <w:szCs w:val="21"/>
                    </w:rPr>
                  </w:pPr>
                  <w:r>
                    <w:rPr>
                      <w:kern w:val="0"/>
                      <w:szCs w:val="21"/>
                    </w:rPr>
                    <w:t>污染物排放量t/a</w:t>
                  </w:r>
                </w:p>
              </w:tc>
            </w:tr>
            <w:tr w14:paraId="4435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restart"/>
                  <w:vAlign w:val="center"/>
                </w:tcPr>
                <w:p w14:paraId="2ECC5F68">
                  <w:pPr>
                    <w:widowControl/>
                    <w:spacing w:line="360" w:lineRule="exact"/>
                    <w:jc w:val="center"/>
                    <w:rPr>
                      <w:kern w:val="0"/>
                      <w:szCs w:val="21"/>
                    </w:rPr>
                  </w:pPr>
                  <w:r>
                    <w:rPr>
                      <w:kern w:val="0"/>
                      <w:szCs w:val="21"/>
                    </w:rPr>
                    <w:t>生活污水</w:t>
                  </w:r>
                </w:p>
              </w:tc>
              <w:tc>
                <w:tcPr>
                  <w:tcW w:w="842" w:type="dxa"/>
                  <w:vAlign w:val="center"/>
                </w:tcPr>
                <w:p w14:paraId="7174D938">
                  <w:pPr>
                    <w:pStyle w:val="12"/>
                    <w:spacing w:after="0" w:line="360" w:lineRule="exact"/>
                    <w:jc w:val="center"/>
                    <w:rPr>
                      <w:sz w:val="21"/>
                      <w:szCs w:val="21"/>
                    </w:rPr>
                  </w:pPr>
                  <w:r>
                    <w:rPr>
                      <w:sz w:val="21"/>
                      <w:szCs w:val="21"/>
                    </w:rPr>
                    <w:t>COD</w:t>
                  </w:r>
                </w:p>
              </w:tc>
              <w:tc>
                <w:tcPr>
                  <w:tcW w:w="850" w:type="dxa"/>
                  <w:vMerge w:val="restart"/>
                  <w:vAlign w:val="center"/>
                </w:tcPr>
                <w:p w14:paraId="2ABE1B47">
                  <w:pPr>
                    <w:jc w:val="center"/>
                    <w:rPr>
                      <w:szCs w:val="21"/>
                    </w:rPr>
                  </w:pPr>
                  <w:r>
                    <w:rPr>
                      <w:rFonts w:hint="eastAsia"/>
                      <w:szCs w:val="21"/>
                    </w:rPr>
                    <w:t>12</w:t>
                  </w:r>
                  <w:r>
                    <w:rPr>
                      <w:szCs w:val="21"/>
                    </w:rPr>
                    <w:t>0</w:t>
                  </w:r>
                </w:p>
              </w:tc>
              <w:tc>
                <w:tcPr>
                  <w:tcW w:w="851" w:type="dxa"/>
                  <w:vAlign w:val="center"/>
                </w:tcPr>
                <w:p w14:paraId="5A2935DA">
                  <w:pPr>
                    <w:widowControl/>
                    <w:spacing w:line="360" w:lineRule="exact"/>
                    <w:jc w:val="center"/>
                    <w:rPr>
                      <w:kern w:val="0"/>
                      <w:szCs w:val="21"/>
                    </w:rPr>
                  </w:pPr>
                  <w:r>
                    <w:rPr>
                      <w:rFonts w:hint="eastAsia"/>
                      <w:kern w:val="0"/>
                      <w:szCs w:val="21"/>
                    </w:rPr>
                    <w:t>0.036</w:t>
                  </w:r>
                </w:p>
              </w:tc>
              <w:tc>
                <w:tcPr>
                  <w:tcW w:w="992" w:type="dxa"/>
                  <w:vAlign w:val="center"/>
                </w:tcPr>
                <w:p w14:paraId="7A03DBD6">
                  <w:pPr>
                    <w:widowControl/>
                    <w:spacing w:line="360" w:lineRule="exact"/>
                    <w:jc w:val="center"/>
                    <w:rPr>
                      <w:kern w:val="0"/>
                      <w:szCs w:val="21"/>
                    </w:rPr>
                  </w:pPr>
                  <w:r>
                    <w:rPr>
                      <w:kern w:val="0"/>
                      <w:szCs w:val="21"/>
                    </w:rPr>
                    <w:t>300</w:t>
                  </w:r>
                </w:p>
              </w:tc>
              <w:tc>
                <w:tcPr>
                  <w:tcW w:w="709" w:type="dxa"/>
                  <w:vMerge w:val="restart"/>
                  <w:vAlign w:val="center"/>
                </w:tcPr>
                <w:p w14:paraId="01159350">
                  <w:pPr>
                    <w:jc w:val="center"/>
                    <w:rPr>
                      <w:szCs w:val="21"/>
                    </w:rPr>
                  </w:pPr>
                  <w:r>
                    <w:rPr>
                      <w:szCs w:val="21"/>
                    </w:rPr>
                    <w:t>化粪池</w:t>
                  </w:r>
                </w:p>
              </w:tc>
              <w:tc>
                <w:tcPr>
                  <w:tcW w:w="709" w:type="dxa"/>
                  <w:vMerge w:val="restart"/>
                  <w:vAlign w:val="center"/>
                </w:tcPr>
                <w:p w14:paraId="33C10D33">
                  <w:pPr>
                    <w:jc w:val="center"/>
                    <w:rPr>
                      <w:szCs w:val="21"/>
                    </w:rPr>
                  </w:pPr>
                  <w:r>
                    <w:rPr>
                      <w:szCs w:val="21"/>
                    </w:rPr>
                    <w:t>是</w:t>
                  </w:r>
                </w:p>
              </w:tc>
              <w:tc>
                <w:tcPr>
                  <w:tcW w:w="1104" w:type="dxa"/>
                  <w:vAlign w:val="center"/>
                </w:tcPr>
                <w:p w14:paraId="56D1E0D0">
                  <w:pPr>
                    <w:widowControl/>
                    <w:spacing w:line="360" w:lineRule="exact"/>
                    <w:jc w:val="center"/>
                    <w:rPr>
                      <w:kern w:val="0"/>
                      <w:szCs w:val="21"/>
                    </w:rPr>
                  </w:pPr>
                  <w:r>
                    <w:rPr>
                      <w:rFonts w:hint="eastAsia"/>
                      <w:kern w:val="0"/>
                      <w:szCs w:val="21"/>
                    </w:rPr>
                    <w:t>270</w:t>
                  </w:r>
                </w:p>
              </w:tc>
              <w:tc>
                <w:tcPr>
                  <w:tcW w:w="1045" w:type="dxa"/>
                  <w:vAlign w:val="center"/>
                </w:tcPr>
                <w:p w14:paraId="4CAA8176">
                  <w:pPr>
                    <w:widowControl/>
                    <w:spacing w:line="360" w:lineRule="exact"/>
                    <w:jc w:val="center"/>
                    <w:rPr>
                      <w:kern w:val="0"/>
                      <w:szCs w:val="21"/>
                    </w:rPr>
                  </w:pPr>
                  <w:r>
                    <w:rPr>
                      <w:rFonts w:hint="eastAsia"/>
                      <w:kern w:val="0"/>
                      <w:szCs w:val="21"/>
                    </w:rPr>
                    <w:t>0.032</w:t>
                  </w:r>
                </w:p>
              </w:tc>
            </w:tr>
            <w:tr w14:paraId="4741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continue"/>
                  <w:vAlign w:val="center"/>
                </w:tcPr>
                <w:p w14:paraId="5154ADDD">
                  <w:pPr>
                    <w:jc w:val="center"/>
                    <w:rPr>
                      <w:szCs w:val="21"/>
                    </w:rPr>
                  </w:pPr>
                </w:p>
              </w:tc>
              <w:tc>
                <w:tcPr>
                  <w:tcW w:w="842" w:type="dxa"/>
                  <w:vAlign w:val="center"/>
                </w:tcPr>
                <w:p w14:paraId="389ECD9A">
                  <w:pPr>
                    <w:pStyle w:val="12"/>
                    <w:spacing w:after="0" w:line="360" w:lineRule="exact"/>
                    <w:jc w:val="center"/>
                    <w:rPr>
                      <w:sz w:val="21"/>
                      <w:szCs w:val="21"/>
                    </w:rPr>
                  </w:pPr>
                  <w:r>
                    <w:rPr>
                      <w:sz w:val="21"/>
                      <w:szCs w:val="21"/>
                    </w:rPr>
                    <w:t>BOD</w:t>
                  </w:r>
                </w:p>
              </w:tc>
              <w:tc>
                <w:tcPr>
                  <w:tcW w:w="850" w:type="dxa"/>
                  <w:vMerge w:val="continue"/>
                  <w:vAlign w:val="center"/>
                </w:tcPr>
                <w:p w14:paraId="3F427060">
                  <w:pPr>
                    <w:jc w:val="center"/>
                    <w:rPr>
                      <w:szCs w:val="21"/>
                    </w:rPr>
                  </w:pPr>
                </w:p>
              </w:tc>
              <w:tc>
                <w:tcPr>
                  <w:tcW w:w="851" w:type="dxa"/>
                  <w:vAlign w:val="center"/>
                </w:tcPr>
                <w:p w14:paraId="72DDEE23">
                  <w:pPr>
                    <w:widowControl/>
                    <w:spacing w:line="360" w:lineRule="exact"/>
                    <w:jc w:val="center"/>
                    <w:rPr>
                      <w:kern w:val="0"/>
                      <w:szCs w:val="21"/>
                    </w:rPr>
                  </w:pPr>
                  <w:r>
                    <w:rPr>
                      <w:rFonts w:hint="eastAsia"/>
                      <w:kern w:val="0"/>
                      <w:szCs w:val="21"/>
                    </w:rPr>
                    <w:t>0.024</w:t>
                  </w:r>
                </w:p>
              </w:tc>
              <w:tc>
                <w:tcPr>
                  <w:tcW w:w="992" w:type="dxa"/>
                  <w:vAlign w:val="center"/>
                </w:tcPr>
                <w:p w14:paraId="470597B2">
                  <w:pPr>
                    <w:widowControl/>
                    <w:spacing w:line="360" w:lineRule="exact"/>
                    <w:jc w:val="center"/>
                    <w:rPr>
                      <w:kern w:val="0"/>
                      <w:szCs w:val="21"/>
                    </w:rPr>
                  </w:pPr>
                  <w:r>
                    <w:rPr>
                      <w:rFonts w:hint="eastAsia"/>
                      <w:kern w:val="0"/>
                      <w:szCs w:val="21"/>
                    </w:rPr>
                    <w:t>20</w:t>
                  </w:r>
                  <w:r>
                    <w:rPr>
                      <w:kern w:val="0"/>
                      <w:szCs w:val="21"/>
                    </w:rPr>
                    <w:t>0</w:t>
                  </w:r>
                </w:p>
              </w:tc>
              <w:tc>
                <w:tcPr>
                  <w:tcW w:w="709" w:type="dxa"/>
                  <w:vMerge w:val="continue"/>
                  <w:vAlign w:val="center"/>
                </w:tcPr>
                <w:p w14:paraId="3C995F8E">
                  <w:pPr>
                    <w:jc w:val="center"/>
                    <w:rPr>
                      <w:szCs w:val="21"/>
                    </w:rPr>
                  </w:pPr>
                </w:p>
              </w:tc>
              <w:tc>
                <w:tcPr>
                  <w:tcW w:w="709" w:type="dxa"/>
                  <w:vMerge w:val="continue"/>
                  <w:vAlign w:val="center"/>
                </w:tcPr>
                <w:p w14:paraId="62F3A6E5">
                  <w:pPr>
                    <w:jc w:val="center"/>
                    <w:rPr>
                      <w:szCs w:val="21"/>
                    </w:rPr>
                  </w:pPr>
                </w:p>
              </w:tc>
              <w:tc>
                <w:tcPr>
                  <w:tcW w:w="1104" w:type="dxa"/>
                  <w:vAlign w:val="center"/>
                </w:tcPr>
                <w:p w14:paraId="6CEBC5D8">
                  <w:pPr>
                    <w:widowControl/>
                    <w:spacing w:line="360" w:lineRule="exact"/>
                    <w:jc w:val="center"/>
                    <w:rPr>
                      <w:kern w:val="0"/>
                      <w:szCs w:val="21"/>
                    </w:rPr>
                  </w:pPr>
                  <w:r>
                    <w:rPr>
                      <w:rFonts w:hint="eastAsia"/>
                      <w:kern w:val="0"/>
                      <w:szCs w:val="21"/>
                    </w:rPr>
                    <w:t>180</w:t>
                  </w:r>
                </w:p>
              </w:tc>
              <w:tc>
                <w:tcPr>
                  <w:tcW w:w="1045" w:type="dxa"/>
                  <w:vAlign w:val="center"/>
                </w:tcPr>
                <w:p w14:paraId="2C11F06C">
                  <w:pPr>
                    <w:widowControl/>
                    <w:spacing w:line="360" w:lineRule="exact"/>
                    <w:jc w:val="center"/>
                    <w:rPr>
                      <w:kern w:val="0"/>
                      <w:szCs w:val="21"/>
                    </w:rPr>
                  </w:pPr>
                  <w:r>
                    <w:rPr>
                      <w:rFonts w:hint="eastAsia"/>
                      <w:kern w:val="0"/>
                      <w:szCs w:val="21"/>
                    </w:rPr>
                    <w:t>0.022</w:t>
                  </w:r>
                </w:p>
              </w:tc>
            </w:tr>
            <w:tr w14:paraId="09F4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Merge w:val="continue"/>
                  <w:vAlign w:val="center"/>
                </w:tcPr>
                <w:p w14:paraId="29F2B9B3">
                  <w:pPr>
                    <w:jc w:val="center"/>
                    <w:rPr>
                      <w:szCs w:val="21"/>
                    </w:rPr>
                  </w:pPr>
                </w:p>
              </w:tc>
              <w:tc>
                <w:tcPr>
                  <w:tcW w:w="842" w:type="dxa"/>
                  <w:vAlign w:val="center"/>
                </w:tcPr>
                <w:p w14:paraId="5FCAD5E0">
                  <w:pPr>
                    <w:pStyle w:val="12"/>
                    <w:spacing w:after="0" w:line="360" w:lineRule="exact"/>
                    <w:jc w:val="center"/>
                    <w:rPr>
                      <w:sz w:val="21"/>
                      <w:szCs w:val="21"/>
                    </w:rPr>
                  </w:pPr>
                  <w:r>
                    <w:rPr>
                      <w:sz w:val="21"/>
                      <w:szCs w:val="21"/>
                    </w:rPr>
                    <w:t>SS</w:t>
                  </w:r>
                </w:p>
              </w:tc>
              <w:tc>
                <w:tcPr>
                  <w:tcW w:w="850" w:type="dxa"/>
                  <w:vMerge w:val="continue"/>
                  <w:vAlign w:val="center"/>
                </w:tcPr>
                <w:p w14:paraId="037BE804">
                  <w:pPr>
                    <w:jc w:val="center"/>
                    <w:rPr>
                      <w:szCs w:val="21"/>
                    </w:rPr>
                  </w:pPr>
                </w:p>
              </w:tc>
              <w:tc>
                <w:tcPr>
                  <w:tcW w:w="851" w:type="dxa"/>
                  <w:vAlign w:val="center"/>
                </w:tcPr>
                <w:p w14:paraId="43809BAC">
                  <w:pPr>
                    <w:widowControl/>
                    <w:spacing w:line="360" w:lineRule="exact"/>
                    <w:jc w:val="center"/>
                    <w:rPr>
                      <w:kern w:val="0"/>
                      <w:szCs w:val="21"/>
                    </w:rPr>
                  </w:pPr>
                  <w:r>
                    <w:rPr>
                      <w:rFonts w:hint="eastAsia"/>
                      <w:kern w:val="0"/>
                      <w:szCs w:val="21"/>
                    </w:rPr>
                    <w:t>0.024</w:t>
                  </w:r>
                </w:p>
              </w:tc>
              <w:tc>
                <w:tcPr>
                  <w:tcW w:w="992" w:type="dxa"/>
                  <w:vAlign w:val="center"/>
                </w:tcPr>
                <w:p w14:paraId="37E0F47F">
                  <w:pPr>
                    <w:widowControl/>
                    <w:spacing w:line="360" w:lineRule="exact"/>
                    <w:jc w:val="center"/>
                    <w:rPr>
                      <w:kern w:val="0"/>
                      <w:szCs w:val="21"/>
                    </w:rPr>
                  </w:pPr>
                  <w:r>
                    <w:rPr>
                      <w:kern w:val="0"/>
                      <w:szCs w:val="21"/>
                    </w:rPr>
                    <w:t>200</w:t>
                  </w:r>
                </w:p>
              </w:tc>
              <w:tc>
                <w:tcPr>
                  <w:tcW w:w="709" w:type="dxa"/>
                  <w:vMerge w:val="continue"/>
                  <w:vAlign w:val="center"/>
                </w:tcPr>
                <w:p w14:paraId="4C106BE6">
                  <w:pPr>
                    <w:jc w:val="center"/>
                    <w:rPr>
                      <w:szCs w:val="21"/>
                    </w:rPr>
                  </w:pPr>
                </w:p>
              </w:tc>
              <w:tc>
                <w:tcPr>
                  <w:tcW w:w="709" w:type="dxa"/>
                  <w:vMerge w:val="continue"/>
                  <w:vAlign w:val="center"/>
                </w:tcPr>
                <w:p w14:paraId="2D084680">
                  <w:pPr>
                    <w:jc w:val="center"/>
                    <w:rPr>
                      <w:szCs w:val="21"/>
                    </w:rPr>
                  </w:pPr>
                </w:p>
              </w:tc>
              <w:tc>
                <w:tcPr>
                  <w:tcW w:w="1104" w:type="dxa"/>
                  <w:vAlign w:val="center"/>
                </w:tcPr>
                <w:p w14:paraId="647C22EB">
                  <w:pPr>
                    <w:widowControl/>
                    <w:spacing w:line="360" w:lineRule="exact"/>
                    <w:jc w:val="center"/>
                    <w:rPr>
                      <w:kern w:val="0"/>
                      <w:szCs w:val="21"/>
                    </w:rPr>
                  </w:pPr>
                  <w:r>
                    <w:rPr>
                      <w:rFonts w:hint="eastAsia"/>
                      <w:kern w:val="0"/>
                      <w:szCs w:val="21"/>
                    </w:rPr>
                    <w:t>140</w:t>
                  </w:r>
                </w:p>
              </w:tc>
              <w:tc>
                <w:tcPr>
                  <w:tcW w:w="1045" w:type="dxa"/>
                  <w:vAlign w:val="center"/>
                </w:tcPr>
                <w:p w14:paraId="09548164">
                  <w:pPr>
                    <w:widowControl/>
                    <w:spacing w:line="360" w:lineRule="exact"/>
                    <w:jc w:val="center"/>
                    <w:rPr>
                      <w:kern w:val="0"/>
                      <w:szCs w:val="21"/>
                    </w:rPr>
                  </w:pPr>
                  <w:r>
                    <w:rPr>
                      <w:rFonts w:hint="eastAsia"/>
                      <w:kern w:val="0"/>
                      <w:szCs w:val="21"/>
                    </w:rPr>
                    <w:t>0.017</w:t>
                  </w:r>
                </w:p>
              </w:tc>
            </w:tr>
            <w:tr w14:paraId="67CE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65" w:type="dxa"/>
                  <w:vMerge w:val="continue"/>
                  <w:vAlign w:val="center"/>
                </w:tcPr>
                <w:p w14:paraId="08F807EA">
                  <w:pPr>
                    <w:jc w:val="center"/>
                    <w:rPr>
                      <w:szCs w:val="21"/>
                    </w:rPr>
                  </w:pPr>
                </w:p>
              </w:tc>
              <w:tc>
                <w:tcPr>
                  <w:tcW w:w="842" w:type="dxa"/>
                  <w:vAlign w:val="center"/>
                </w:tcPr>
                <w:p w14:paraId="2E543FAD">
                  <w:pPr>
                    <w:pStyle w:val="12"/>
                    <w:spacing w:after="0" w:line="240" w:lineRule="auto"/>
                    <w:jc w:val="center"/>
                    <w:rPr>
                      <w:sz w:val="21"/>
                      <w:szCs w:val="21"/>
                    </w:rPr>
                  </w:pPr>
                  <w:r>
                    <w:rPr>
                      <w:sz w:val="21"/>
                      <w:szCs w:val="21"/>
                    </w:rPr>
                    <w:t>NH3-N</w:t>
                  </w:r>
                </w:p>
              </w:tc>
              <w:tc>
                <w:tcPr>
                  <w:tcW w:w="850" w:type="dxa"/>
                  <w:vMerge w:val="continue"/>
                  <w:vAlign w:val="center"/>
                </w:tcPr>
                <w:p w14:paraId="711B9501">
                  <w:pPr>
                    <w:jc w:val="center"/>
                    <w:rPr>
                      <w:szCs w:val="21"/>
                    </w:rPr>
                  </w:pPr>
                </w:p>
              </w:tc>
              <w:tc>
                <w:tcPr>
                  <w:tcW w:w="851" w:type="dxa"/>
                  <w:vAlign w:val="center"/>
                </w:tcPr>
                <w:p w14:paraId="4A303A4E">
                  <w:pPr>
                    <w:widowControl/>
                    <w:spacing w:line="360" w:lineRule="exact"/>
                    <w:jc w:val="center"/>
                    <w:rPr>
                      <w:kern w:val="0"/>
                      <w:szCs w:val="21"/>
                    </w:rPr>
                  </w:pPr>
                  <w:r>
                    <w:rPr>
                      <w:rFonts w:hint="eastAsia"/>
                      <w:kern w:val="0"/>
                      <w:szCs w:val="21"/>
                    </w:rPr>
                    <w:t>0.003</w:t>
                  </w:r>
                </w:p>
              </w:tc>
              <w:tc>
                <w:tcPr>
                  <w:tcW w:w="992" w:type="dxa"/>
                  <w:vAlign w:val="center"/>
                </w:tcPr>
                <w:p w14:paraId="37398E64">
                  <w:pPr>
                    <w:widowControl/>
                    <w:spacing w:line="360" w:lineRule="exact"/>
                    <w:jc w:val="center"/>
                    <w:rPr>
                      <w:kern w:val="0"/>
                      <w:szCs w:val="21"/>
                    </w:rPr>
                  </w:pPr>
                  <w:r>
                    <w:rPr>
                      <w:rFonts w:hint="eastAsia"/>
                      <w:kern w:val="0"/>
                      <w:szCs w:val="21"/>
                    </w:rPr>
                    <w:t>2</w:t>
                  </w:r>
                  <w:r>
                    <w:rPr>
                      <w:kern w:val="0"/>
                      <w:szCs w:val="21"/>
                    </w:rPr>
                    <w:t>5</w:t>
                  </w:r>
                </w:p>
              </w:tc>
              <w:tc>
                <w:tcPr>
                  <w:tcW w:w="709" w:type="dxa"/>
                  <w:vMerge w:val="continue"/>
                  <w:vAlign w:val="center"/>
                </w:tcPr>
                <w:p w14:paraId="361853D1">
                  <w:pPr>
                    <w:jc w:val="center"/>
                    <w:rPr>
                      <w:szCs w:val="21"/>
                    </w:rPr>
                  </w:pPr>
                </w:p>
              </w:tc>
              <w:tc>
                <w:tcPr>
                  <w:tcW w:w="709" w:type="dxa"/>
                  <w:vMerge w:val="continue"/>
                  <w:vAlign w:val="center"/>
                </w:tcPr>
                <w:p w14:paraId="5E544953">
                  <w:pPr>
                    <w:jc w:val="center"/>
                    <w:rPr>
                      <w:szCs w:val="21"/>
                    </w:rPr>
                  </w:pPr>
                </w:p>
              </w:tc>
              <w:tc>
                <w:tcPr>
                  <w:tcW w:w="1104" w:type="dxa"/>
                  <w:vAlign w:val="center"/>
                </w:tcPr>
                <w:p w14:paraId="74B81E8A">
                  <w:pPr>
                    <w:widowControl/>
                    <w:spacing w:line="360" w:lineRule="exact"/>
                    <w:jc w:val="center"/>
                    <w:rPr>
                      <w:kern w:val="0"/>
                      <w:szCs w:val="21"/>
                    </w:rPr>
                  </w:pPr>
                  <w:r>
                    <w:rPr>
                      <w:rFonts w:hint="eastAsia"/>
                      <w:kern w:val="0"/>
                      <w:szCs w:val="21"/>
                    </w:rPr>
                    <w:t>25</w:t>
                  </w:r>
                </w:p>
              </w:tc>
              <w:tc>
                <w:tcPr>
                  <w:tcW w:w="1045" w:type="dxa"/>
                  <w:vAlign w:val="center"/>
                </w:tcPr>
                <w:p w14:paraId="56787FE1">
                  <w:pPr>
                    <w:widowControl/>
                    <w:spacing w:line="360" w:lineRule="exact"/>
                    <w:jc w:val="center"/>
                    <w:rPr>
                      <w:kern w:val="0"/>
                      <w:szCs w:val="21"/>
                    </w:rPr>
                  </w:pPr>
                  <w:r>
                    <w:rPr>
                      <w:rFonts w:hint="eastAsia"/>
                      <w:kern w:val="0"/>
                      <w:szCs w:val="21"/>
                    </w:rPr>
                    <w:t>0.003</w:t>
                  </w:r>
                </w:p>
              </w:tc>
            </w:tr>
            <w:tr w14:paraId="4B64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restart"/>
                  <w:vAlign w:val="center"/>
                </w:tcPr>
                <w:p w14:paraId="011D55FE">
                  <w:pPr>
                    <w:jc w:val="center"/>
                    <w:rPr>
                      <w:szCs w:val="21"/>
                    </w:rPr>
                  </w:pPr>
                  <w:r>
                    <w:rPr>
                      <w:rFonts w:hint="eastAsia"/>
                      <w:szCs w:val="21"/>
                    </w:rPr>
                    <w:t>生产废水</w:t>
                  </w:r>
                </w:p>
              </w:tc>
              <w:tc>
                <w:tcPr>
                  <w:tcW w:w="842" w:type="dxa"/>
                  <w:vAlign w:val="center"/>
                </w:tcPr>
                <w:p w14:paraId="5D789DB4">
                  <w:pPr>
                    <w:widowControl/>
                    <w:jc w:val="center"/>
                    <w:textAlignment w:val="center"/>
                    <w:rPr>
                      <w:kern w:val="0"/>
                      <w:szCs w:val="21"/>
                    </w:rPr>
                  </w:pPr>
                  <w:r>
                    <w:rPr>
                      <w:szCs w:val="21"/>
                    </w:rPr>
                    <w:t>COD</w:t>
                  </w:r>
                </w:p>
              </w:tc>
              <w:tc>
                <w:tcPr>
                  <w:tcW w:w="850" w:type="dxa"/>
                  <w:vMerge w:val="restart"/>
                  <w:vAlign w:val="center"/>
                </w:tcPr>
                <w:p w14:paraId="7746F794">
                  <w:pPr>
                    <w:jc w:val="center"/>
                    <w:rPr>
                      <w:szCs w:val="21"/>
                    </w:rPr>
                  </w:pPr>
                  <w:r>
                    <w:rPr>
                      <w:rFonts w:hint="eastAsia"/>
                      <w:szCs w:val="21"/>
                    </w:rPr>
                    <w:t>20960.8</w:t>
                  </w:r>
                </w:p>
              </w:tc>
              <w:tc>
                <w:tcPr>
                  <w:tcW w:w="851" w:type="dxa"/>
                  <w:vAlign w:val="center"/>
                </w:tcPr>
                <w:p w14:paraId="7894D15D">
                  <w:pPr>
                    <w:widowControl/>
                    <w:spacing w:line="360" w:lineRule="exact"/>
                    <w:jc w:val="center"/>
                    <w:rPr>
                      <w:kern w:val="0"/>
                      <w:szCs w:val="21"/>
                    </w:rPr>
                  </w:pPr>
                  <w:r>
                    <w:rPr>
                      <w:rFonts w:hint="eastAsia"/>
                      <w:kern w:val="0"/>
                      <w:szCs w:val="21"/>
                    </w:rPr>
                    <w:t>2.4734</w:t>
                  </w:r>
                </w:p>
              </w:tc>
              <w:tc>
                <w:tcPr>
                  <w:tcW w:w="992" w:type="dxa"/>
                  <w:vAlign w:val="center"/>
                </w:tcPr>
                <w:p w14:paraId="0030CC82">
                  <w:pPr>
                    <w:widowControl/>
                    <w:spacing w:line="360" w:lineRule="exact"/>
                    <w:jc w:val="center"/>
                    <w:rPr>
                      <w:kern w:val="0"/>
                      <w:szCs w:val="21"/>
                    </w:rPr>
                  </w:pPr>
                  <w:r>
                    <w:rPr>
                      <w:rFonts w:hint="eastAsia"/>
                      <w:kern w:val="0"/>
                      <w:szCs w:val="21"/>
                    </w:rPr>
                    <w:t>118</w:t>
                  </w:r>
                </w:p>
              </w:tc>
              <w:tc>
                <w:tcPr>
                  <w:tcW w:w="709" w:type="dxa"/>
                  <w:vMerge w:val="restart"/>
                  <w:vAlign w:val="center"/>
                </w:tcPr>
                <w:p w14:paraId="6B22441B">
                  <w:pPr>
                    <w:jc w:val="center"/>
                    <w:rPr>
                      <w:szCs w:val="21"/>
                    </w:rPr>
                  </w:pPr>
                  <w:r>
                    <w:rPr>
                      <w:rFonts w:hint="eastAsia"/>
                      <w:szCs w:val="21"/>
                    </w:rPr>
                    <w:t>二级沉淀池</w:t>
                  </w:r>
                </w:p>
              </w:tc>
              <w:tc>
                <w:tcPr>
                  <w:tcW w:w="709" w:type="dxa"/>
                  <w:vMerge w:val="restart"/>
                  <w:vAlign w:val="center"/>
                </w:tcPr>
                <w:p w14:paraId="1C9BB872">
                  <w:pPr>
                    <w:jc w:val="center"/>
                    <w:rPr>
                      <w:szCs w:val="21"/>
                    </w:rPr>
                  </w:pPr>
                  <w:r>
                    <w:rPr>
                      <w:rFonts w:hint="eastAsia"/>
                      <w:szCs w:val="21"/>
                    </w:rPr>
                    <w:t>是</w:t>
                  </w:r>
                </w:p>
              </w:tc>
              <w:tc>
                <w:tcPr>
                  <w:tcW w:w="1104" w:type="dxa"/>
                  <w:vAlign w:val="center"/>
                </w:tcPr>
                <w:p w14:paraId="1A7DA672">
                  <w:pPr>
                    <w:widowControl/>
                    <w:spacing w:line="360" w:lineRule="exact"/>
                    <w:jc w:val="center"/>
                    <w:rPr>
                      <w:kern w:val="0"/>
                      <w:szCs w:val="21"/>
                    </w:rPr>
                  </w:pPr>
                  <w:r>
                    <w:rPr>
                      <w:rFonts w:hint="eastAsia"/>
                      <w:kern w:val="0"/>
                      <w:szCs w:val="21"/>
                    </w:rPr>
                    <w:t>89</w:t>
                  </w:r>
                </w:p>
              </w:tc>
              <w:tc>
                <w:tcPr>
                  <w:tcW w:w="1045" w:type="dxa"/>
                  <w:vAlign w:val="center"/>
                </w:tcPr>
                <w:p w14:paraId="61671A2F">
                  <w:pPr>
                    <w:widowControl/>
                    <w:spacing w:line="360" w:lineRule="exact"/>
                    <w:jc w:val="center"/>
                    <w:rPr>
                      <w:kern w:val="0"/>
                      <w:szCs w:val="21"/>
                    </w:rPr>
                  </w:pPr>
                  <w:r>
                    <w:rPr>
                      <w:rFonts w:hint="eastAsia"/>
                      <w:kern w:val="0"/>
                      <w:szCs w:val="21"/>
                    </w:rPr>
                    <w:t>1.8655</w:t>
                  </w:r>
                </w:p>
              </w:tc>
            </w:tr>
            <w:tr w14:paraId="7033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67E20D14">
                  <w:pPr>
                    <w:jc w:val="center"/>
                    <w:rPr>
                      <w:szCs w:val="21"/>
                    </w:rPr>
                  </w:pPr>
                </w:p>
              </w:tc>
              <w:tc>
                <w:tcPr>
                  <w:tcW w:w="842" w:type="dxa"/>
                  <w:vAlign w:val="center"/>
                </w:tcPr>
                <w:p w14:paraId="661C96F9">
                  <w:pPr>
                    <w:widowControl/>
                    <w:jc w:val="center"/>
                    <w:textAlignment w:val="center"/>
                    <w:rPr>
                      <w:kern w:val="0"/>
                      <w:szCs w:val="21"/>
                    </w:rPr>
                  </w:pPr>
                  <w:r>
                    <w:rPr>
                      <w:szCs w:val="21"/>
                    </w:rPr>
                    <w:t>BOD5</w:t>
                  </w:r>
                </w:p>
              </w:tc>
              <w:tc>
                <w:tcPr>
                  <w:tcW w:w="850" w:type="dxa"/>
                  <w:vMerge w:val="continue"/>
                  <w:vAlign w:val="center"/>
                </w:tcPr>
                <w:p w14:paraId="71D8BF12">
                  <w:pPr>
                    <w:jc w:val="center"/>
                    <w:rPr>
                      <w:szCs w:val="21"/>
                    </w:rPr>
                  </w:pPr>
                </w:p>
              </w:tc>
              <w:tc>
                <w:tcPr>
                  <w:tcW w:w="851" w:type="dxa"/>
                  <w:vAlign w:val="center"/>
                </w:tcPr>
                <w:p w14:paraId="232715F8">
                  <w:pPr>
                    <w:widowControl/>
                    <w:spacing w:line="360" w:lineRule="exact"/>
                    <w:jc w:val="center"/>
                    <w:rPr>
                      <w:kern w:val="0"/>
                      <w:szCs w:val="21"/>
                    </w:rPr>
                  </w:pPr>
                  <w:r>
                    <w:rPr>
                      <w:rFonts w:hint="eastAsia"/>
                      <w:kern w:val="0"/>
                      <w:szCs w:val="21"/>
                    </w:rPr>
                    <w:t>0.7357</w:t>
                  </w:r>
                </w:p>
              </w:tc>
              <w:tc>
                <w:tcPr>
                  <w:tcW w:w="992" w:type="dxa"/>
                  <w:vAlign w:val="center"/>
                </w:tcPr>
                <w:p w14:paraId="2D828B75">
                  <w:pPr>
                    <w:widowControl/>
                    <w:spacing w:line="360" w:lineRule="exact"/>
                    <w:jc w:val="center"/>
                    <w:rPr>
                      <w:kern w:val="0"/>
                      <w:szCs w:val="21"/>
                    </w:rPr>
                  </w:pPr>
                  <w:r>
                    <w:rPr>
                      <w:rFonts w:hint="eastAsia"/>
                      <w:kern w:val="0"/>
                      <w:szCs w:val="21"/>
                    </w:rPr>
                    <w:t>35.1</w:t>
                  </w:r>
                </w:p>
              </w:tc>
              <w:tc>
                <w:tcPr>
                  <w:tcW w:w="709" w:type="dxa"/>
                  <w:vMerge w:val="continue"/>
                  <w:vAlign w:val="center"/>
                </w:tcPr>
                <w:p w14:paraId="042CE279">
                  <w:pPr>
                    <w:jc w:val="center"/>
                    <w:rPr>
                      <w:szCs w:val="21"/>
                    </w:rPr>
                  </w:pPr>
                </w:p>
              </w:tc>
              <w:tc>
                <w:tcPr>
                  <w:tcW w:w="709" w:type="dxa"/>
                  <w:vMerge w:val="continue"/>
                  <w:vAlign w:val="center"/>
                </w:tcPr>
                <w:p w14:paraId="48F8DCB3">
                  <w:pPr>
                    <w:jc w:val="center"/>
                    <w:rPr>
                      <w:szCs w:val="21"/>
                    </w:rPr>
                  </w:pPr>
                </w:p>
              </w:tc>
              <w:tc>
                <w:tcPr>
                  <w:tcW w:w="1104" w:type="dxa"/>
                  <w:vAlign w:val="center"/>
                </w:tcPr>
                <w:p w14:paraId="081B155D">
                  <w:pPr>
                    <w:widowControl/>
                    <w:spacing w:line="360" w:lineRule="exact"/>
                    <w:jc w:val="center"/>
                    <w:rPr>
                      <w:kern w:val="0"/>
                      <w:szCs w:val="21"/>
                    </w:rPr>
                  </w:pPr>
                  <w:r>
                    <w:rPr>
                      <w:rFonts w:hint="eastAsia"/>
                      <w:kern w:val="0"/>
                      <w:szCs w:val="21"/>
                    </w:rPr>
                    <w:t>26.8</w:t>
                  </w:r>
                </w:p>
              </w:tc>
              <w:tc>
                <w:tcPr>
                  <w:tcW w:w="1045" w:type="dxa"/>
                  <w:vAlign w:val="center"/>
                </w:tcPr>
                <w:p w14:paraId="120F4E14">
                  <w:pPr>
                    <w:widowControl/>
                    <w:spacing w:line="360" w:lineRule="exact"/>
                    <w:jc w:val="center"/>
                    <w:rPr>
                      <w:kern w:val="0"/>
                      <w:szCs w:val="21"/>
                    </w:rPr>
                  </w:pPr>
                  <w:r>
                    <w:rPr>
                      <w:rFonts w:hint="eastAsia"/>
                      <w:kern w:val="0"/>
                      <w:szCs w:val="21"/>
                    </w:rPr>
                    <w:t>0.5617</w:t>
                  </w:r>
                </w:p>
              </w:tc>
            </w:tr>
            <w:tr w14:paraId="4DCB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743BCC27">
                  <w:pPr>
                    <w:jc w:val="center"/>
                    <w:rPr>
                      <w:szCs w:val="21"/>
                    </w:rPr>
                  </w:pPr>
                </w:p>
              </w:tc>
              <w:tc>
                <w:tcPr>
                  <w:tcW w:w="842" w:type="dxa"/>
                  <w:vAlign w:val="center"/>
                </w:tcPr>
                <w:p w14:paraId="3513F379">
                  <w:pPr>
                    <w:widowControl/>
                    <w:jc w:val="center"/>
                    <w:textAlignment w:val="center"/>
                    <w:rPr>
                      <w:kern w:val="0"/>
                      <w:szCs w:val="21"/>
                    </w:rPr>
                  </w:pPr>
                  <w:r>
                    <w:rPr>
                      <w:szCs w:val="21"/>
                    </w:rPr>
                    <w:t>SS</w:t>
                  </w:r>
                </w:p>
              </w:tc>
              <w:tc>
                <w:tcPr>
                  <w:tcW w:w="850" w:type="dxa"/>
                  <w:vMerge w:val="continue"/>
                  <w:vAlign w:val="center"/>
                </w:tcPr>
                <w:p w14:paraId="597033CF">
                  <w:pPr>
                    <w:jc w:val="center"/>
                    <w:rPr>
                      <w:szCs w:val="21"/>
                    </w:rPr>
                  </w:pPr>
                </w:p>
              </w:tc>
              <w:tc>
                <w:tcPr>
                  <w:tcW w:w="851" w:type="dxa"/>
                  <w:vAlign w:val="center"/>
                </w:tcPr>
                <w:p w14:paraId="408077A6">
                  <w:pPr>
                    <w:widowControl/>
                    <w:spacing w:line="360" w:lineRule="exact"/>
                    <w:jc w:val="center"/>
                    <w:rPr>
                      <w:kern w:val="0"/>
                      <w:szCs w:val="21"/>
                    </w:rPr>
                  </w:pPr>
                  <w:r>
                    <w:rPr>
                      <w:rFonts w:hint="eastAsia"/>
                      <w:kern w:val="0"/>
                      <w:szCs w:val="21"/>
                    </w:rPr>
                    <w:t>0.9013</w:t>
                  </w:r>
                </w:p>
              </w:tc>
              <w:tc>
                <w:tcPr>
                  <w:tcW w:w="992" w:type="dxa"/>
                  <w:vAlign w:val="center"/>
                </w:tcPr>
                <w:p w14:paraId="1B7AE0EA">
                  <w:pPr>
                    <w:widowControl/>
                    <w:spacing w:line="360" w:lineRule="exact"/>
                    <w:jc w:val="center"/>
                    <w:rPr>
                      <w:kern w:val="0"/>
                      <w:szCs w:val="21"/>
                    </w:rPr>
                  </w:pPr>
                  <w:r>
                    <w:rPr>
                      <w:rFonts w:hint="eastAsia"/>
                      <w:kern w:val="0"/>
                      <w:szCs w:val="21"/>
                    </w:rPr>
                    <w:t>43</w:t>
                  </w:r>
                </w:p>
              </w:tc>
              <w:tc>
                <w:tcPr>
                  <w:tcW w:w="709" w:type="dxa"/>
                  <w:vMerge w:val="continue"/>
                  <w:vAlign w:val="center"/>
                </w:tcPr>
                <w:p w14:paraId="54134108">
                  <w:pPr>
                    <w:jc w:val="center"/>
                    <w:rPr>
                      <w:szCs w:val="21"/>
                    </w:rPr>
                  </w:pPr>
                </w:p>
              </w:tc>
              <w:tc>
                <w:tcPr>
                  <w:tcW w:w="709" w:type="dxa"/>
                  <w:vMerge w:val="continue"/>
                  <w:vAlign w:val="center"/>
                </w:tcPr>
                <w:p w14:paraId="01B2A973">
                  <w:pPr>
                    <w:jc w:val="center"/>
                    <w:rPr>
                      <w:szCs w:val="21"/>
                    </w:rPr>
                  </w:pPr>
                </w:p>
              </w:tc>
              <w:tc>
                <w:tcPr>
                  <w:tcW w:w="1104" w:type="dxa"/>
                  <w:vAlign w:val="center"/>
                </w:tcPr>
                <w:p w14:paraId="39D52F47">
                  <w:pPr>
                    <w:widowControl/>
                    <w:spacing w:line="360" w:lineRule="exact"/>
                    <w:jc w:val="center"/>
                    <w:rPr>
                      <w:kern w:val="0"/>
                      <w:szCs w:val="21"/>
                    </w:rPr>
                  </w:pPr>
                  <w:r>
                    <w:rPr>
                      <w:rFonts w:hint="eastAsia"/>
                      <w:kern w:val="0"/>
                      <w:szCs w:val="21"/>
                    </w:rPr>
                    <w:t>16</w:t>
                  </w:r>
                </w:p>
              </w:tc>
              <w:tc>
                <w:tcPr>
                  <w:tcW w:w="1045" w:type="dxa"/>
                  <w:vAlign w:val="center"/>
                </w:tcPr>
                <w:p w14:paraId="42839A86">
                  <w:pPr>
                    <w:widowControl/>
                    <w:spacing w:line="360" w:lineRule="exact"/>
                    <w:jc w:val="center"/>
                    <w:rPr>
                      <w:kern w:val="0"/>
                      <w:szCs w:val="21"/>
                    </w:rPr>
                  </w:pPr>
                  <w:r>
                    <w:rPr>
                      <w:rFonts w:hint="eastAsia"/>
                      <w:kern w:val="0"/>
                      <w:szCs w:val="21"/>
                    </w:rPr>
                    <w:t>0.3354</w:t>
                  </w:r>
                </w:p>
              </w:tc>
            </w:tr>
            <w:tr w14:paraId="2263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20154FA4">
                  <w:pPr>
                    <w:jc w:val="center"/>
                    <w:rPr>
                      <w:szCs w:val="21"/>
                    </w:rPr>
                  </w:pPr>
                </w:p>
              </w:tc>
              <w:tc>
                <w:tcPr>
                  <w:tcW w:w="842" w:type="dxa"/>
                  <w:vAlign w:val="center"/>
                </w:tcPr>
                <w:p w14:paraId="6C9CF987">
                  <w:pPr>
                    <w:widowControl/>
                    <w:jc w:val="center"/>
                    <w:textAlignment w:val="center"/>
                    <w:rPr>
                      <w:kern w:val="0"/>
                      <w:szCs w:val="21"/>
                    </w:rPr>
                  </w:pPr>
                  <w:r>
                    <w:rPr>
                      <w:szCs w:val="21"/>
                    </w:rPr>
                    <w:t>NH3-N</w:t>
                  </w:r>
                </w:p>
              </w:tc>
              <w:tc>
                <w:tcPr>
                  <w:tcW w:w="850" w:type="dxa"/>
                  <w:vMerge w:val="continue"/>
                  <w:vAlign w:val="center"/>
                </w:tcPr>
                <w:p w14:paraId="5D1D9DA9">
                  <w:pPr>
                    <w:jc w:val="center"/>
                    <w:rPr>
                      <w:szCs w:val="21"/>
                    </w:rPr>
                  </w:pPr>
                </w:p>
              </w:tc>
              <w:tc>
                <w:tcPr>
                  <w:tcW w:w="851" w:type="dxa"/>
                  <w:vAlign w:val="center"/>
                </w:tcPr>
                <w:p w14:paraId="543652B5">
                  <w:pPr>
                    <w:widowControl/>
                    <w:spacing w:line="360" w:lineRule="exact"/>
                    <w:jc w:val="center"/>
                    <w:rPr>
                      <w:kern w:val="0"/>
                      <w:szCs w:val="21"/>
                    </w:rPr>
                  </w:pPr>
                  <w:r>
                    <w:rPr>
                      <w:rFonts w:hint="eastAsia"/>
                      <w:kern w:val="0"/>
                      <w:szCs w:val="21"/>
                    </w:rPr>
                    <w:t>0.0358</w:t>
                  </w:r>
                </w:p>
              </w:tc>
              <w:tc>
                <w:tcPr>
                  <w:tcW w:w="992" w:type="dxa"/>
                  <w:vAlign w:val="center"/>
                </w:tcPr>
                <w:p w14:paraId="430FBC53">
                  <w:pPr>
                    <w:widowControl/>
                    <w:spacing w:line="360" w:lineRule="exact"/>
                    <w:jc w:val="center"/>
                    <w:rPr>
                      <w:kern w:val="0"/>
                      <w:szCs w:val="21"/>
                    </w:rPr>
                  </w:pPr>
                  <w:r>
                    <w:rPr>
                      <w:rFonts w:hint="eastAsia"/>
                      <w:kern w:val="0"/>
                      <w:szCs w:val="21"/>
                    </w:rPr>
                    <w:t>1.71</w:t>
                  </w:r>
                </w:p>
              </w:tc>
              <w:tc>
                <w:tcPr>
                  <w:tcW w:w="709" w:type="dxa"/>
                  <w:vMerge w:val="restart"/>
                  <w:vAlign w:val="center"/>
                </w:tcPr>
                <w:p w14:paraId="4DB89C6F">
                  <w:pPr>
                    <w:jc w:val="center"/>
                    <w:rPr>
                      <w:szCs w:val="21"/>
                    </w:rPr>
                  </w:pPr>
                  <w:r>
                    <w:rPr>
                      <w:rFonts w:hint="eastAsia"/>
                      <w:szCs w:val="21"/>
                    </w:rPr>
                    <w:t>二级沉淀池</w:t>
                  </w:r>
                </w:p>
              </w:tc>
              <w:tc>
                <w:tcPr>
                  <w:tcW w:w="709" w:type="dxa"/>
                  <w:vMerge w:val="restart"/>
                  <w:vAlign w:val="center"/>
                </w:tcPr>
                <w:p w14:paraId="3E5637D3">
                  <w:pPr>
                    <w:jc w:val="center"/>
                    <w:rPr>
                      <w:szCs w:val="21"/>
                    </w:rPr>
                  </w:pPr>
                  <w:r>
                    <w:rPr>
                      <w:rFonts w:hint="eastAsia"/>
                      <w:szCs w:val="21"/>
                    </w:rPr>
                    <w:t>是</w:t>
                  </w:r>
                </w:p>
              </w:tc>
              <w:tc>
                <w:tcPr>
                  <w:tcW w:w="1104" w:type="dxa"/>
                  <w:vAlign w:val="center"/>
                </w:tcPr>
                <w:p w14:paraId="33F38B00">
                  <w:pPr>
                    <w:widowControl/>
                    <w:spacing w:line="360" w:lineRule="exact"/>
                    <w:jc w:val="center"/>
                    <w:rPr>
                      <w:kern w:val="0"/>
                      <w:szCs w:val="21"/>
                    </w:rPr>
                  </w:pPr>
                  <w:r>
                    <w:rPr>
                      <w:rFonts w:hint="eastAsia"/>
                      <w:kern w:val="0"/>
                      <w:szCs w:val="21"/>
                    </w:rPr>
                    <w:t>1.46</w:t>
                  </w:r>
                </w:p>
              </w:tc>
              <w:tc>
                <w:tcPr>
                  <w:tcW w:w="1045" w:type="dxa"/>
                  <w:vAlign w:val="center"/>
                </w:tcPr>
                <w:p w14:paraId="21284ECD">
                  <w:pPr>
                    <w:widowControl/>
                    <w:spacing w:line="360" w:lineRule="exact"/>
                    <w:jc w:val="center"/>
                    <w:rPr>
                      <w:kern w:val="0"/>
                      <w:szCs w:val="21"/>
                    </w:rPr>
                  </w:pPr>
                  <w:r>
                    <w:rPr>
                      <w:rFonts w:hint="eastAsia"/>
                      <w:kern w:val="0"/>
                      <w:szCs w:val="21"/>
                    </w:rPr>
                    <w:t>0.0306</w:t>
                  </w:r>
                </w:p>
              </w:tc>
            </w:tr>
            <w:tr w14:paraId="6254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6AA69B55">
                  <w:pPr>
                    <w:jc w:val="center"/>
                    <w:rPr>
                      <w:szCs w:val="21"/>
                    </w:rPr>
                  </w:pPr>
                </w:p>
              </w:tc>
              <w:tc>
                <w:tcPr>
                  <w:tcW w:w="842" w:type="dxa"/>
                  <w:vAlign w:val="center"/>
                </w:tcPr>
                <w:p w14:paraId="14A1F4A2">
                  <w:pPr>
                    <w:widowControl/>
                    <w:jc w:val="center"/>
                    <w:textAlignment w:val="center"/>
                    <w:rPr>
                      <w:kern w:val="0"/>
                      <w:szCs w:val="21"/>
                    </w:rPr>
                  </w:pPr>
                  <w:r>
                    <w:rPr>
                      <w:rFonts w:hint="eastAsia"/>
                      <w:kern w:val="0"/>
                      <w:szCs w:val="21"/>
                    </w:rPr>
                    <w:t>TP</w:t>
                  </w:r>
                </w:p>
              </w:tc>
              <w:tc>
                <w:tcPr>
                  <w:tcW w:w="850" w:type="dxa"/>
                  <w:vMerge w:val="continue"/>
                  <w:vAlign w:val="center"/>
                </w:tcPr>
                <w:p w14:paraId="24329BC8">
                  <w:pPr>
                    <w:jc w:val="center"/>
                    <w:rPr>
                      <w:szCs w:val="21"/>
                    </w:rPr>
                  </w:pPr>
                </w:p>
              </w:tc>
              <w:tc>
                <w:tcPr>
                  <w:tcW w:w="851" w:type="dxa"/>
                  <w:vAlign w:val="center"/>
                </w:tcPr>
                <w:p w14:paraId="448F1296">
                  <w:pPr>
                    <w:widowControl/>
                    <w:spacing w:line="360" w:lineRule="exact"/>
                    <w:jc w:val="center"/>
                    <w:rPr>
                      <w:kern w:val="0"/>
                      <w:szCs w:val="21"/>
                    </w:rPr>
                  </w:pPr>
                  <w:r>
                    <w:rPr>
                      <w:rFonts w:hint="eastAsia"/>
                      <w:kern w:val="0"/>
                      <w:szCs w:val="21"/>
                    </w:rPr>
                    <w:t>0.0463</w:t>
                  </w:r>
                </w:p>
              </w:tc>
              <w:tc>
                <w:tcPr>
                  <w:tcW w:w="992" w:type="dxa"/>
                  <w:vAlign w:val="center"/>
                </w:tcPr>
                <w:p w14:paraId="3FC8D08B">
                  <w:pPr>
                    <w:widowControl/>
                    <w:spacing w:line="360" w:lineRule="exact"/>
                    <w:jc w:val="center"/>
                    <w:rPr>
                      <w:kern w:val="0"/>
                      <w:szCs w:val="21"/>
                    </w:rPr>
                  </w:pPr>
                  <w:r>
                    <w:rPr>
                      <w:rFonts w:hint="eastAsia"/>
                      <w:kern w:val="0"/>
                      <w:szCs w:val="21"/>
                    </w:rPr>
                    <w:t>2.21</w:t>
                  </w:r>
                </w:p>
              </w:tc>
              <w:tc>
                <w:tcPr>
                  <w:tcW w:w="709" w:type="dxa"/>
                  <w:vMerge w:val="continue"/>
                  <w:vAlign w:val="center"/>
                </w:tcPr>
                <w:p w14:paraId="15F54C59">
                  <w:pPr>
                    <w:jc w:val="center"/>
                    <w:rPr>
                      <w:szCs w:val="21"/>
                    </w:rPr>
                  </w:pPr>
                </w:p>
              </w:tc>
              <w:tc>
                <w:tcPr>
                  <w:tcW w:w="709" w:type="dxa"/>
                  <w:vMerge w:val="continue"/>
                  <w:vAlign w:val="center"/>
                </w:tcPr>
                <w:p w14:paraId="7E7EC2BA">
                  <w:pPr>
                    <w:jc w:val="center"/>
                    <w:rPr>
                      <w:szCs w:val="21"/>
                    </w:rPr>
                  </w:pPr>
                </w:p>
              </w:tc>
              <w:tc>
                <w:tcPr>
                  <w:tcW w:w="1104" w:type="dxa"/>
                  <w:vAlign w:val="center"/>
                </w:tcPr>
                <w:p w14:paraId="2E4B3933">
                  <w:pPr>
                    <w:widowControl/>
                    <w:spacing w:line="360" w:lineRule="exact"/>
                    <w:jc w:val="center"/>
                    <w:rPr>
                      <w:kern w:val="0"/>
                      <w:szCs w:val="21"/>
                    </w:rPr>
                  </w:pPr>
                  <w:r>
                    <w:rPr>
                      <w:rFonts w:hint="eastAsia"/>
                      <w:kern w:val="0"/>
                      <w:szCs w:val="21"/>
                    </w:rPr>
                    <w:t>0.64</w:t>
                  </w:r>
                </w:p>
              </w:tc>
              <w:tc>
                <w:tcPr>
                  <w:tcW w:w="1045" w:type="dxa"/>
                  <w:vAlign w:val="center"/>
                </w:tcPr>
                <w:p w14:paraId="16DE1EEA">
                  <w:pPr>
                    <w:widowControl/>
                    <w:spacing w:line="360" w:lineRule="exact"/>
                    <w:jc w:val="center"/>
                    <w:rPr>
                      <w:kern w:val="0"/>
                      <w:szCs w:val="21"/>
                    </w:rPr>
                  </w:pPr>
                  <w:r>
                    <w:rPr>
                      <w:rFonts w:hint="eastAsia"/>
                      <w:kern w:val="0"/>
                      <w:szCs w:val="21"/>
                    </w:rPr>
                    <w:t>0.0134</w:t>
                  </w:r>
                </w:p>
              </w:tc>
            </w:tr>
            <w:tr w14:paraId="75F5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26BEEC57">
                  <w:pPr>
                    <w:jc w:val="center"/>
                    <w:rPr>
                      <w:szCs w:val="21"/>
                    </w:rPr>
                  </w:pPr>
                </w:p>
              </w:tc>
              <w:tc>
                <w:tcPr>
                  <w:tcW w:w="842" w:type="dxa"/>
                  <w:vAlign w:val="center"/>
                </w:tcPr>
                <w:p w14:paraId="057D9855">
                  <w:pPr>
                    <w:widowControl/>
                    <w:jc w:val="center"/>
                    <w:textAlignment w:val="center"/>
                    <w:rPr>
                      <w:kern w:val="0"/>
                      <w:szCs w:val="21"/>
                    </w:rPr>
                  </w:pPr>
                  <w:r>
                    <w:rPr>
                      <w:rFonts w:hint="eastAsia"/>
                      <w:kern w:val="0"/>
                      <w:szCs w:val="21"/>
                    </w:rPr>
                    <w:t>TN</w:t>
                  </w:r>
                </w:p>
              </w:tc>
              <w:tc>
                <w:tcPr>
                  <w:tcW w:w="850" w:type="dxa"/>
                  <w:vMerge w:val="continue"/>
                  <w:vAlign w:val="center"/>
                </w:tcPr>
                <w:p w14:paraId="3E49965F">
                  <w:pPr>
                    <w:jc w:val="center"/>
                    <w:rPr>
                      <w:szCs w:val="21"/>
                    </w:rPr>
                  </w:pPr>
                </w:p>
              </w:tc>
              <w:tc>
                <w:tcPr>
                  <w:tcW w:w="851" w:type="dxa"/>
                  <w:vAlign w:val="center"/>
                </w:tcPr>
                <w:p w14:paraId="281A9BC5">
                  <w:pPr>
                    <w:widowControl/>
                    <w:spacing w:line="360" w:lineRule="exact"/>
                    <w:jc w:val="center"/>
                    <w:rPr>
                      <w:kern w:val="0"/>
                      <w:szCs w:val="21"/>
                    </w:rPr>
                  </w:pPr>
                  <w:r>
                    <w:rPr>
                      <w:rFonts w:hint="eastAsia"/>
                      <w:kern w:val="0"/>
                      <w:szCs w:val="21"/>
                    </w:rPr>
                    <w:t>0.0933</w:t>
                  </w:r>
                </w:p>
              </w:tc>
              <w:tc>
                <w:tcPr>
                  <w:tcW w:w="992" w:type="dxa"/>
                  <w:vAlign w:val="center"/>
                </w:tcPr>
                <w:p w14:paraId="1FD6A591">
                  <w:pPr>
                    <w:widowControl/>
                    <w:spacing w:line="360" w:lineRule="exact"/>
                    <w:jc w:val="center"/>
                    <w:rPr>
                      <w:kern w:val="0"/>
                      <w:szCs w:val="21"/>
                    </w:rPr>
                  </w:pPr>
                  <w:r>
                    <w:rPr>
                      <w:rFonts w:hint="eastAsia"/>
                      <w:kern w:val="0"/>
                      <w:szCs w:val="21"/>
                    </w:rPr>
                    <w:t>4.45</w:t>
                  </w:r>
                </w:p>
              </w:tc>
              <w:tc>
                <w:tcPr>
                  <w:tcW w:w="709" w:type="dxa"/>
                  <w:vMerge w:val="continue"/>
                  <w:vAlign w:val="center"/>
                </w:tcPr>
                <w:p w14:paraId="089A6CB8">
                  <w:pPr>
                    <w:jc w:val="center"/>
                    <w:rPr>
                      <w:szCs w:val="21"/>
                    </w:rPr>
                  </w:pPr>
                </w:p>
              </w:tc>
              <w:tc>
                <w:tcPr>
                  <w:tcW w:w="709" w:type="dxa"/>
                  <w:vMerge w:val="continue"/>
                  <w:vAlign w:val="center"/>
                </w:tcPr>
                <w:p w14:paraId="2749756F">
                  <w:pPr>
                    <w:jc w:val="center"/>
                    <w:rPr>
                      <w:szCs w:val="21"/>
                    </w:rPr>
                  </w:pPr>
                </w:p>
              </w:tc>
              <w:tc>
                <w:tcPr>
                  <w:tcW w:w="1104" w:type="dxa"/>
                  <w:vAlign w:val="center"/>
                </w:tcPr>
                <w:p w14:paraId="31A14410">
                  <w:pPr>
                    <w:widowControl/>
                    <w:spacing w:line="360" w:lineRule="exact"/>
                    <w:jc w:val="center"/>
                    <w:rPr>
                      <w:kern w:val="0"/>
                      <w:szCs w:val="21"/>
                    </w:rPr>
                  </w:pPr>
                  <w:r>
                    <w:rPr>
                      <w:rFonts w:hint="eastAsia"/>
                      <w:kern w:val="0"/>
                      <w:szCs w:val="21"/>
                    </w:rPr>
                    <w:t>3.57</w:t>
                  </w:r>
                </w:p>
              </w:tc>
              <w:tc>
                <w:tcPr>
                  <w:tcW w:w="1045" w:type="dxa"/>
                  <w:vAlign w:val="center"/>
                </w:tcPr>
                <w:p w14:paraId="12BCF454">
                  <w:pPr>
                    <w:widowControl/>
                    <w:spacing w:line="360" w:lineRule="exact"/>
                    <w:jc w:val="center"/>
                    <w:rPr>
                      <w:kern w:val="0"/>
                      <w:szCs w:val="21"/>
                    </w:rPr>
                  </w:pPr>
                  <w:r>
                    <w:rPr>
                      <w:rFonts w:hint="eastAsia"/>
                      <w:kern w:val="0"/>
                      <w:szCs w:val="21"/>
                    </w:rPr>
                    <w:t>0.0748</w:t>
                  </w:r>
                </w:p>
              </w:tc>
            </w:tr>
            <w:tr w14:paraId="2CCF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5" w:type="dxa"/>
                  <w:vMerge w:val="continue"/>
                  <w:vAlign w:val="center"/>
                </w:tcPr>
                <w:p w14:paraId="66425B87">
                  <w:pPr>
                    <w:jc w:val="center"/>
                    <w:rPr>
                      <w:szCs w:val="21"/>
                    </w:rPr>
                  </w:pPr>
                </w:p>
              </w:tc>
              <w:tc>
                <w:tcPr>
                  <w:tcW w:w="842" w:type="dxa"/>
                  <w:vAlign w:val="center"/>
                </w:tcPr>
                <w:p w14:paraId="1ABE2515">
                  <w:pPr>
                    <w:widowControl/>
                    <w:jc w:val="center"/>
                    <w:textAlignment w:val="center"/>
                    <w:rPr>
                      <w:kern w:val="0"/>
                      <w:szCs w:val="21"/>
                    </w:rPr>
                  </w:pPr>
                  <w:r>
                    <w:rPr>
                      <w:rFonts w:hint="eastAsia"/>
                      <w:kern w:val="0"/>
                      <w:szCs w:val="21"/>
                    </w:rPr>
                    <w:t>LAS</w:t>
                  </w:r>
                </w:p>
              </w:tc>
              <w:tc>
                <w:tcPr>
                  <w:tcW w:w="850" w:type="dxa"/>
                  <w:vMerge w:val="continue"/>
                  <w:vAlign w:val="center"/>
                </w:tcPr>
                <w:p w14:paraId="0BA164B5">
                  <w:pPr>
                    <w:jc w:val="center"/>
                    <w:rPr>
                      <w:szCs w:val="21"/>
                    </w:rPr>
                  </w:pPr>
                </w:p>
              </w:tc>
              <w:tc>
                <w:tcPr>
                  <w:tcW w:w="851" w:type="dxa"/>
                  <w:vAlign w:val="center"/>
                </w:tcPr>
                <w:p w14:paraId="49A13192">
                  <w:pPr>
                    <w:widowControl/>
                    <w:spacing w:line="360" w:lineRule="exact"/>
                    <w:jc w:val="center"/>
                    <w:rPr>
                      <w:kern w:val="0"/>
                      <w:szCs w:val="21"/>
                    </w:rPr>
                  </w:pPr>
                  <w:r>
                    <w:rPr>
                      <w:rFonts w:hint="eastAsia"/>
                      <w:kern w:val="0"/>
                      <w:szCs w:val="21"/>
                    </w:rPr>
                    <w:t>0.0141</w:t>
                  </w:r>
                </w:p>
              </w:tc>
              <w:tc>
                <w:tcPr>
                  <w:tcW w:w="992" w:type="dxa"/>
                  <w:vAlign w:val="center"/>
                </w:tcPr>
                <w:p w14:paraId="47F78242">
                  <w:pPr>
                    <w:widowControl/>
                    <w:spacing w:line="360" w:lineRule="exact"/>
                    <w:jc w:val="center"/>
                    <w:rPr>
                      <w:kern w:val="0"/>
                      <w:szCs w:val="21"/>
                    </w:rPr>
                  </w:pPr>
                  <w:r>
                    <w:rPr>
                      <w:rFonts w:hint="eastAsia"/>
                      <w:kern w:val="0"/>
                      <w:szCs w:val="21"/>
                    </w:rPr>
                    <w:t>0.67</w:t>
                  </w:r>
                </w:p>
              </w:tc>
              <w:tc>
                <w:tcPr>
                  <w:tcW w:w="709" w:type="dxa"/>
                  <w:vMerge w:val="continue"/>
                  <w:vAlign w:val="center"/>
                </w:tcPr>
                <w:p w14:paraId="7D4CFE1B">
                  <w:pPr>
                    <w:jc w:val="center"/>
                    <w:rPr>
                      <w:szCs w:val="21"/>
                    </w:rPr>
                  </w:pPr>
                </w:p>
              </w:tc>
              <w:tc>
                <w:tcPr>
                  <w:tcW w:w="709" w:type="dxa"/>
                  <w:vMerge w:val="continue"/>
                  <w:vAlign w:val="center"/>
                </w:tcPr>
                <w:p w14:paraId="0DBD53BD">
                  <w:pPr>
                    <w:jc w:val="center"/>
                    <w:rPr>
                      <w:szCs w:val="21"/>
                    </w:rPr>
                  </w:pPr>
                </w:p>
              </w:tc>
              <w:tc>
                <w:tcPr>
                  <w:tcW w:w="1104" w:type="dxa"/>
                  <w:vAlign w:val="center"/>
                </w:tcPr>
                <w:p w14:paraId="0C9C6B76">
                  <w:pPr>
                    <w:widowControl/>
                    <w:spacing w:line="360" w:lineRule="exact"/>
                    <w:jc w:val="center"/>
                    <w:rPr>
                      <w:kern w:val="0"/>
                      <w:szCs w:val="21"/>
                    </w:rPr>
                  </w:pPr>
                  <w:r>
                    <w:rPr>
                      <w:rFonts w:hint="eastAsia"/>
                      <w:kern w:val="0"/>
                      <w:szCs w:val="21"/>
                    </w:rPr>
                    <w:t>0.13</w:t>
                  </w:r>
                </w:p>
              </w:tc>
              <w:tc>
                <w:tcPr>
                  <w:tcW w:w="1045" w:type="dxa"/>
                  <w:vAlign w:val="center"/>
                </w:tcPr>
                <w:p w14:paraId="67D3361A">
                  <w:pPr>
                    <w:widowControl/>
                    <w:spacing w:line="360" w:lineRule="exact"/>
                    <w:jc w:val="center"/>
                    <w:rPr>
                      <w:kern w:val="0"/>
                      <w:szCs w:val="21"/>
                    </w:rPr>
                  </w:pPr>
                  <w:r>
                    <w:rPr>
                      <w:rFonts w:hint="eastAsia"/>
                      <w:kern w:val="0"/>
                      <w:szCs w:val="21"/>
                    </w:rPr>
                    <w:t>0.0027</w:t>
                  </w:r>
                </w:p>
              </w:tc>
            </w:tr>
          </w:tbl>
          <w:p w14:paraId="47C22253">
            <w:pPr>
              <w:pStyle w:val="63"/>
              <w:spacing w:line="240" w:lineRule="auto"/>
              <w:ind w:firstLine="422"/>
              <w:rPr>
                <w:b/>
                <w:bCs/>
                <w:sz w:val="21"/>
                <w:szCs w:val="21"/>
              </w:rPr>
            </w:pPr>
          </w:p>
          <w:p w14:paraId="18604500">
            <w:pPr>
              <w:pStyle w:val="63"/>
              <w:spacing w:line="360" w:lineRule="auto"/>
              <w:rPr>
                <w:color w:val="000000"/>
                <w:kern w:val="2"/>
                <w:szCs w:val="24"/>
              </w:rPr>
            </w:pPr>
            <w:r>
              <w:rPr>
                <w:rFonts w:hint="eastAsia"/>
                <w:color w:val="000000"/>
                <w:kern w:val="2"/>
                <w:szCs w:val="24"/>
              </w:rPr>
              <w:t>综上，本项目生活污水经化粪池预处理后能满足《污水综合排放标准》（GB8978-1996）表4三级标准，生产废水经沉淀池预处理后能满足《污水综合排放标准》（GB8978-1996）表4三级标准及</w:t>
            </w:r>
            <w:r>
              <w:rPr>
                <w:bCs/>
              </w:rPr>
              <w:t>《污水排入城镇下水道水质标准》（GB/T31962-2015）表1中 B级标准</w:t>
            </w:r>
            <w:r>
              <w:rPr>
                <w:rFonts w:hint="eastAsia"/>
                <w:color w:val="000000"/>
                <w:kern w:val="2"/>
                <w:szCs w:val="24"/>
              </w:rPr>
              <w:t>，本项目废水处理措施可行。</w:t>
            </w:r>
          </w:p>
          <w:p w14:paraId="7DABAD0E">
            <w:pPr>
              <w:pStyle w:val="63"/>
              <w:spacing w:line="240" w:lineRule="auto"/>
              <w:ind w:firstLine="422"/>
              <w:jc w:val="center"/>
              <w:rPr>
                <w:b/>
                <w:bCs/>
                <w:sz w:val="21"/>
                <w:szCs w:val="21"/>
              </w:rPr>
            </w:pPr>
          </w:p>
          <w:p w14:paraId="3E1AE94C">
            <w:pPr>
              <w:pStyle w:val="63"/>
              <w:spacing w:line="240" w:lineRule="auto"/>
              <w:ind w:firstLine="422"/>
              <w:jc w:val="center"/>
              <w:rPr>
                <w:b/>
                <w:bCs/>
                <w:sz w:val="21"/>
                <w:szCs w:val="21"/>
              </w:rPr>
            </w:pPr>
          </w:p>
          <w:p w14:paraId="342B6DD7">
            <w:pPr>
              <w:topLinePunct/>
              <w:spacing w:line="360" w:lineRule="auto"/>
              <w:textAlignment w:val="baseline"/>
              <w:rPr>
                <w:b/>
                <w:bCs/>
                <w:sz w:val="24"/>
              </w:rPr>
            </w:pPr>
            <w:r>
              <w:rPr>
                <w:rFonts w:hint="eastAsia"/>
                <w:b/>
                <w:bCs/>
                <w:sz w:val="24"/>
              </w:rPr>
              <w:t>2.3</w:t>
            </w:r>
            <w:r>
              <w:rPr>
                <w:b/>
                <w:bCs/>
                <w:sz w:val="24"/>
              </w:rPr>
              <w:t>项目废水</w:t>
            </w:r>
            <w:r>
              <w:rPr>
                <w:rFonts w:hint="eastAsia"/>
                <w:b/>
                <w:bCs/>
                <w:sz w:val="24"/>
              </w:rPr>
              <w:t>依托衡山国祯水处理有限公司</w:t>
            </w:r>
            <w:r>
              <w:rPr>
                <w:b/>
                <w:bCs/>
                <w:sz w:val="24"/>
              </w:rPr>
              <w:t>的可行性分析</w:t>
            </w:r>
          </w:p>
          <w:p w14:paraId="64D7A1E9">
            <w:pPr>
              <w:autoSpaceDE w:val="0"/>
              <w:autoSpaceDN w:val="0"/>
              <w:adjustRightInd w:val="0"/>
              <w:spacing w:line="360" w:lineRule="auto"/>
              <w:ind w:firstLine="482"/>
              <w:rPr>
                <w:color w:val="000000"/>
                <w:sz w:val="24"/>
              </w:rPr>
            </w:pPr>
            <w:r>
              <w:rPr>
                <w:rFonts w:hint="eastAsia"/>
                <w:color w:val="000000"/>
                <w:sz w:val="24"/>
              </w:rPr>
              <w:t>1、污水处理厂概况</w:t>
            </w:r>
          </w:p>
          <w:p w14:paraId="432B7942">
            <w:pPr>
              <w:autoSpaceDE w:val="0"/>
              <w:autoSpaceDN w:val="0"/>
              <w:adjustRightInd w:val="0"/>
              <w:spacing w:line="360" w:lineRule="auto"/>
              <w:ind w:firstLine="480" w:firstLineChars="200"/>
              <w:rPr>
                <w:color w:val="000000"/>
                <w:sz w:val="24"/>
              </w:rPr>
            </w:pPr>
            <w:r>
              <w:rPr>
                <w:color w:val="000000"/>
                <w:sz w:val="24"/>
              </w:rPr>
              <w:t>‌</w:t>
            </w:r>
            <w:r>
              <w:fldChar w:fldCharType="begin"/>
            </w:r>
            <w:r>
              <w:instrText xml:space="preserve"> HYPERLINK "https://www.baidu.com/s?rsv_dl=re_dqa_generate&amp;sa=re_dqa_generate&amp;wd=%E8%A1%A1%E5%B1%B1%E5%8E%BF%E6%B1%A1%E6%B0%B4%E5%A4%84%E7%90%86%E5%8E%82&amp;rsv_pq=809639b400c2f308&amp;oq=%E8%A1%A1%E5%B1%B1%E5%8E%BF%E6%B1%A1%E6%B0%B4%E5%A4%84%E7%90%86%E5%8E%82%E6%A6%82%E5%86%B5&amp;rsv_t=d65ewUFbU2daxN5plWcobEPz3QgmS/iFAAdb8wD5c1RtluEIURwOJ2Xi9N4&amp;tn=baidu&amp;ie=utf-8" \t "_blank" </w:instrText>
            </w:r>
            <w:r>
              <w:fldChar w:fldCharType="separate"/>
            </w:r>
            <w:r>
              <w:rPr>
                <w:color w:val="000000"/>
                <w:sz w:val="24"/>
              </w:rPr>
              <w:t>衡山国祯水处理有限公司</w:t>
            </w:r>
            <w:r>
              <w:rPr>
                <w:color w:val="000000"/>
                <w:sz w:val="24"/>
              </w:rPr>
              <w:fldChar w:fldCharType="end"/>
            </w:r>
            <w:r>
              <w:rPr>
                <w:color w:val="000000"/>
                <w:sz w:val="24"/>
              </w:rPr>
              <w:t>位于</w:t>
            </w:r>
            <w:r>
              <w:fldChar w:fldCharType="begin"/>
            </w:r>
            <w:r>
              <w:instrText xml:space="preserve"> HYPERLINK "https://www.baidu.com/s?rsv_dl=re_dqa_generate&amp;sa=re_dqa_generate&amp;wd=%E8%A1%A1%E5%B1%B1%E5%8E%BF&amp;rsv_pq=809639b400c2f308&amp;oq=%E8%A1%A1%E5%B1%B1%E5%8E%BF%E6%B1%A1%E6%B0%B4%E5%A4%84%E7%90%86%E5%8E%82%E6%A6%82%E5%86%B5&amp;rsv_t=d65ewUFbU2daxN5plWcobEPz3QgmS/iFAAdb8wD5c1RtluEIURwOJ2Xi9N4&amp;tn=baidu&amp;ie=utf-8" \t "_blank" </w:instrText>
            </w:r>
            <w:r>
              <w:fldChar w:fldCharType="separate"/>
            </w:r>
            <w:r>
              <w:rPr>
                <w:color w:val="000000"/>
                <w:sz w:val="24"/>
              </w:rPr>
              <w:t>衡山县</w:t>
            </w:r>
            <w:r>
              <w:rPr>
                <w:color w:val="000000"/>
                <w:sz w:val="24"/>
              </w:rPr>
              <w:fldChar w:fldCharType="end"/>
            </w:r>
            <w:r>
              <w:fldChar w:fldCharType="begin"/>
            </w:r>
            <w:r>
              <w:instrText xml:space="preserve"> HYPERLINK "https://www.baidu.com/s?rsv_dl=re_dqa_generate&amp;sa=re_dqa_generate&amp;wd=%E5%BC%80%E4%BA%91%E9%95%87&amp;rsv_pq=809639b400c2f308&amp;oq=%E8%A1%A1%E5%B1%B1%E5%8E%BF%E6%B1%A1%E6%B0%B4%E5%A4%84%E7%90%86%E5%8E%82%E6%A6%82%E5%86%B5&amp;rsv_t=d65ewUFbU2daxN5plWcobEPz3QgmS/iFAAdb8wD5c1RtluEIURwOJ2Xi9N4&amp;tn=baidu&amp;ie=utf-8" \t "_blank" </w:instrText>
            </w:r>
            <w:r>
              <w:fldChar w:fldCharType="separate"/>
            </w:r>
            <w:r>
              <w:rPr>
                <w:color w:val="000000"/>
                <w:sz w:val="24"/>
              </w:rPr>
              <w:t>开云镇</w:t>
            </w:r>
            <w:r>
              <w:rPr>
                <w:color w:val="000000"/>
                <w:sz w:val="24"/>
              </w:rPr>
              <w:fldChar w:fldCharType="end"/>
            </w:r>
            <w:r>
              <w:fldChar w:fldCharType="begin"/>
            </w:r>
            <w:r>
              <w:instrText xml:space="preserve"> HYPERLINK "https://www.baidu.com/s?rsv_dl=re_dqa_generate&amp;sa=re_dqa_generate&amp;wd=%E6%B9%98%E8%A1%A1%E6%9D%91&amp;rsv_pq=809639b400c2f308&amp;oq=%E8%A1%A1%E5%B1%B1%E5%8E%BF%E6%B1%A1%E6%B0%B4%E5%A4%84%E7%90%86%E5%8E%82%E6%A6%82%E5%86%B5&amp;rsv_t=d65ewUFbU2daxN5plWcobEPz3QgmS/iFAAdb8wD5c1RtluEIURwOJ2Xi9N4&amp;tn=baidu&amp;ie=utf-8" \t "_blank" </w:instrText>
            </w:r>
            <w:r>
              <w:fldChar w:fldCharType="separate"/>
            </w:r>
            <w:r>
              <w:rPr>
                <w:color w:val="000000"/>
                <w:sz w:val="24"/>
              </w:rPr>
              <w:t>湘衡村</w:t>
            </w:r>
            <w:r>
              <w:rPr>
                <w:color w:val="000000"/>
                <w:sz w:val="24"/>
              </w:rPr>
              <w:fldChar w:fldCharType="end"/>
            </w:r>
            <w:r>
              <w:rPr>
                <w:color w:val="000000"/>
                <w:sz w:val="24"/>
              </w:rPr>
              <w:t>，占地面积3.44公顷，设计处理能力为每日4万立方米。该厂采用</w:t>
            </w:r>
            <w:r>
              <w:fldChar w:fldCharType="begin"/>
            </w:r>
            <w:r>
              <w:instrText xml:space="preserve"> HYPERLINK "https://www.baidu.com/s?rsv_dl=re_dqa_generate&amp;sa=re_dqa_generate&amp;wd=%E6%94%B9%E8%89%AF%E5%9E%8B%E6%B0%A7%E5%8C%96%E6%B2%9F&amp;rsv_pq=809639b400c2f308&amp;oq=%E8%A1%A1%E5%B1%B1%E5%8E%BF%E6%B1%A1%E6%B0%B4%E5%A4%84%E7%90%86%E5%8E%82%E6%A6%82%E5%86%B5&amp;rsv_t=d65ewUFbU2daxN5plWcobEPz3QgmS/iFAAdb8wD5c1RtluEIURwOJ2Xi9N4&amp;tn=baidu&amp;ie=utf-8" \t "_blank" </w:instrText>
            </w:r>
            <w:r>
              <w:fldChar w:fldCharType="separate"/>
            </w:r>
            <w:r>
              <w:rPr>
                <w:color w:val="000000"/>
                <w:sz w:val="24"/>
              </w:rPr>
              <w:t>改良型氧化沟</w:t>
            </w:r>
            <w:r>
              <w:rPr>
                <w:color w:val="000000"/>
                <w:sz w:val="24"/>
              </w:rPr>
              <w:fldChar w:fldCharType="end"/>
            </w:r>
            <w:r>
              <w:rPr>
                <w:color w:val="000000"/>
                <w:sz w:val="24"/>
              </w:rPr>
              <w:t>处理工艺</w:t>
            </w:r>
            <w:r>
              <w:rPr>
                <w:rFonts w:hint="eastAsia"/>
                <w:color w:val="000000"/>
                <w:sz w:val="24"/>
              </w:rPr>
              <w:t>，尾水执行</w:t>
            </w:r>
            <w:r>
              <w:fldChar w:fldCharType="begin"/>
            </w:r>
            <w:r>
              <w:instrText xml:space="preserve"> HYPERLINK "https://www.baidu.com/s?rsv_dl=re_dqa_generate&amp;sa=re_dqa_generate&amp;wd=%E3%80%8A%E5%9F%8E%E9%95%87%E6%B1%A1%E6%B0%B4%E5%A4%84%E7%90%86%E5%8E%82%E6%B1%A1%E6%9F%93%E7%89%A9%E6%8E%92%E6%94%BE%E6%A0%87%E5%87%86%E3%80%8B&amp;rsv_pq=ff9a862e01214128&amp;oq=%E8%A1%A1%E5%B1%B1%E5%8E%BF%E7%BB%BC%E5%90%88%E6%B1%A1%E6%B0%B4%E5%A4%84%E7%90%86%E5%8E%82%E6%A6%82%E5%86%B5&amp;rsv_t=e6f2RHwLC8QbRcOWbRqMcAN5b75dozQG1z3VG9JE+exOYKqUfAhNg8zOpag&amp;tn=baidu&amp;ie=utf-8" \t "_blank" </w:instrText>
            </w:r>
            <w:r>
              <w:fldChar w:fldCharType="separate"/>
            </w:r>
            <w:r>
              <w:rPr>
                <w:color w:val="000000"/>
                <w:sz w:val="24"/>
              </w:rPr>
              <w:t>《城镇污水处理厂污染物排放标准》</w:t>
            </w:r>
            <w:r>
              <w:rPr>
                <w:color w:val="000000"/>
                <w:sz w:val="24"/>
              </w:rPr>
              <w:fldChar w:fldCharType="end"/>
            </w:r>
            <w:r>
              <w:rPr>
                <w:color w:val="000000"/>
                <w:sz w:val="24"/>
              </w:rPr>
              <w:t>(GB18918-2002)一级B类标准</w:t>
            </w:r>
            <w:r>
              <w:rPr>
                <w:rFonts w:hint="eastAsia"/>
                <w:color w:val="000000"/>
                <w:sz w:val="24"/>
              </w:rPr>
              <w:t>。</w:t>
            </w:r>
          </w:p>
          <w:p w14:paraId="15258A96">
            <w:pPr>
              <w:autoSpaceDE w:val="0"/>
              <w:autoSpaceDN w:val="0"/>
              <w:adjustRightInd w:val="0"/>
              <w:spacing w:line="360" w:lineRule="auto"/>
              <w:ind w:firstLine="482"/>
              <w:rPr>
                <w:color w:val="000000"/>
                <w:sz w:val="24"/>
              </w:rPr>
            </w:pPr>
            <w:r>
              <w:rPr>
                <w:color w:val="000000"/>
                <w:sz w:val="24"/>
              </w:rPr>
              <w:t>衡山国祯水处理有限公司</w:t>
            </w:r>
            <w:r>
              <w:rPr>
                <w:rFonts w:hint="eastAsia"/>
                <w:color w:val="000000"/>
                <w:sz w:val="24"/>
              </w:rPr>
              <w:t>分两期建设，其中</w:t>
            </w:r>
            <w:r>
              <w:rPr>
                <w:color w:val="000000"/>
                <w:sz w:val="24"/>
              </w:rPr>
              <w:t>一期工程于2009年建成并投入运行，设计处理能力为每日2万立方米‌</w:t>
            </w:r>
            <w:r>
              <w:rPr>
                <w:rFonts w:hint="eastAsia"/>
                <w:color w:val="000000"/>
                <w:sz w:val="24"/>
              </w:rPr>
              <w:t>；</w:t>
            </w:r>
            <w:r>
              <w:rPr>
                <w:color w:val="000000"/>
                <w:sz w:val="24"/>
              </w:rPr>
              <w:t>二期工程于2017年建设，扩建后的处理能力达到每日4万立方米‌。</w:t>
            </w:r>
            <w:r>
              <w:rPr>
                <w:rFonts w:hint="eastAsia"/>
                <w:color w:val="000000"/>
                <w:sz w:val="24"/>
              </w:rPr>
              <w:t>目前该污水处理厂</w:t>
            </w:r>
            <w:r>
              <w:rPr>
                <w:color w:val="000000"/>
                <w:sz w:val="24"/>
              </w:rPr>
              <w:t>日均处理污水2.11万立方米</w:t>
            </w:r>
            <w:r>
              <w:rPr>
                <w:rFonts w:hint="eastAsia"/>
                <w:color w:val="000000"/>
                <w:sz w:val="24"/>
              </w:rPr>
              <w:t>，尾水满足</w:t>
            </w:r>
            <w:r>
              <w:fldChar w:fldCharType="begin"/>
            </w:r>
            <w:r>
              <w:instrText xml:space="preserve"> HYPERLINK "https://www.baidu.com/s?rsv_dl=re_dqa_generate&amp;sa=re_dqa_generate&amp;wd=%E3%80%8A%E5%9F%8E%E9%95%87%E6%B1%A1%E6%B0%B4%E5%A4%84%E7%90%86%E5%8E%82%E6%B1%A1%E6%9F%93%E7%89%A9%E6%8E%92%E6%94%BE%E6%A0%87%E5%87%86%E3%80%8B&amp;rsv_pq=ff9a862e01214128&amp;oq=%E8%A1%A1%E5%B1%B1%E5%8E%BF%E7%BB%BC%E5%90%88%E6%B1%A1%E6%B0%B4%E5%A4%84%E7%90%86%E5%8E%82%E6%A6%82%E5%86%B5&amp;rsv_t=e6f2RHwLC8QbRcOWbRqMcAN5b75dozQG1z3VG9JE+exOYKqUfAhNg8zOpag&amp;tn=baidu&amp;ie=utf-8" \t "_blank" </w:instrText>
            </w:r>
            <w:r>
              <w:fldChar w:fldCharType="separate"/>
            </w:r>
            <w:r>
              <w:rPr>
                <w:color w:val="000000"/>
                <w:sz w:val="24"/>
              </w:rPr>
              <w:t>《城镇污水处理厂污染物排放标准》</w:t>
            </w:r>
            <w:r>
              <w:rPr>
                <w:color w:val="000000"/>
                <w:sz w:val="24"/>
              </w:rPr>
              <w:fldChar w:fldCharType="end"/>
            </w:r>
            <w:r>
              <w:rPr>
                <w:color w:val="000000"/>
                <w:sz w:val="24"/>
              </w:rPr>
              <w:t>(GB18918-2002)一级B类标准</w:t>
            </w:r>
            <w:r>
              <w:rPr>
                <w:rFonts w:hint="eastAsia"/>
                <w:color w:val="000000"/>
                <w:sz w:val="24"/>
              </w:rPr>
              <w:t>。</w:t>
            </w:r>
          </w:p>
          <w:p w14:paraId="6811D923">
            <w:pPr>
              <w:spacing w:line="360" w:lineRule="auto"/>
              <w:rPr>
                <w:sz w:val="24"/>
              </w:rPr>
            </w:pPr>
            <w:r>
              <w:rPr>
                <w:rFonts w:hint="eastAsia"/>
              </w:rPr>
              <w:t xml:space="preserve">  </w:t>
            </w:r>
            <w:r>
              <w:rPr>
                <w:rFonts w:hint="eastAsia"/>
                <w:sz w:val="24"/>
              </w:rPr>
              <w:t>2、依托衡山国祯水处理有限公司可行性分析</w:t>
            </w:r>
          </w:p>
          <w:p w14:paraId="4BBABDD4">
            <w:pPr>
              <w:pStyle w:val="85"/>
              <w:ind w:firstLine="480"/>
              <w:rPr>
                <w:sz w:val="24"/>
                <w:szCs w:val="24"/>
              </w:rPr>
            </w:pPr>
            <w:r>
              <w:rPr>
                <w:sz w:val="24"/>
                <w:szCs w:val="24"/>
              </w:rPr>
              <w:t>本项目废水主要为生活污水</w:t>
            </w:r>
            <w:r>
              <w:rPr>
                <w:rFonts w:hint="eastAsia"/>
                <w:sz w:val="24"/>
                <w:szCs w:val="24"/>
              </w:rPr>
              <w:t>和生产废水</w:t>
            </w:r>
            <w:r>
              <w:rPr>
                <w:sz w:val="24"/>
                <w:szCs w:val="24"/>
              </w:rPr>
              <w:t>。</w:t>
            </w:r>
            <w:r>
              <w:rPr>
                <w:rFonts w:hint="eastAsia"/>
                <w:sz w:val="24"/>
                <w:szCs w:val="24"/>
              </w:rPr>
              <w:t>生活污水</w:t>
            </w:r>
            <w:r>
              <w:rPr>
                <w:sz w:val="24"/>
                <w:szCs w:val="24"/>
              </w:rPr>
              <w:t>经化粪池</w:t>
            </w:r>
            <w:r>
              <w:rPr>
                <w:rFonts w:hint="eastAsia"/>
                <w:sz w:val="24"/>
                <w:szCs w:val="24"/>
              </w:rPr>
              <w:t>各污染物浓度满足</w:t>
            </w:r>
            <w:r>
              <w:rPr>
                <w:rFonts w:hint="eastAsia"/>
                <w:bCs w:val="0"/>
                <w:sz w:val="24"/>
                <w:szCs w:val="24"/>
              </w:rPr>
              <w:t>污水综合排放标准》（GB8978-1996）表4三级标准；生产废水主要</w:t>
            </w:r>
            <w:r>
              <w:rPr>
                <w:bCs w:val="0"/>
                <w:sz w:val="24"/>
                <w:szCs w:val="24"/>
              </w:rPr>
              <w:t>污染物主要为COD、BOD5、SS、氨氮</w:t>
            </w:r>
            <w:r>
              <w:rPr>
                <w:rFonts w:hint="eastAsia"/>
                <w:bCs w:val="0"/>
                <w:sz w:val="24"/>
                <w:szCs w:val="24"/>
              </w:rPr>
              <w:t>、LAS、TP、TN等，经二级沉淀池预处理后各污染物均满足《污水综合排放标准》（GB8978-1996）表4三级标准及</w:t>
            </w:r>
            <w:r>
              <w:rPr>
                <w:bCs w:val="0"/>
                <w:sz w:val="24"/>
                <w:szCs w:val="24"/>
              </w:rPr>
              <w:t>《污水排入城镇下水道水质标准》（GB/T31962-2015）表1中 B级标准</w:t>
            </w:r>
            <w:r>
              <w:rPr>
                <w:sz w:val="24"/>
                <w:szCs w:val="24"/>
              </w:rPr>
              <w:t>。厂区废水</w:t>
            </w:r>
            <w:r>
              <w:rPr>
                <w:rFonts w:hint="eastAsia"/>
                <w:sz w:val="24"/>
                <w:szCs w:val="24"/>
              </w:rPr>
              <w:t>总</w:t>
            </w:r>
            <w:r>
              <w:rPr>
                <w:sz w:val="24"/>
                <w:szCs w:val="24"/>
              </w:rPr>
              <w:t>排放量为</w:t>
            </w:r>
            <w:r>
              <w:rPr>
                <w:rFonts w:hint="eastAsia"/>
                <w:sz w:val="24"/>
                <w:szCs w:val="24"/>
              </w:rPr>
              <w:t>70.269</w:t>
            </w:r>
            <w:r>
              <w:rPr>
                <w:sz w:val="24"/>
                <w:szCs w:val="24"/>
              </w:rPr>
              <w:t>t/d</w:t>
            </w:r>
            <w:r>
              <w:rPr>
                <w:rFonts w:hint="eastAsia"/>
                <w:sz w:val="24"/>
                <w:szCs w:val="24"/>
              </w:rPr>
              <w:t>（21080.8t/a）</w:t>
            </w:r>
            <w:r>
              <w:rPr>
                <w:sz w:val="24"/>
                <w:szCs w:val="24"/>
              </w:rPr>
              <w:t>，</w:t>
            </w:r>
            <w:r>
              <w:rPr>
                <w:rFonts w:hint="eastAsia"/>
                <w:sz w:val="24"/>
                <w:szCs w:val="24"/>
              </w:rPr>
              <w:t>目前污水处理厂的处理量为</w:t>
            </w:r>
            <w:r>
              <w:rPr>
                <w:color w:val="000000"/>
                <w:sz w:val="24"/>
              </w:rPr>
              <w:t>2.11万立方米</w:t>
            </w:r>
            <w:r>
              <w:rPr>
                <w:rFonts w:hint="eastAsia"/>
                <w:color w:val="000000"/>
                <w:sz w:val="24"/>
              </w:rPr>
              <w:t>，污水厂有</w:t>
            </w:r>
            <w:r>
              <w:rPr>
                <w:rFonts w:hint="eastAsia"/>
                <w:sz w:val="24"/>
                <w:szCs w:val="24"/>
              </w:rPr>
              <w:t>足够</w:t>
            </w:r>
            <w:r>
              <w:rPr>
                <w:sz w:val="24"/>
                <w:szCs w:val="24"/>
              </w:rPr>
              <w:t>余量来接纳</w:t>
            </w:r>
            <w:r>
              <w:rPr>
                <w:rFonts w:hint="eastAsia"/>
                <w:color w:val="000000"/>
                <w:sz w:val="24"/>
              </w:rPr>
              <w:t>本项目产生的废水</w:t>
            </w:r>
            <w:r>
              <w:rPr>
                <w:sz w:val="24"/>
                <w:szCs w:val="24"/>
              </w:rPr>
              <w:t>，</w:t>
            </w:r>
            <w:r>
              <w:rPr>
                <w:rFonts w:hint="eastAsia"/>
                <w:sz w:val="24"/>
                <w:szCs w:val="24"/>
              </w:rPr>
              <w:t>目前污水厂</w:t>
            </w:r>
            <w:r>
              <w:rPr>
                <w:sz w:val="24"/>
                <w:szCs w:val="24"/>
              </w:rPr>
              <w:t>运行稳定</w:t>
            </w:r>
            <w:r>
              <w:rPr>
                <w:rFonts w:hint="eastAsia"/>
                <w:sz w:val="24"/>
                <w:szCs w:val="24"/>
              </w:rPr>
              <w:t>，</w:t>
            </w:r>
            <w:r>
              <w:rPr>
                <w:sz w:val="24"/>
                <w:szCs w:val="24"/>
              </w:rPr>
              <w:t>尾水出水水质</w:t>
            </w:r>
            <w:r>
              <w:rPr>
                <w:rFonts w:hint="eastAsia"/>
                <w:sz w:val="24"/>
                <w:szCs w:val="24"/>
              </w:rPr>
              <w:t>能满足</w:t>
            </w:r>
            <w:r>
              <w:rPr>
                <w:sz w:val="24"/>
                <w:szCs w:val="24"/>
              </w:rPr>
              <w:t>《城镇污水处理厂污染物排放标准》（GB18918-2002）一级</w:t>
            </w:r>
            <w:r>
              <w:rPr>
                <w:rFonts w:hint="eastAsia"/>
                <w:sz w:val="24"/>
                <w:szCs w:val="24"/>
              </w:rPr>
              <w:t>B</w:t>
            </w:r>
            <w:r>
              <w:rPr>
                <w:sz w:val="24"/>
                <w:szCs w:val="24"/>
              </w:rPr>
              <w:t>标准</w:t>
            </w:r>
            <w:r>
              <w:rPr>
                <w:rFonts w:hint="eastAsia"/>
                <w:sz w:val="24"/>
                <w:szCs w:val="24"/>
              </w:rPr>
              <w:t>，本项目废水主要污染物为</w:t>
            </w:r>
            <w:r>
              <w:rPr>
                <w:sz w:val="24"/>
                <w:szCs w:val="24"/>
              </w:rPr>
              <w:t>COD、BOD</w:t>
            </w:r>
            <w:r>
              <w:rPr>
                <w:sz w:val="24"/>
                <w:szCs w:val="24"/>
                <w:vertAlign w:val="subscript"/>
              </w:rPr>
              <w:t>5</w:t>
            </w:r>
            <w:r>
              <w:rPr>
                <w:sz w:val="24"/>
                <w:szCs w:val="24"/>
              </w:rPr>
              <w:t>、SS、氨氮</w:t>
            </w:r>
            <w:r>
              <w:rPr>
                <w:rFonts w:hint="eastAsia"/>
                <w:sz w:val="24"/>
                <w:szCs w:val="24"/>
              </w:rPr>
              <w:t>、LAS等，不会对污水处理厂处理能力造成冲击</w:t>
            </w:r>
            <w:r>
              <w:rPr>
                <w:sz w:val="24"/>
                <w:szCs w:val="24"/>
              </w:rPr>
              <w:t>。</w:t>
            </w:r>
            <w:r>
              <w:rPr>
                <w:rFonts w:hint="eastAsia"/>
                <w:sz w:val="24"/>
                <w:szCs w:val="24"/>
              </w:rPr>
              <w:t>本项目位于该污水处理厂北侧约100m处，目前已经建成专门的污水排放管道连接到衡山国祯水处理有限公司。</w:t>
            </w:r>
          </w:p>
          <w:p w14:paraId="6EF5FA20">
            <w:pPr>
              <w:pStyle w:val="85"/>
              <w:ind w:firstLine="480"/>
              <w:rPr>
                <w:sz w:val="24"/>
                <w:szCs w:val="24"/>
              </w:rPr>
            </w:pPr>
            <w:r>
              <w:rPr>
                <w:sz w:val="24"/>
                <w:szCs w:val="24"/>
              </w:rPr>
              <w:t>项目在</w:t>
            </w:r>
            <w:r>
              <w:rPr>
                <w:rFonts w:hint="eastAsia"/>
                <w:sz w:val="24"/>
                <w:szCs w:val="24"/>
              </w:rPr>
              <w:t>衡山国祯水处理有限公司</w:t>
            </w:r>
            <w:r>
              <w:rPr>
                <w:sz w:val="24"/>
                <w:szCs w:val="24"/>
              </w:rPr>
              <w:t>纳污范围，项目排放的废水水质、水量均满足</w:t>
            </w:r>
            <w:r>
              <w:rPr>
                <w:rFonts w:hint="eastAsia"/>
                <w:sz w:val="24"/>
                <w:szCs w:val="24"/>
              </w:rPr>
              <w:t>接管要求</w:t>
            </w:r>
            <w:r>
              <w:rPr>
                <w:sz w:val="24"/>
                <w:szCs w:val="24"/>
              </w:rPr>
              <w:t>，项目废水经自建的污水处理设施处理达标后进入</w:t>
            </w:r>
            <w:r>
              <w:rPr>
                <w:rFonts w:hint="eastAsia"/>
                <w:sz w:val="24"/>
                <w:szCs w:val="24"/>
              </w:rPr>
              <w:t>衡山国祯水处理有限公司</w:t>
            </w:r>
            <w:r>
              <w:rPr>
                <w:sz w:val="24"/>
                <w:szCs w:val="24"/>
              </w:rPr>
              <w:t>是可行的。 因此，本项目废水进入</w:t>
            </w:r>
            <w:r>
              <w:rPr>
                <w:rFonts w:hint="eastAsia"/>
                <w:sz w:val="24"/>
                <w:szCs w:val="24"/>
              </w:rPr>
              <w:t>衡山国祯水处理有限公司</w:t>
            </w:r>
            <w:r>
              <w:rPr>
                <w:sz w:val="24"/>
                <w:szCs w:val="24"/>
              </w:rPr>
              <w:t>处理合理可行。</w:t>
            </w:r>
          </w:p>
          <w:p w14:paraId="03FE13B6">
            <w:pPr>
              <w:topLinePunct/>
              <w:spacing w:line="360" w:lineRule="auto"/>
              <w:textAlignment w:val="baseline"/>
              <w:rPr>
                <w:b/>
                <w:bCs/>
                <w:sz w:val="24"/>
              </w:rPr>
            </w:pPr>
          </w:p>
          <w:p w14:paraId="24AF3BA1">
            <w:pPr>
              <w:topLinePunct/>
              <w:spacing w:line="360" w:lineRule="auto"/>
              <w:textAlignment w:val="baseline"/>
              <w:rPr>
                <w:b/>
                <w:bCs/>
                <w:sz w:val="24"/>
              </w:rPr>
            </w:pPr>
            <w:r>
              <w:rPr>
                <w:b/>
                <w:bCs/>
                <w:sz w:val="24"/>
              </w:rPr>
              <w:t>2.</w:t>
            </w:r>
            <w:r>
              <w:rPr>
                <w:rFonts w:hint="eastAsia"/>
                <w:b/>
                <w:bCs/>
                <w:sz w:val="24"/>
              </w:rPr>
              <w:t>4</w:t>
            </w:r>
            <w:r>
              <w:rPr>
                <w:b/>
                <w:bCs/>
                <w:sz w:val="24"/>
              </w:rPr>
              <w:t xml:space="preserve">废水排放口基本情况 </w:t>
            </w:r>
          </w:p>
          <w:p w14:paraId="718F5060">
            <w:pPr>
              <w:topLinePunct/>
              <w:spacing w:line="360" w:lineRule="auto"/>
              <w:ind w:firstLine="480" w:firstLineChars="200"/>
              <w:textAlignment w:val="baseline"/>
              <w:rPr>
                <w:sz w:val="24"/>
              </w:rPr>
            </w:pPr>
            <w:r>
              <w:rPr>
                <w:sz w:val="24"/>
              </w:rPr>
              <w:t xml:space="preserve">项目废水排放口基本情况见下表： </w:t>
            </w:r>
          </w:p>
          <w:p w14:paraId="042797E8">
            <w:pPr>
              <w:topLinePunct/>
              <w:spacing w:line="360" w:lineRule="auto"/>
              <w:jc w:val="center"/>
              <w:textAlignment w:val="baseline"/>
              <w:rPr>
                <w:b/>
                <w:bCs/>
              </w:rPr>
            </w:pPr>
            <w:r>
              <w:rPr>
                <w:b/>
                <w:bCs/>
              </w:rPr>
              <w:t>表4</w:t>
            </w:r>
            <w:r>
              <w:rPr>
                <w:rFonts w:hint="eastAsia"/>
                <w:b/>
                <w:bCs/>
              </w:rPr>
              <w:t>-</w:t>
            </w:r>
            <w:r>
              <w:rPr>
                <w:b/>
                <w:bCs/>
              </w:rPr>
              <w:t>1</w:t>
            </w:r>
            <w:r>
              <w:rPr>
                <w:rFonts w:hint="eastAsia"/>
                <w:b/>
                <w:bCs/>
              </w:rPr>
              <w:t>3</w:t>
            </w:r>
            <w:r>
              <w:rPr>
                <w:b/>
                <w:bCs/>
              </w:rPr>
              <w:t xml:space="preserve"> 项目废水排放口基本情况</w:t>
            </w:r>
          </w:p>
          <w:tbl>
            <w:tblPr>
              <w:tblStyle w:val="26"/>
              <w:tblW w:w="7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29"/>
              <w:gridCol w:w="799"/>
              <w:gridCol w:w="1166"/>
              <w:gridCol w:w="1094"/>
              <w:gridCol w:w="665"/>
              <w:gridCol w:w="1327"/>
              <w:gridCol w:w="1397"/>
            </w:tblGrid>
            <w:tr w14:paraId="41E2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99" w:type="dxa"/>
                </w:tcPr>
                <w:p w14:paraId="28458650">
                  <w:pPr>
                    <w:topLinePunct/>
                    <w:jc w:val="left"/>
                    <w:textAlignment w:val="baseline"/>
                  </w:pPr>
                  <w:r>
                    <w:t>产排污环节</w:t>
                  </w:r>
                </w:p>
              </w:tc>
              <w:tc>
                <w:tcPr>
                  <w:tcW w:w="829" w:type="dxa"/>
                </w:tcPr>
                <w:p w14:paraId="0E3E7698">
                  <w:pPr>
                    <w:topLinePunct/>
                    <w:jc w:val="left"/>
                    <w:textAlignment w:val="baseline"/>
                  </w:pPr>
                  <w:r>
                    <w:t>排放口 编号</w:t>
                  </w:r>
                </w:p>
              </w:tc>
              <w:tc>
                <w:tcPr>
                  <w:tcW w:w="799" w:type="dxa"/>
                </w:tcPr>
                <w:p w14:paraId="0D585C4B">
                  <w:pPr>
                    <w:topLinePunct/>
                    <w:jc w:val="left"/>
                    <w:textAlignment w:val="baseline"/>
                  </w:pPr>
                  <w:r>
                    <w:t>污染物种类</w:t>
                  </w:r>
                </w:p>
              </w:tc>
              <w:tc>
                <w:tcPr>
                  <w:tcW w:w="1166" w:type="dxa"/>
                </w:tcPr>
                <w:p w14:paraId="11D97022">
                  <w:pPr>
                    <w:topLinePunct/>
                    <w:jc w:val="left"/>
                    <w:textAlignment w:val="baseline"/>
                  </w:pPr>
                  <w:r>
                    <w:t>排放口地理坐标</w:t>
                  </w:r>
                </w:p>
              </w:tc>
              <w:tc>
                <w:tcPr>
                  <w:tcW w:w="1094" w:type="dxa"/>
                </w:tcPr>
                <w:p w14:paraId="5DAF7562">
                  <w:pPr>
                    <w:topLinePunct/>
                    <w:jc w:val="left"/>
                    <w:textAlignment w:val="baseline"/>
                  </w:pPr>
                  <w:r>
                    <w:t>排放去向</w:t>
                  </w:r>
                </w:p>
              </w:tc>
              <w:tc>
                <w:tcPr>
                  <w:tcW w:w="665" w:type="dxa"/>
                </w:tcPr>
                <w:p w14:paraId="2F3710D0">
                  <w:pPr>
                    <w:topLinePunct/>
                    <w:jc w:val="left"/>
                    <w:textAlignment w:val="baseline"/>
                  </w:pPr>
                  <w:r>
                    <w:t>排放形式</w:t>
                  </w:r>
                </w:p>
              </w:tc>
              <w:tc>
                <w:tcPr>
                  <w:tcW w:w="1327" w:type="dxa"/>
                  <w:vAlign w:val="center"/>
                </w:tcPr>
                <w:p w14:paraId="6E8CB7BA">
                  <w:pPr>
                    <w:topLinePunct/>
                    <w:jc w:val="center"/>
                    <w:textAlignment w:val="baseline"/>
                  </w:pPr>
                  <w:r>
                    <w:t>排放规律</w:t>
                  </w:r>
                </w:p>
              </w:tc>
              <w:tc>
                <w:tcPr>
                  <w:tcW w:w="1397" w:type="dxa"/>
                  <w:vAlign w:val="center"/>
                </w:tcPr>
                <w:p w14:paraId="2771554E">
                  <w:pPr>
                    <w:topLinePunct/>
                    <w:spacing w:line="360" w:lineRule="auto"/>
                    <w:jc w:val="center"/>
                    <w:textAlignment w:val="baseline"/>
                  </w:pPr>
                  <w:r>
                    <w:t>执行标准</w:t>
                  </w:r>
                </w:p>
              </w:tc>
            </w:tr>
            <w:tr w14:paraId="4C25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9" w:type="dxa"/>
                  <w:vMerge w:val="restart"/>
                  <w:vAlign w:val="center"/>
                </w:tcPr>
                <w:p w14:paraId="23848E0F">
                  <w:pPr>
                    <w:topLinePunct/>
                    <w:jc w:val="center"/>
                    <w:textAlignment w:val="baseline"/>
                  </w:pPr>
                  <w:r>
                    <w:rPr>
                      <w:rFonts w:hint="eastAsia"/>
                    </w:rPr>
                    <w:t>生活</w:t>
                  </w:r>
                  <w:r>
                    <w:t>污水</w:t>
                  </w:r>
                </w:p>
              </w:tc>
              <w:tc>
                <w:tcPr>
                  <w:tcW w:w="829" w:type="dxa"/>
                  <w:vMerge w:val="restart"/>
                  <w:vAlign w:val="center"/>
                </w:tcPr>
                <w:p w14:paraId="2F4AA673">
                  <w:pPr>
                    <w:topLinePunct/>
                    <w:jc w:val="center"/>
                    <w:textAlignment w:val="baseline"/>
                  </w:pPr>
                  <w:r>
                    <w:t>DW001</w:t>
                  </w:r>
                </w:p>
              </w:tc>
              <w:tc>
                <w:tcPr>
                  <w:tcW w:w="799" w:type="dxa"/>
                  <w:vAlign w:val="center"/>
                </w:tcPr>
                <w:p w14:paraId="5DE04AD0">
                  <w:pPr>
                    <w:topLinePunct/>
                    <w:spacing w:line="360" w:lineRule="auto"/>
                    <w:jc w:val="center"/>
                    <w:textAlignment w:val="baseline"/>
                  </w:pPr>
                  <w:r>
                    <w:rPr>
                      <w:rFonts w:hint="eastAsia"/>
                    </w:rPr>
                    <w:t>C</w:t>
                  </w:r>
                  <w:r>
                    <w:t>OD</w:t>
                  </w:r>
                </w:p>
              </w:tc>
              <w:tc>
                <w:tcPr>
                  <w:tcW w:w="1166" w:type="dxa"/>
                  <w:vMerge w:val="restart"/>
                  <w:vAlign w:val="center"/>
                </w:tcPr>
                <w:p w14:paraId="00A300E2">
                  <w:pPr>
                    <w:pStyle w:val="2"/>
                    <w:spacing w:line="240" w:lineRule="auto"/>
                    <w:ind w:left="0" w:leftChars="0" w:firstLine="0" w:firstLineChars="0"/>
                    <w:jc w:val="center"/>
                  </w:pPr>
                  <w:r>
                    <w:rPr>
                      <w:rFonts w:hint="eastAsia"/>
                      <w:color w:val="000000" w:themeColor="text1"/>
                      <w:sz w:val="21"/>
                      <w:szCs w:val="21"/>
                      <w14:textFill>
                        <w14:solidFill>
                          <w14:schemeClr w14:val="tx1"/>
                        </w14:solidFill>
                      </w14:textFill>
                    </w:rPr>
                    <w:t>N</w:t>
                  </w:r>
                  <w:r>
                    <w:rPr>
                      <w:color w:val="000000" w:themeColor="text1"/>
                      <w:sz w:val="21"/>
                      <w:szCs w:val="21"/>
                      <w14:textFill>
                        <w14:solidFill>
                          <w14:schemeClr w14:val="tx1"/>
                        </w14:solidFill>
                      </w14:textFill>
                    </w:rPr>
                    <w:t xml:space="preserve"> 27.</w:t>
                  </w:r>
                  <w:r>
                    <w:rPr>
                      <w:rFonts w:hint="eastAsia"/>
                      <w:color w:val="000000" w:themeColor="text1"/>
                      <w:sz w:val="21"/>
                      <w:szCs w:val="21"/>
                      <w14:textFill>
                        <w14:solidFill>
                          <w14:schemeClr w14:val="tx1"/>
                        </w14:solidFill>
                      </w14:textFill>
                    </w:rPr>
                    <w:t>248917</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E</w:t>
                  </w:r>
                  <w:r>
                    <w:rPr>
                      <w:color w:val="000000" w:themeColor="text1"/>
                      <w:sz w:val="21"/>
                      <w:szCs w:val="21"/>
                      <w14:textFill>
                        <w14:solidFill>
                          <w14:schemeClr w14:val="tx1"/>
                        </w14:solidFill>
                      </w14:textFill>
                    </w:rPr>
                    <w:t>112.</w:t>
                  </w:r>
                  <w:r>
                    <w:rPr>
                      <w:rFonts w:hint="eastAsia"/>
                      <w:color w:val="000000" w:themeColor="text1"/>
                      <w:sz w:val="21"/>
                      <w:szCs w:val="21"/>
                      <w14:textFill>
                        <w14:solidFill>
                          <w14:schemeClr w14:val="tx1"/>
                        </w14:solidFill>
                      </w14:textFill>
                    </w:rPr>
                    <w:t>878203</w:t>
                  </w:r>
                  <w:r>
                    <w:rPr>
                      <w:color w:val="000000" w:themeColor="text1"/>
                      <w14:textFill>
                        <w14:solidFill>
                          <w14:schemeClr w14:val="tx1"/>
                        </w14:solidFill>
                      </w14:textFill>
                    </w:rPr>
                    <w:t>°</w:t>
                  </w:r>
                </w:p>
              </w:tc>
              <w:tc>
                <w:tcPr>
                  <w:tcW w:w="1094" w:type="dxa"/>
                  <w:vMerge w:val="restart"/>
                  <w:vAlign w:val="center"/>
                </w:tcPr>
                <w:p w14:paraId="0865801F">
                  <w:pPr>
                    <w:topLinePunct/>
                    <w:jc w:val="center"/>
                    <w:textAlignment w:val="baseline"/>
                  </w:pPr>
                  <w:r>
                    <w:rPr>
                      <w:rFonts w:hint="eastAsia"/>
                    </w:rPr>
                    <w:t>衡山国祯水处理有限公司</w:t>
                  </w:r>
                </w:p>
              </w:tc>
              <w:tc>
                <w:tcPr>
                  <w:tcW w:w="665" w:type="dxa"/>
                  <w:vMerge w:val="restart"/>
                  <w:vAlign w:val="center"/>
                </w:tcPr>
                <w:p w14:paraId="38F0EA93">
                  <w:pPr>
                    <w:topLinePunct/>
                    <w:jc w:val="center"/>
                    <w:textAlignment w:val="baseline"/>
                  </w:pPr>
                  <w:r>
                    <w:t>间歇 排放</w:t>
                  </w:r>
                </w:p>
              </w:tc>
              <w:tc>
                <w:tcPr>
                  <w:tcW w:w="1327" w:type="dxa"/>
                  <w:vMerge w:val="restart"/>
                  <w:vAlign w:val="center"/>
                </w:tcPr>
                <w:p w14:paraId="0D63C90F">
                  <w:pPr>
                    <w:topLinePunct/>
                    <w:jc w:val="center"/>
                    <w:textAlignment w:val="baseline"/>
                  </w:pPr>
                  <w:r>
                    <w:t>间断排放，排放期间流量不稳定且无规律，但不属于冲击型排放</w:t>
                  </w:r>
                </w:p>
              </w:tc>
              <w:tc>
                <w:tcPr>
                  <w:tcW w:w="1397" w:type="dxa"/>
                  <w:vMerge w:val="restart"/>
                  <w:vAlign w:val="center"/>
                </w:tcPr>
                <w:p w14:paraId="4824F05B">
                  <w:pPr>
                    <w:topLinePunct/>
                    <w:jc w:val="center"/>
                    <w:textAlignment w:val="baseline"/>
                  </w:pPr>
                  <w:r>
                    <w:rPr>
                      <w:rFonts w:hint="eastAsia"/>
                    </w:rPr>
                    <w:t>《污水综合排放标准》（GB8978-1996）表4三级标准；</w:t>
                  </w:r>
                  <w:r>
                    <w:t>《城镇污水处理厂污染物排放标准》（GB18918-2002）一级</w:t>
                  </w:r>
                  <w:r>
                    <w:rPr>
                      <w:rFonts w:hint="eastAsia"/>
                    </w:rPr>
                    <w:t>B</w:t>
                  </w:r>
                  <w:r>
                    <w:t>标准</w:t>
                  </w:r>
                </w:p>
              </w:tc>
            </w:tr>
            <w:tr w14:paraId="3D85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99" w:type="dxa"/>
                  <w:vMerge w:val="continue"/>
                </w:tcPr>
                <w:p w14:paraId="5EF067FF">
                  <w:pPr>
                    <w:topLinePunct/>
                    <w:spacing w:line="360" w:lineRule="auto"/>
                    <w:textAlignment w:val="baseline"/>
                  </w:pPr>
                </w:p>
              </w:tc>
              <w:tc>
                <w:tcPr>
                  <w:tcW w:w="829" w:type="dxa"/>
                  <w:vMerge w:val="continue"/>
                </w:tcPr>
                <w:p w14:paraId="47D296C0">
                  <w:pPr>
                    <w:topLinePunct/>
                    <w:spacing w:line="360" w:lineRule="auto"/>
                    <w:textAlignment w:val="baseline"/>
                  </w:pPr>
                </w:p>
              </w:tc>
              <w:tc>
                <w:tcPr>
                  <w:tcW w:w="799" w:type="dxa"/>
                  <w:vAlign w:val="center"/>
                </w:tcPr>
                <w:p w14:paraId="74EE19EA">
                  <w:pPr>
                    <w:topLinePunct/>
                    <w:spacing w:line="360" w:lineRule="auto"/>
                    <w:jc w:val="center"/>
                    <w:textAlignment w:val="baseline"/>
                  </w:pPr>
                  <w:r>
                    <w:rPr>
                      <w:rFonts w:hint="eastAsia"/>
                    </w:rPr>
                    <w:t>B</w:t>
                  </w:r>
                  <w:r>
                    <w:t>OD</w:t>
                  </w:r>
                </w:p>
              </w:tc>
              <w:tc>
                <w:tcPr>
                  <w:tcW w:w="1166" w:type="dxa"/>
                  <w:vMerge w:val="continue"/>
                </w:tcPr>
                <w:p w14:paraId="6D6521DD">
                  <w:pPr>
                    <w:topLinePunct/>
                    <w:spacing w:line="360" w:lineRule="auto"/>
                    <w:textAlignment w:val="baseline"/>
                  </w:pPr>
                </w:p>
              </w:tc>
              <w:tc>
                <w:tcPr>
                  <w:tcW w:w="1094" w:type="dxa"/>
                  <w:vMerge w:val="continue"/>
                </w:tcPr>
                <w:p w14:paraId="5BD0FEDD">
                  <w:pPr>
                    <w:topLinePunct/>
                    <w:spacing w:line="360" w:lineRule="auto"/>
                    <w:textAlignment w:val="baseline"/>
                  </w:pPr>
                </w:p>
              </w:tc>
              <w:tc>
                <w:tcPr>
                  <w:tcW w:w="665" w:type="dxa"/>
                  <w:vMerge w:val="continue"/>
                </w:tcPr>
                <w:p w14:paraId="7BCE4D8E">
                  <w:pPr>
                    <w:topLinePunct/>
                    <w:spacing w:line="360" w:lineRule="auto"/>
                    <w:textAlignment w:val="baseline"/>
                  </w:pPr>
                </w:p>
              </w:tc>
              <w:tc>
                <w:tcPr>
                  <w:tcW w:w="1327" w:type="dxa"/>
                  <w:vMerge w:val="continue"/>
                </w:tcPr>
                <w:p w14:paraId="348248A8">
                  <w:pPr>
                    <w:topLinePunct/>
                    <w:spacing w:line="360" w:lineRule="auto"/>
                    <w:textAlignment w:val="baseline"/>
                  </w:pPr>
                </w:p>
              </w:tc>
              <w:tc>
                <w:tcPr>
                  <w:tcW w:w="1397" w:type="dxa"/>
                  <w:vMerge w:val="continue"/>
                </w:tcPr>
                <w:p w14:paraId="052A297B">
                  <w:pPr>
                    <w:topLinePunct/>
                    <w:textAlignment w:val="baseline"/>
                  </w:pPr>
                </w:p>
              </w:tc>
            </w:tr>
            <w:tr w14:paraId="3C65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582134D6">
                  <w:pPr>
                    <w:topLinePunct/>
                    <w:spacing w:line="360" w:lineRule="auto"/>
                    <w:textAlignment w:val="baseline"/>
                  </w:pPr>
                </w:p>
              </w:tc>
              <w:tc>
                <w:tcPr>
                  <w:tcW w:w="829" w:type="dxa"/>
                  <w:vMerge w:val="continue"/>
                </w:tcPr>
                <w:p w14:paraId="0CF4CF5C">
                  <w:pPr>
                    <w:topLinePunct/>
                    <w:spacing w:line="360" w:lineRule="auto"/>
                    <w:textAlignment w:val="baseline"/>
                  </w:pPr>
                </w:p>
              </w:tc>
              <w:tc>
                <w:tcPr>
                  <w:tcW w:w="799" w:type="dxa"/>
                  <w:vAlign w:val="center"/>
                </w:tcPr>
                <w:p w14:paraId="26C3B931">
                  <w:pPr>
                    <w:topLinePunct/>
                    <w:spacing w:line="360" w:lineRule="auto"/>
                    <w:jc w:val="center"/>
                    <w:textAlignment w:val="baseline"/>
                  </w:pPr>
                  <w:r>
                    <w:rPr>
                      <w:rFonts w:hint="eastAsia"/>
                    </w:rPr>
                    <w:t>S</w:t>
                  </w:r>
                  <w:r>
                    <w:t>S</w:t>
                  </w:r>
                </w:p>
              </w:tc>
              <w:tc>
                <w:tcPr>
                  <w:tcW w:w="1166" w:type="dxa"/>
                  <w:vMerge w:val="continue"/>
                </w:tcPr>
                <w:p w14:paraId="3DA44C31">
                  <w:pPr>
                    <w:topLinePunct/>
                    <w:spacing w:line="360" w:lineRule="auto"/>
                    <w:textAlignment w:val="baseline"/>
                  </w:pPr>
                </w:p>
              </w:tc>
              <w:tc>
                <w:tcPr>
                  <w:tcW w:w="1094" w:type="dxa"/>
                  <w:vMerge w:val="continue"/>
                </w:tcPr>
                <w:p w14:paraId="630BC0E6">
                  <w:pPr>
                    <w:topLinePunct/>
                    <w:spacing w:line="360" w:lineRule="auto"/>
                    <w:textAlignment w:val="baseline"/>
                  </w:pPr>
                </w:p>
              </w:tc>
              <w:tc>
                <w:tcPr>
                  <w:tcW w:w="665" w:type="dxa"/>
                  <w:vMerge w:val="continue"/>
                </w:tcPr>
                <w:p w14:paraId="54F4343C">
                  <w:pPr>
                    <w:topLinePunct/>
                    <w:spacing w:line="360" w:lineRule="auto"/>
                    <w:textAlignment w:val="baseline"/>
                  </w:pPr>
                </w:p>
              </w:tc>
              <w:tc>
                <w:tcPr>
                  <w:tcW w:w="1327" w:type="dxa"/>
                  <w:vMerge w:val="continue"/>
                </w:tcPr>
                <w:p w14:paraId="3784C53A">
                  <w:pPr>
                    <w:topLinePunct/>
                    <w:spacing w:line="360" w:lineRule="auto"/>
                    <w:textAlignment w:val="baseline"/>
                  </w:pPr>
                </w:p>
              </w:tc>
              <w:tc>
                <w:tcPr>
                  <w:tcW w:w="1397" w:type="dxa"/>
                  <w:vMerge w:val="continue"/>
                </w:tcPr>
                <w:p w14:paraId="7B8F1D54">
                  <w:pPr>
                    <w:topLinePunct/>
                    <w:textAlignment w:val="baseline"/>
                  </w:pPr>
                </w:p>
              </w:tc>
            </w:tr>
            <w:tr w14:paraId="0458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0FDD57D1">
                  <w:pPr>
                    <w:topLinePunct/>
                    <w:spacing w:line="360" w:lineRule="auto"/>
                    <w:textAlignment w:val="baseline"/>
                  </w:pPr>
                </w:p>
              </w:tc>
              <w:tc>
                <w:tcPr>
                  <w:tcW w:w="829" w:type="dxa"/>
                  <w:vMerge w:val="continue"/>
                </w:tcPr>
                <w:p w14:paraId="397EA2E0">
                  <w:pPr>
                    <w:topLinePunct/>
                    <w:spacing w:line="360" w:lineRule="auto"/>
                    <w:textAlignment w:val="baseline"/>
                  </w:pPr>
                </w:p>
              </w:tc>
              <w:tc>
                <w:tcPr>
                  <w:tcW w:w="799" w:type="dxa"/>
                  <w:vAlign w:val="center"/>
                </w:tcPr>
                <w:p w14:paraId="4A3B3CD2">
                  <w:pPr>
                    <w:topLinePunct/>
                    <w:spacing w:line="360" w:lineRule="auto"/>
                    <w:jc w:val="center"/>
                    <w:textAlignment w:val="baseline"/>
                  </w:pPr>
                  <w:r>
                    <w:rPr>
                      <w:rFonts w:hint="eastAsia"/>
                    </w:rPr>
                    <w:t>氨氮</w:t>
                  </w:r>
                </w:p>
              </w:tc>
              <w:tc>
                <w:tcPr>
                  <w:tcW w:w="1166" w:type="dxa"/>
                  <w:vMerge w:val="continue"/>
                </w:tcPr>
                <w:p w14:paraId="5D992F23">
                  <w:pPr>
                    <w:topLinePunct/>
                    <w:spacing w:line="360" w:lineRule="auto"/>
                    <w:textAlignment w:val="baseline"/>
                  </w:pPr>
                </w:p>
              </w:tc>
              <w:tc>
                <w:tcPr>
                  <w:tcW w:w="1094" w:type="dxa"/>
                  <w:vMerge w:val="continue"/>
                </w:tcPr>
                <w:p w14:paraId="58B22C4D">
                  <w:pPr>
                    <w:topLinePunct/>
                    <w:spacing w:line="360" w:lineRule="auto"/>
                    <w:textAlignment w:val="baseline"/>
                  </w:pPr>
                </w:p>
              </w:tc>
              <w:tc>
                <w:tcPr>
                  <w:tcW w:w="665" w:type="dxa"/>
                  <w:vMerge w:val="continue"/>
                </w:tcPr>
                <w:p w14:paraId="465A76F7">
                  <w:pPr>
                    <w:topLinePunct/>
                    <w:spacing w:line="360" w:lineRule="auto"/>
                    <w:textAlignment w:val="baseline"/>
                  </w:pPr>
                </w:p>
              </w:tc>
              <w:tc>
                <w:tcPr>
                  <w:tcW w:w="1327" w:type="dxa"/>
                  <w:vMerge w:val="continue"/>
                </w:tcPr>
                <w:p w14:paraId="1792B847">
                  <w:pPr>
                    <w:topLinePunct/>
                    <w:spacing w:line="360" w:lineRule="auto"/>
                    <w:textAlignment w:val="baseline"/>
                  </w:pPr>
                </w:p>
              </w:tc>
              <w:tc>
                <w:tcPr>
                  <w:tcW w:w="1397" w:type="dxa"/>
                  <w:vMerge w:val="continue"/>
                </w:tcPr>
                <w:p w14:paraId="72B42766">
                  <w:pPr>
                    <w:topLinePunct/>
                    <w:textAlignment w:val="baseline"/>
                  </w:pPr>
                </w:p>
              </w:tc>
            </w:tr>
            <w:tr w14:paraId="37E9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restart"/>
                  <w:vAlign w:val="center"/>
                </w:tcPr>
                <w:p w14:paraId="2F202CDD">
                  <w:pPr>
                    <w:topLinePunct/>
                    <w:jc w:val="center"/>
                    <w:textAlignment w:val="baseline"/>
                  </w:pPr>
                  <w:r>
                    <w:rPr>
                      <w:rFonts w:hint="eastAsia"/>
                    </w:rPr>
                    <w:t>生产废水</w:t>
                  </w:r>
                </w:p>
                <w:p w14:paraId="0065E9B7">
                  <w:pPr>
                    <w:topLinePunct/>
                    <w:jc w:val="center"/>
                    <w:textAlignment w:val="baseline"/>
                  </w:pPr>
                </w:p>
                <w:p w14:paraId="79005AE0">
                  <w:pPr>
                    <w:pStyle w:val="2"/>
                    <w:ind w:firstLine="480"/>
                    <w:jc w:val="center"/>
                  </w:pPr>
                </w:p>
              </w:tc>
              <w:tc>
                <w:tcPr>
                  <w:tcW w:w="829" w:type="dxa"/>
                  <w:vMerge w:val="restart"/>
                  <w:vAlign w:val="center"/>
                </w:tcPr>
                <w:p w14:paraId="1DAB418F">
                  <w:pPr>
                    <w:topLinePunct/>
                    <w:jc w:val="center"/>
                    <w:textAlignment w:val="baseline"/>
                  </w:pPr>
                  <w:r>
                    <w:t>DW00</w:t>
                  </w:r>
                  <w:r>
                    <w:rPr>
                      <w:rFonts w:hint="eastAsia"/>
                    </w:rPr>
                    <w:t>2</w:t>
                  </w:r>
                </w:p>
              </w:tc>
              <w:tc>
                <w:tcPr>
                  <w:tcW w:w="799" w:type="dxa"/>
                  <w:vAlign w:val="center"/>
                </w:tcPr>
                <w:p w14:paraId="4DFEB9EE">
                  <w:pPr>
                    <w:topLinePunct/>
                    <w:spacing w:line="360" w:lineRule="auto"/>
                    <w:jc w:val="center"/>
                    <w:textAlignment w:val="baseline"/>
                  </w:pPr>
                  <w:r>
                    <w:rPr>
                      <w:rFonts w:hint="eastAsia"/>
                    </w:rPr>
                    <w:t>C</w:t>
                  </w:r>
                  <w:r>
                    <w:t>OD</w:t>
                  </w:r>
                </w:p>
              </w:tc>
              <w:tc>
                <w:tcPr>
                  <w:tcW w:w="1166" w:type="dxa"/>
                  <w:vMerge w:val="restart"/>
                  <w:vAlign w:val="center"/>
                </w:tcPr>
                <w:p w14:paraId="402FB508">
                  <w:pPr>
                    <w:topLinePunct/>
                    <w:jc w:val="center"/>
                    <w:textAlignment w:val="baseline"/>
                  </w:pP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 xml:space="preserve"> 27.</w:t>
                  </w:r>
                  <w:r>
                    <w:rPr>
                      <w:rFonts w:hint="eastAsia"/>
                      <w:color w:val="000000" w:themeColor="text1"/>
                      <w:szCs w:val="21"/>
                      <w14:textFill>
                        <w14:solidFill>
                          <w14:schemeClr w14:val="tx1"/>
                        </w14:solidFill>
                      </w14:textFill>
                    </w:rPr>
                    <w:t>248914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E</w:t>
                  </w:r>
                  <w:r>
                    <w:rPr>
                      <w:color w:val="000000" w:themeColor="text1"/>
                      <w:szCs w:val="21"/>
                      <w14:textFill>
                        <w14:solidFill>
                          <w14:schemeClr w14:val="tx1"/>
                        </w14:solidFill>
                      </w14:textFill>
                    </w:rPr>
                    <w:t>112.</w:t>
                  </w:r>
                  <w:r>
                    <w:rPr>
                      <w:rFonts w:hint="eastAsia"/>
                      <w:color w:val="000000" w:themeColor="text1"/>
                      <w:szCs w:val="21"/>
                      <w14:textFill>
                        <w14:solidFill>
                          <w14:schemeClr w14:val="tx1"/>
                        </w14:solidFill>
                      </w14:textFill>
                    </w:rPr>
                    <w:t>878214</w:t>
                  </w:r>
                  <w:r>
                    <w:rPr>
                      <w:color w:val="000000" w:themeColor="text1"/>
                      <w14:textFill>
                        <w14:solidFill>
                          <w14:schemeClr w14:val="tx1"/>
                        </w14:solidFill>
                      </w14:textFill>
                    </w:rPr>
                    <w:t>°</w:t>
                  </w:r>
                </w:p>
              </w:tc>
              <w:tc>
                <w:tcPr>
                  <w:tcW w:w="1094" w:type="dxa"/>
                  <w:vMerge w:val="restart"/>
                  <w:vAlign w:val="center"/>
                </w:tcPr>
                <w:p w14:paraId="0140B805">
                  <w:pPr>
                    <w:topLinePunct/>
                    <w:textAlignment w:val="baseline"/>
                  </w:pPr>
                  <w:r>
                    <w:rPr>
                      <w:rFonts w:hint="eastAsia"/>
                    </w:rPr>
                    <w:t>衡山国祯水处理有限公司</w:t>
                  </w:r>
                </w:p>
              </w:tc>
              <w:tc>
                <w:tcPr>
                  <w:tcW w:w="665" w:type="dxa"/>
                  <w:vMerge w:val="restart"/>
                  <w:vAlign w:val="center"/>
                </w:tcPr>
                <w:p w14:paraId="2AE04F91">
                  <w:pPr>
                    <w:topLinePunct/>
                    <w:textAlignment w:val="baseline"/>
                  </w:pPr>
                  <w:r>
                    <w:t>间歇 排放</w:t>
                  </w:r>
                </w:p>
              </w:tc>
              <w:tc>
                <w:tcPr>
                  <w:tcW w:w="1327" w:type="dxa"/>
                  <w:vMerge w:val="restart"/>
                  <w:vAlign w:val="center"/>
                </w:tcPr>
                <w:p w14:paraId="7A59268B">
                  <w:pPr>
                    <w:topLinePunct/>
                    <w:textAlignment w:val="baseline"/>
                  </w:pPr>
                  <w:r>
                    <w:t>间断排放，排放期间流量不稳定且无规律，但不属于冲击型排放</w:t>
                  </w:r>
                </w:p>
              </w:tc>
              <w:tc>
                <w:tcPr>
                  <w:tcW w:w="1397" w:type="dxa"/>
                  <w:vMerge w:val="continue"/>
                  <w:vAlign w:val="center"/>
                </w:tcPr>
                <w:p w14:paraId="4928A908">
                  <w:pPr>
                    <w:topLinePunct/>
                    <w:textAlignment w:val="baseline"/>
                  </w:pPr>
                </w:p>
              </w:tc>
            </w:tr>
            <w:tr w14:paraId="1131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575AB744">
                  <w:pPr>
                    <w:pStyle w:val="2"/>
                    <w:ind w:firstLine="480"/>
                  </w:pPr>
                </w:p>
              </w:tc>
              <w:tc>
                <w:tcPr>
                  <w:tcW w:w="829" w:type="dxa"/>
                  <w:vMerge w:val="continue"/>
                </w:tcPr>
                <w:p w14:paraId="4E359115">
                  <w:pPr>
                    <w:topLinePunct/>
                    <w:spacing w:line="360" w:lineRule="auto"/>
                    <w:textAlignment w:val="baseline"/>
                  </w:pPr>
                </w:p>
              </w:tc>
              <w:tc>
                <w:tcPr>
                  <w:tcW w:w="799" w:type="dxa"/>
                  <w:vAlign w:val="center"/>
                </w:tcPr>
                <w:p w14:paraId="780BBA40">
                  <w:pPr>
                    <w:topLinePunct/>
                    <w:spacing w:line="360" w:lineRule="auto"/>
                    <w:jc w:val="center"/>
                    <w:textAlignment w:val="baseline"/>
                  </w:pPr>
                  <w:r>
                    <w:rPr>
                      <w:rFonts w:hint="eastAsia"/>
                    </w:rPr>
                    <w:t>B</w:t>
                  </w:r>
                  <w:r>
                    <w:t>OD</w:t>
                  </w:r>
                </w:p>
              </w:tc>
              <w:tc>
                <w:tcPr>
                  <w:tcW w:w="1166" w:type="dxa"/>
                  <w:vMerge w:val="continue"/>
                </w:tcPr>
                <w:p w14:paraId="74F53177">
                  <w:pPr>
                    <w:topLinePunct/>
                    <w:spacing w:line="360" w:lineRule="auto"/>
                    <w:textAlignment w:val="baseline"/>
                  </w:pPr>
                </w:p>
              </w:tc>
              <w:tc>
                <w:tcPr>
                  <w:tcW w:w="1094" w:type="dxa"/>
                  <w:vMerge w:val="continue"/>
                </w:tcPr>
                <w:p w14:paraId="7D77AB1F">
                  <w:pPr>
                    <w:topLinePunct/>
                    <w:spacing w:line="360" w:lineRule="auto"/>
                    <w:textAlignment w:val="baseline"/>
                  </w:pPr>
                </w:p>
              </w:tc>
              <w:tc>
                <w:tcPr>
                  <w:tcW w:w="665" w:type="dxa"/>
                  <w:vMerge w:val="continue"/>
                </w:tcPr>
                <w:p w14:paraId="72ECBF11">
                  <w:pPr>
                    <w:topLinePunct/>
                    <w:spacing w:line="360" w:lineRule="auto"/>
                    <w:textAlignment w:val="baseline"/>
                  </w:pPr>
                </w:p>
              </w:tc>
              <w:tc>
                <w:tcPr>
                  <w:tcW w:w="1327" w:type="dxa"/>
                  <w:vMerge w:val="continue"/>
                </w:tcPr>
                <w:p w14:paraId="7F6AE449">
                  <w:pPr>
                    <w:topLinePunct/>
                    <w:spacing w:line="360" w:lineRule="auto"/>
                    <w:textAlignment w:val="baseline"/>
                  </w:pPr>
                </w:p>
              </w:tc>
              <w:tc>
                <w:tcPr>
                  <w:tcW w:w="1397" w:type="dxa"/>
                  <w:vMerge w:val="continue"/>
                </w:tcPr>
                <w:p w14:paraId="42C4C120">
                  <w:pPr>
                    <w:topLinePunct/>
                    <w:textAlignment w:val="baseline"/>
                  </w:pPr>
                </w:p>
              </w:tc>
            </w:tr>
            <w:tr w14:paraId="52F0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72A4EC86">
                  <w:pPr>
                    <w:pStyle w:val="2"/>
                    <w:ind w:firstLine="480"/>
                  </w:pPr>
                </w:p>
              </w:tc>
              <w:tc>
                <w:tcPr>
                  <w:tcW w:w="829" w:type="dxa"/>
                  <w:vMerge w:val="continue"/>
                </w:tcPr>
                <w:p w14:paraId="3C12D155">
                  <w:pPr>
                    <w:topLinePunct/>
                    <w:spacing w:line="360" w:lineRule="auto"/>
                    <w:textAlignment w:val="baseline"/>
                  </w:pPr>
                </w:p>
              </w:tc>
              <w:tc>
                <w:tcPr>
                  <w:tcW w:w="799" w:type="dxa"/>
                  <w:vAlign w:val="center"/>
                </w:tcPr>
                <w:p w14:paraId="38F57F13">
                  <w:pPr>
                    <w:topLinePunct/>
                    <w:spacing w:line="360" w:lineRule="auto"/>
                    <w:jc w:val="center"/>
                    <w:textAlignment w:val="baseline"/>
                  </w:pPr>
                  <w:r>
                    <w:rPr>
                      <w:rFonts w:hint="eastAsia"/>
                    </w:rPr>
                    <w:t>S</w:t>
                  </w:r>
                  <w:r>
                    <w:t>S</w:t>
                  </w:r>
                </w:p>
              </w:tc>
              <w:tc>
                <w:tcPr>
                  <w:tcW w:w="1166" w:type="dxa"/>
                  <w:vMerge w:val="continue"/>
                </w:tcPr>
                <w:p w14:paraId="3D18C389">
                  <w:pPr>
                    <w:topLinePunct/>
                    <w:spacing w:line="360" w:lineRule="auto"/>
                    <w:textAlignment w:val="baseline"/>
                  </w:pPr>
                </w:p>
              </w:tc>
              <w:tc>
                <w:tcPr>
                  <w:tcW w:w="1094" w:type="dxa"/>
                  <w:vMerge w:val="continue"/>
                </w:tcPr>
                <w:p w14:paraId="7A122B1E">
                  <w:pPr>
                    <w:topLinePunct/>
                    <w:spacing w:line="360" w:lineRule="auto"/>
                    <w:textAlignment w:val="baseline"/>
                  </w:pPr>
                </w:p>
              </w:tc>
              <w:tc>
                <w:tcPr>
                  <w:tcW w:w="665" w:type="dxa"/>
                  <w:vMerge w:val="continue"/>
                </w:tcPr>
                <w:p w14:paraId="260D21A0">
                  <w:pPr>
                    <w:topLinePunct/>
                    <w:spacing w:line="360" w:lineRule="auto"/>
                    <w:textAlignment w:val="baseline"/>
                  </w:pPr>
                </w:p>
              </w:tc>
              <w:tc>
                <w:tcPr>
                  <w:tcW w:w="1327" w:type="dxa"/>
                  <w:vMerge w:val="continue"/>
                </w:tcPr>
                <w:p w14:paraId="60CFB730">
                  <w:pPr>
                    <w:topLinePunct/>
                    <w:spacing w:line="360" w:lineRule="auto"/>
                    <w:textAlignment w:val="baseline"/>
                  </w:pPr>
                </w:p>
              </w:tc>
              <w:tc>
                <w:tcPr>
                  <w:tcW w:w="1397" w:type="dxa"/>
                  <w:vMerge w:val="continue"/>
                </w:tcPr>
                <w:p w14:paraId="1BB391E5">
                  <w:pPr>
                    <w:topLinePunct/>
                    <w:textAlignment w:val="baseline"/>
                  </w:pPr>
                </w:p>
              </w:tc>
            </w:tr>
            <w:tr w14:paraId="51C5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27FC0413">
                  <w:pPr>
                    <w:pStyle w:val="2"/>
                    <w:ind w:firstLine="480"/>
                  </w:pPr>
                </w:p>
              </w:tc>
              <w:tc>
                <w:tcPr>
                  <w:tcW w:w="829" w:type="dxa"/>
                  <w:vMerge w:val="continue"/>
                </w:tcPr>
                <w:p w14:paraId="0A35252C">
                  <w:pPr>
                    <w:topLinePunct/>
                    <w:spacing w:line="360" w:lineRule="auto"/>
                    <w:textAlignment w:val="baseline"/>
                  </w:pPr>
                </w:p>
              </w:tc>
              <w:tc>
                <w:tcPr>
                  <w:tcW w:w="799" w:type="dxa"/>
                  <w:vAlign w:val="center"/>
                </w:tcPr>
                <w:p w14:paraId="33DFC6EA">
                  <w:pPr>
                    <w:topLinePunct/>
                    <w:spacing w:line="360" w:lineRule="auto"/>
                    <w:jc w:val="center"/>
                    <w:textAlignment w:val="baseline"/>
                  </w:pPr>
                  <w:r>
                    <w:rPr>
                      <w:rFonts w:hint="eastAsia"/>
                    </w:rPr>
                    <w:t>氨氮</w:t>
                  </w:r>
                </w:p>
              </w:tc>
              <w:tc>
                <w:tcPr>
                  <w:tcW w:w="1166" w:type="dxa"/>
                  <w:vMerge w:val="continue"/>
                </w:tcPr>
                <w:p w14:paraId="2ADECA80">
                  <w:pPr>
                    <w:topLinePunct/>
                    <w:spacing w:line="360" w:lineRule="auto"/>
                    <w:textAlignment w:val="baseline"/>
                  </w:pPr>
                </w:p>
              </w:tc>
              <w:tc>
                <w:tcPr>
                  <w:tcW w:w="1094" w:type="dxa"/>
                  <w:vMerge w:val="continue"/>
                </w:tcPr>
                <w:p w14:paraId="400B5745">
                  <w:pPr>
                    <w:topLinePunct/>
                    <w:spacing w:line="360" w:lineRule="auto"/>
                    <w:textAlignment w:val="baseline"/>
                  </w:pPr>
                </w:p>
              </w:tc>
              <w:tc>
                <w:tcPr>
                  <w:tcW w:w="665" w:type="dxa"/>
                  <w:vMerge w:val="continue"/>
                </w:tcPr>
                <w:p w14:paraId="0E1FCE32">
                  <w:pPr>
                    <w:topLinePunct/>
                    <w:spacing w:line="360" w:lineRule="auto"/>
                    <w:textAlignment w:val="baseline"/>
                  </w:pPr>
                </w:p>
              </w:tc>
              <w:tc>
                <w:tcPr>
                  <w:tcW w:w="1327" w:type="dxa"/>
                  <w:vMerge w:val="continue"/>
                </w:tcPr>
                <w:p w14:paraId="753600F8">
                  <w:pPr>
                    <w:topLinePunct/>
                    <w:spacing w:line="360" w:lineRule="auto"/>
                    <w:textAlignment w:val="baseline"/>
                  </w:pPr>
                </w:p>
              </w:tc>
              <w:tc>
                <w:tcPr>
                  <w:tcW w:w="1397" w:type="dxa"/>
                  <w:vMerge w:val="continue"/>
                </w:tcPr>
                <w:p w14:paraId="33D01BC3">
                  <w:pPr>
                    <w:topLinePunct/>
                    <w:textAlignment w:val="baseline"/>
                  </w:pPr>
                </w:p>
              </w:tc>
            </w:tr>
            <w:tr w14:paraId="5A5E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14C930CA">
                  <w:pPr>
                    <w:pStyle w:val="2"/>
                    <w:ind w:firstLine="480"/>
                  </w:pPr>
                </w:p>
              </w:tc>
              <w:tc>
                <w:tcPr>
                  <w:tcW w:w="829" w:type="dxa"/>
                  <w:vMerge w:val="continue"/>
                </w:tcPr>
                <w:p w14:paraId="05616F15">
                  <w:pPr>
                    <w:topLinePunct/>
                    <w:spacing w:line="360" w:lineRule="auto"/>
                    <w:textAlignment w:val="baseline"/>
                  </w:pPr>
                </w:p>
              </w:tc>
              <w:tc>
                <w:tcPr>
                  <w:tcW w:w="799" w:type="dxa"/>
                  <w:vAlign w:val="center"/>
                </w:tcPr>
                <w:p w14:paraId="05EF26DD">
                  <w:pPr>
                    <w:topLinePunct/>
                    <w:spacing w:line="360" w:lineRule="auto"/>
                    <w:jc w:val="center"/>
                    <w:textAlignment w:val="baseline"/>
                  </w:pPr>
                  <w:r>
                    <w:rPr>
                      <w:rFonts w:hint="eastAsia"/>
                    </w:rPr>
                    <w:t>TP</w:t>
                  </w:r>
                </w:p>
              </w:tc>
              <w:tc>
                <w:tcPr>
                  <w:tcW w:w="1166" w:type="dxa"/>
                  <w:vMerge w:val="continue"/>
                </w:tcPr>
                <w:p w14:paraId="42B2A289">
                  <w:pPr>
                    <w:topLinePunct/>
                    <w:spacing w:line="360" w:lineRule="auto"/>
                    <w:textAlignment w:val="baseline"/>
                  </w:pPr>
                </w:p>
              </w:tc>
              <w:tc>
                <w:tcPr>
                  <w:tcW w:w="1094" w:type="dxa"/>
                  <w:vMerge w:val="continue"/>
                </w:tcPr>
                <w:p w14:paraId="5A1228BA">
                  <w:pPr>
                    <w:topLinePunct/>
                    <w:spacing w:line="360" w:lineRule="auto"/>
                    <w:textAlignment w:val="baseline"/>
                  </w:pPr>
                </w:p>
              </w:tc>
              <w:tc>
                <w:tcPr>
                  <w:tcW w:w="665" w:type="dxa"/>
                  <w:vMerge w:val="continue"/>
                </w:tcPr>
                <w:p w14:paraId="05B141F0">
                  <w:pPr>
                    <w:topLinePunct/>
                    <w:spacing w:line="360" w:lineRule="auto"/>
                    <w:textAlignment w:val="baseline"/>
                  </w:pPr>
                </w:p>
              </w:tc>
              <w:tc>
                <w:tcPr>
                  <w:tcW w:w="1327" w:type="dxa"/>
                  <w:vMerge w:val="continue"/>
                </w:tcPr>
                <w:p w14:paraId="7C3B49E8">
                  <w:pPr>
                    <w:topLinePunct/>
                    <w:spacing w:line="360" w:lineRule="auto"/>
                    <w:textAlignment w:val="baseline"/>
                  </w:pPr>
                </w:p>
              </w:tc>
              <w:tc>
                <w:tcPr>
                  <w:tcW w:w="1397" w:type="dxa"/>
                  <w:vMerge w:val="continue"/>
                </w:tcPr>
                <w:p w14:paraId="098F528E">
                  <w:pPr>
                    <w:topLinePunct/>
                    <w:textAlignment w:val="baseline"/>
                  </w:pPr>
                </w:p>
              </w:tc>
            </w:tr>
            <w:tr w14:paraId="5277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26D3FBAD">
                  <w:pPr>
                    <w:pStyle w:val="2"/>
                    <w:ind w:firstLine="480"/>
                  </w:pPr>
                </w:p>
              </w:tc>
              <w:tc>
                <w:tcPr>
                  <w:tcW w:w="829" w:type="dxa"/>
                  <w:vMerge w:val="continue"/>
                </w:tcPr>
                <w:p w14:paraId="2D6AF59D">
                  <w:pPr>
                    <w:topLinePunct/>
                    <w:spacing w:line="360" w:lineRule="auto"/>
                    <w:textAlignment w:val="baseline"/>
                  </w:pPr>
                </w:p>
              </w:tc>
              <w:tc>
                <w:tcPr>
                  <w:tcW w:w="799" w:type="dxa"/>
                  <w:vAlign w:val="center"/>
                </w:tcPr>
                <w:p w14:paraId="7B5D52BC">
                  <w:pPr>
                    <w:topLinePunct/>
                    <w:spacing w:line="360" w:lineRule="auto"/>
                    <w:jc w:val="center"/>
                    <w:textAlignment w:val="baseline"/>
                  </w:pPr>
                  <w:r>
                    <w:rPr>
                      <w:rFonts w:hint="eastAsia"/>
                    </w:rPr>
                    <w:t>TN</w:t>
                  </w:r>
                </w:p>
              </w:tc>
              <w:tc>
                <w:tcPr>
                  <w:tcW w:w="1166" w:type="dxa"/>
                  <w:vMerge w:val="continue"/>
                </w:tcPr>
                <w:p w14:paraId="463BFA2C">
                  <w:pPr>
                    <w:topLinePunct/>
                    <w:spacing w:line="360" w:lineRule="auto"/>
                    <w:textAlignment w:val="baseline"/>
                  </w:pPr>
                </w:p>
              </w:tc>
              <w:tc>
                <w:tcPr>
                  <w:tcW w:w="1094" w:type="dxa"/>
                  <w:vMerge w:val="continue"/>
                </w:tcPr>
                <w:p w14:paraId="05F937D7">
                  <w:pPr>
                    <w:topLinePunct/>
                    <w:spacing w:line="360" w:lineRule="auto"/>
                    <w:textAlignment w:val="baseline"/>
                  </w:pPr>
                </w:p>
              </w:tc>
              <w:tc>
                <w:tcPr>
                  <w:tcW w:w="665" w:type="dxa"/>
                  <w:vMerge w:val="continue"/>
                </w:tcPr>
                <w:p w14:paraId="44DFDC04">
                  <w:pPr>
                    <w:topLinePunct/>
                    <w:spacing w:line="360" w:lineRule="auto"/>
                    <w:textAlignment w:val="baseline"/>
                  </w:pPr>
                </w:p>
              </w:tc>
              <w:tc>
                <w:tcPr>
                  <w:tcW w:w="1327" w:type="dxa"/>
                  <w:vMerge w:val="continue"/>
                </w:tcPr>
                <w:p w14:paraId="5B086609">
                  <w:pPr>
                    <w:topLinePunct/>
                    <w:spacing w:line="360" w:lineRule="auto"/>
                    <w:textAlignment w:val="baseline"/>
                  </w:pPr>
                </w:p>
              </w:tc>
              <w:tc>
                <w:tcPr>
                  <w:tcW w:w="1397" w:type="dxa"/>
                  <w:vMerge w:val="continue"/>
                </w:tcPr>
                <w:p w14:paraId="6C3F4647">
                  <w:pPr>
                    <w:topLinePunct/>
                    <w:textAlignment w:val="baseline"/>
                  </w:pPr>
                </w:p>
              </w:tc>
            </w:tr>
            <w:tr w14:paraId="05A1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9" w:type="dxa"/>
                  <w:vMerge w:val="continue"/>
                </w:tcPr>
                <w:p w14:paraId="2F27EC3A">
                  <w:pPr>
                    <w:topLinePunct/>
                    <w:textAlignment w:val="baseline"/>
                  </w:pPr>
                </w:p>
              </w:tc>
              <w:tc>
                <w:tcPr>
                  <w:tcW w:w="829" w:type="dxa"/>
                  <w:vMerge w:val="continue"/>
                </w:tcPr>
                <w:p w14:paraId="299E49C2">
                  <w:pPr>
                    <w:topLinePunct/>
                    <w:spacing w:line="360" w:lineRule="auto"/>
                    <w:textAlignment w:val="baseline"/>
                  </w:pPr>
                </w:p>
              </w:tc>
              <w:tc>
                <w:tcPr>
                  <w:tcW w:w="799" w:type="dxa"/>
                  <w:vAlign w:val="center"/>
                </w:tcPr>
                <w:p w14:paraId="38806567">
                  <w:pPr>
                    <w:topLinePunct/>
                    <w:spacing w:line="360" w:lineRule="auto"/>
                    <w:jc w:val="center"/>
                    <w:textAlignment w:val="baseline"/>
                  </w:pPr>
                  <w:r>
                    <w:rPr>
                      <w:rFonts w:hint="eastAsia"/>
                    </w:rPr>
                    <w:t>LAS</w:t>
                  </w:r>
                </w:p>
              </w:tc>
              <w:tc>
                <w:tcPr>
                  <w:tcW w:w="1166" w:type="dxa"/>
                  <w:vMerge w:val="continue"/>
                </w:tcPr>
                <w:p w14:paraId="30BEF6A9">
                  <w:pPr>
                    <w:topLinePunct/>
                    <w:spacing w:line="360" w:lineRule="auto"/>
                    <w:textAlignment w:val="baseline"/>
                  </w:pPr>
                </w:p>
              </w:tc>
              <w:tc>
                <w:tcPr>
                  <w:tcW w:w="1094" w:type="dxa"/>
                  <w:vMerge w:val="continue"/>
                </w:tcPr>
                <w:p w14:paraId="29098DDC">
                  <w:pPr>
                    <w:topLinePunct/>
                    <w:spacing w:line="360" w:lineRule="auto"/>
                    <w:textAlignment w:val="baseline"/>
                  </w:pPr>
                </w:p>
              </w:tc>
              <w:tc>
                <w:tcPr>
                  <w:tcW w:w="665" w:type="dxa"/>
                  <w:vMerge w:val="continue"/>
                </w:tcPr>
                <w:p w14:paraId="6E93E9F1">
                  <w:pPr>
                    <w:topLinePunct/>
                    <w:spacing w:line="360" w:lineRule="auto"/>
                    <w:textAlignment w:val="baseline"/>
                  </w:pPr>
                </w:p>
              </w:tc>
              <w:tc>
                <w:tcPr>
                  <w:tcW w:w="1327" w:type="dxa"/>
                  <w:vMerge w:val="continue"/>
                </w:tcPr>
                <w:p w14:paraId="3B82A528">
                  <w:pPr>
                    <w:topLinePunct/>
                    <w:spacing w:line="360" w:lineRule="auto"/>
                    <w:textAlignment w:val="baseline"/>
                  </w:pPr>
                </w:p>
              </w:tc>
              <w:tc>
                <w:tcPr>
                  <w:tcW w:w="1397" w:type="dxa"/>
                  <w:vMerge w:val="continue"/>
                </w:tcPr>
                <w:p w14:paraId="1E06CADF">
                  <w:pPr>
                    <w:topLinePunct/>
                    <w:textAlignment w:val="baseline"/>
                  </w:pPr>
                </w:p>
              </w:tc>
            </w:tr>
          </w:tbl>
          <w:p w14:paraId="2974E226">
            <w:pPr>
              <w:pStyle w:val="63"/>
              <w:spacing w:line="240" w:lineRule="auto"/>
              <w:ind w:firstLine="422"/>
              <w:rPr>
                <w:b/>
                <w:bCs/>
                <w:sz w:val="21"/>
                <w:szCs w:val="21"/>
              </w:rPr>
            </w:pPr>
          </w:p>
          <w:p w14:paraId="2A585BB7">
            <w:pPr>
              <w:pStyle w:val="63"/>
              <w:spacing w:line="240" w:lineRule="auto"/>
              <w:ind w:firstLine="422"/>
              <w:rPr>
                <w:b/>
                <w:bCs/>
                <w:sz w:val="21"/>
                <w:szCs w:val="21"/>
              </w:rPr>
            </w:pPr>
          </w:p>
          <w:p w14:paraId="32EFADDE">
            <w:pPr>
              <w:adjustRightInd w:val="0"/>
              <w:snapToGrid w:val="0"/>
              <w:spacing w:line="360" w:lineRule="auto"/>
              <w:rPr>
                <w:b/>
                <w:spacing w:val="-10"/>
                <w:sz w:val="24"/>
              </w:rPr>
            </w:pPr>
            <w:r>
              <w:rPr>
                <w:rFonts w:hint="eastAsia"/>
                <w:b/>
                <w:spacing w:val="-10"/>
                <w:sz w:val="24"/>
              </w:rPr>
              <w:t>2.5</w:t>
            </w:r>
            <w:r>
              <w:rPr>
                <w:b/>
                <w:spacing w:val="-10"/>
                <w:sz w:val="24"/>
              </w:rPr>
              <w:t xml:space="preserve"> </w:t>
            </w:r>
            <w:r>
              <w:rPr>
                <w:rFonts w:hint="eastAsia"/>
                <w:b/>
                <w:spacing w:val="-10"/>
                <w:sz w:val="24"/>
              </w:rPr>
              <w:t>监测要求</w:t>
            </w:r>
          </w:p>
          <w:p w14:paraId="4AAC1BEE">
            <w:pPr>
              <w:pStyle w:val="32"/>
              <w:spacing w:line="360" w:lineRule="auto"/>
              <w:ind w:firstLine="480" w:firstLineChars="200"/>
              <w:rPr>
                <w:rFonts w:ascii="Times New Roman" w:cs="Times New Roman"/>
                <w:shd w:val="clear" w:color="auto" w:fill="FFFFFF"/>
              </w:rPr>
            </w:pPr>
            <w:r>
              <w:rPr>
                <w:rFonts w:ascii="Times New Roman" w:cs="Times New Roman"/>
                <w:shd w:val="clear" w:color="auto" w:fill="FFFFFF"/>
              </w:rPr>
              <w:t>依据《排污单位自行监测技术指南 总则》(HJ819-2017)和本项目废水排放情况，</w:t>
            </w:r>
            <w:r>
              <w:rPr>
                <w:shd w:val="clear" w:color="auto" w:fill="FFFFFF"/>
              </w:rPr>
              <w:t>各监测点位、监测因子、监测频次见下表</w:t>
            </w:r>
            <w:r>
              <w:t>：</w:t>
            </w:r>
          </w:p>
          <w:p w14:paraId="3047F5E1">
            <w:pPr>
              <w:pStyle w:val="4"/>
              <w:jc w:val="center"/>
              <w:rPr>
                <w:rFonts w:eastAsia="宋体"/>
                <w:color w:val="auto"/>
                <w:kern w:val="2"/>
                <w:sz w:val="21"/>
                <w:szCs w:val="24"/>
              </w:rPr>
            </w:pPr>
            <w:r>
              <w:rPr>
                <w:rFonts w:hint="eastAsia" w:eastAsia="宋体"/>
                <w:color w:val="auto"/>
                <w:kern w:val="2"/>
                <w:sz w:val="21"/>
                <w:szCs w:val="24"/>
              </w:rPr>
              <w:t>表</w:t>
            </w:r>
            <w:r>
              <w:rPr>
                <w:rFonts w:eastAsia="宋体"/>
                <w:color w:val="auto"/>
                <w:kern w:val="2"/>
                <w:sz w:val="21"/>
                <w:szCs w:val="24"/>
              </w:rPr>
              <w:t>4-</w:t>
            </w:r>
            <w:r>
              <w:rPr>
                <w:rFonts w:hint="eastAsia" w:eastAsia="宋体"/>
                <w:color w:val="auto"/>
                <w:kern w:val="2"/>
                <w:sz w:val="21"/>
                <w:szCs w:val="24"/>
              </w:rPr>
              <w:t xml:space="preserve">14 </w:t>
            </w:r>
            <w:r>
              <w:rPr>
                <w:rFonts w:eastAsia="宋体"/>
                <w:color w:val="auto"/>
                <w:kern w:val="2"/>
                <w:sz w:val="21"/>
                <w:szCs w:val="24"/>
              </w:rPr>
              <w:t>环境监测计划表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624"/>
              <w:gridCol w:w="1125"/>
              <w:gridCol w:w="2759"/>
            </w:tblGrid>
            <w:tr w14:paraId="60BE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3" w:type="dxa"/>
                </w:tcPr>
                <w:p w14:paraId="53B07F78">
                  <w:pPr>
                    <w:topLinePunct/>
                    <w:spacing w:line="360" w:lineRule="auto"/>
                    <w:jc w:val="center"/>
                    <w:textAlignment w:val="baseline"/>
                  </w:pPr>
                  <w:r>
                    <w:t>监测点位</w:t>
                  </w:r>
                </w:p>
              </w:tc>
              <w:tc>
                <w:tcPr>
                  <w:tcW w:w="2624" w:type="dxa"/>
                </w:tcPr>
                <w:p w14:paraId="35170A6B">
                  <w:pPr>
                    <w:topLinePunct/>
                    <w:spacing w:line="360" w:lineRule="auto"/>
                    <w:jc w:val="center"/>
                    <w:textAlignment w:val="baseline"/>
                  </w:pPr>
                  <w:r>
                    <w:t>监测指标</w:t>
                  </w:r>
                </w:p>
              </w:tc>
              <w:tc>
                <w:tcPr>
                  <w:tcW w:w="1125" w:type="dxa"/>
                </w:tcPr>
                <w:p w14:paraId="4FF76CF5">
                  <w:pPr>
                    <w:topLinePunct/>
                    <w:spacing w:line="360" w:lineRule="auto"/>
                    <w:jc w:val="center"/>
                    <w:textAlignment w:val="baseline"/>
                  </w:pPr>
                  <w:r>
                    <w:t>监测频率</w:t>
                  </w:r>
                </w:p>
              </w:tc>
              <w:tc>
                <w:tcPr>
                  <w:tcW w:w="2759" w:type="dxa"/>
                </w:tcPr>
                <w:p w14:paraId="621BD4C9">
                  <w:pPr>
                    <w:topLinePunct/>
                    <w:spacing w:line="360" w:lineRule="auto"/>
                    <w:jc w:val="center"/>
                    <w:textAlignment w:val="baseline"/>
                  </w:pPr>
                  <w:r>
                    <w:t>执行排放标准</w:t>
                  </w:r>
                </w:p>
              </w:tc>
            </w:tr>
            <w:tr w14:paraId="59C9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3" w:type="dxa"/>
                  <w:vAlign w:val="center"/>
                </w:tcPr>
                <w:p w14:paraId="1A33B2E1">
                  <w:pPr>
                    <w:topLinePunc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r>
                    <w:rPr>
                      <w:color w:val="000000" w:themeColor="text1"/>
                      <w14:textFill>
                        <w14:solidFill>
                          <w14:schemeClr w14:val="tx1"/>
                        </w14:solidFill>
                      </w14:textFill>
                    </w:rPr>
                    <w:t>排口 （DW001）</w:t>
                  </w:r>
                </w:p>
              </w:tc>
              <w:tc>
                <w:tcPr>
                  <w:tcW w:w="2624" w:type="dxa"/>
                  <w:vAlign w:val="center"/>
                </w:tcPr>
                <w:p w14:paraId="4C623150">
                  <w:pPr>
                    <w:topLinePunct/>
                    <w:jc w:val="center"/>
                    <w:textAlignment w:val="baseline"/>
                    <w:rPr>
                      <w:color w:val="FF0000"/>
                    </w:rPr>
                  </w:pPr>
                  <w:r>
                    <w:rPr>
                      <w:color w:val="000000" w:themeColor="text1"/>
                      <w14:textFill>
                        <w14:solidFill>
                          <w14:schemeClr w14:val="tx1"/>
                        </w14:solidFill>
                      </w14:textFill>
                    </w:rPr>
                    <w:t>pH、COD、BOD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、SS、氨氮</w:t>
                  </w:r>
                </w:p>
              </w:tc>
              <w:tc>
                <w:tcPr>
                  <w:tcW w:w="1125" w:type="dxa"/>
                  <w:vAlign w:val="center"/>
                </w:tcPr>
                <w:p w14:paraId="6E0AA027">
                  <w:pPr>
                    <w:topLinePunct/>
                    <w:spacing w:line="360" w:lineRule="auto"/>
                    <w:textAlignment w:val="baseline"/>
                    <w:rPr>
                      <w:color w:val="FF0000"/>
                    </w:rPr>
                  </w:pPr>
                  <w:r>
                    <w:rPr>
                      <w:rFonts w:hint="eastAsia"/>
                      <w:color w:val="FF0000"/>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1次/年</w:t>
                  </w:r>
                </w:p>
              </w:tc>
              <w:tc>
                <w:tcPr>
                  <w:tcW w:w="2759" w:type="dxa"/>
                  <w:vMerge w:val="restart"/>
                  <w:vAlign w:val="center"/>
                </w:tcPr>
                <w:p w14:paraId="28AEED0F">
                  <w:pPr>
                    <w:topLinePunct/>
                    <w:jc w:val="center"/>
                    <w:textAlignment w:val="baseline"/>
                    <w:rPr>
                      <w:color w:val="000000" w:themeColor="text1"/>
                      <w14:textFill>
                        <w14:solidFill>
                          <w14:schemeClr w14:val="tx1"/>
                        </w14:solidFill>
                      </w14:textFill>
                    </w:rPr>
                  </w:pPr>
                  <w:r>
                    <w:rPr>
                      <w:rFonts w:hint="eastAsia"/>
                    </w:rPr>
                    <w:t>《污水综合排放标准》（GB8978-1996）表4三级标准；</w:t>
                  </w:r>
                  <w:r>
                    <w:t>《城镇污水处理厂污染物排放标准》（GB18918-2002）一级</w:t>
                  </w:r>
                  <w:r>
                    <w:rPr>
                      <w:rFonts w:hint="eastAsia"/>
                    </w:rPr>
                    <w:t>B</w:t>
                  </w:r>
                  <w:r>
                    <w:t>标准</w:t>
                  </w:r>
                </w:p>
              </w:tc>
            </w:tr>
            <w:tr w14:paraId="2B9B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3" w:type="dxa"/>
                  <w:vAlign w:val="center"/>
                </w:tcPr>
                <w:p w14:paraId="49E3B291">
                  <w:pPr>
                    <w:topLinePunc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生产废水排放口</w:t>
                  </w:r>
                  <w:r>
                    <w:rPr>
                      <w:color w:val="000000" w:themeColor="text1"/>
                      <w14:textFill>
                        <w14:solidFill>
                          <w14:schemeClr w14:val="tx1"/>
                        </w14:solidFill>
                      </w14:textFill>
                    </w:rPr>
                    <w:t>（DW00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p>
              </w:tc>
              <w:tc>
                <w:tcPr>
                  <w:tcW w:w="2624" w:type="dxa"/>
                  <w:vAlign w:val="center"/>
                </w:tcPr>
                <w:p w14:paraId="3F4635D3">
                  <w:pPr>
                    <w:topLinePunct/>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pH、COD、BOD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、SS、氨氮、</w:t>
                  </w:r>
                  <w:r>
                    <w:rPr>
                      <w:rFonts w:hint="eastAsia"/>
                      <w:color w:val="000000" w:themeColor="text1"/>
                      <w14:textFill>
                        <w14:solidFill>
                          <w14:schemeClr w14:val="tx1"/>
                        </w14:solidFill>
                      </w14:textFill>
                    </w:rPr>
                    <w:t>TP、T</w:t>
                  </w:r>
                  <w:r>
                    <w:rPr>
                      <w:color w:val="000000" w:themeColor="text1"/>
                      <w14:textFill>
                        <w14:solidFill>
                          <w14:schemeClr w14:val="tx1"/>
                        </w14:solidFill>
                      </w14:textFill>
                    </w:rPr>
                    <w:t>N</w:t>
                  </w:r>
                  <w:r>
                    <w:rPr>
                      <w:rFonts w:hint="eastAsia"/>
                      <w:color w:val="000000" w:themeColor="text1"/>
                      <w14:textFill>
                        <w14:solidFill>
                          <w14:schemeClr w14:val="tx1"/>
                        </w14:solidFill>
                      </w14:textFill>
                    </w:rPr>
                    <w:t>、LAS</w:t>
                  </w:r>
                </w:p>
              </w:tc>
              <w:tc>
                <w:tcPr>
                  <w:tcW w:w="1125" w:type="dxa"/>
                  <w:vAlign w:val="center"/>
                </w:tcPr>
                <w:p w14:paraId="038BAEA1">
                  <w:pPr>
                    <w:topLinePunct/>
                    <w:spacing w:line="360" w:lineRule="auto"/>
                    <w:textAlignment w:val="baseline"/>
                    <w:rPr>
                      <w:color w:val="FF0000"/>
                    </w:rPr>
                  </w:pPr>
                  <w:r>
                    <w:rPr>
                      <w:rFonts w:hint="eastAsia"/>
                      <w:color w:val="FF0000"/>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1次/年</w:t>
                  </w:r>
                </w:p>
              </w:tc>
              <w:tc>
                <w:tcPr>
                  <w:tcW w:w="2759" w:type="dxa"/>
                  <w:vMerge w:val="continue"/>
                  <w:vAlign w:val="center"/>
                </w:tcPr>
                <w:p w14:paraId="20B71B33">
                  <w:pPr>
                    <w:topLinePunct/>
                    <w:jc w:val="center"/>
                    <w:textAlignment w:val="baseline"/>
                  </w:pPr>
                </w:p>
              </w:tc>
            </w:tr>
          </w:tbl>
          <w:p w14:paraId="2DA50F48"/>
          <w:p w14:paraId="4C42F436"/>
          <w:p w14:paraId="3E7EB4E1">
            <w:pPr>
              <w:topLinePunct/>
              <w:spacing w:line="360" w:lineRule="auto"/>
              <w:textAlignment w:val="baseline"/>
              <w:rPr>
                <w:b/>
                <w:bCs/>
                <w:sz w:val="24"/>
              </w:rPr>
            </w:pPr>
            <w:r>
              <w:rPr>
                <w:b/>
                <w:bCs/>
                <w:sz w:val="24"/>
              </w:rPr>
              <w:t>2.</w:t>
            </w:r>
            <w:r>
              <w:rPr>
                <w:rFonts w:hint="eastAsia"/>
                <w:b/>
                <w:bCs/>
                <w:sz w:val="24"/>
              </w:rPr>
              <w:t>6</w:t>
            </w:r>
            <w:r>
              <w:rPr>
                <w:b/>
                <w:bCs/>
                <w:sz w:val="24"/>
              </w:rPr>
              <w:t xml:space="preserve">水环境影响评价结论 </w:t>
            </w:r>
          </w:p>
          <w:p w14:paraId="1DEDF1E9">
            <w:pPr>
              <w:topLinePunct/>
              <w:spacing w:line="360" w:lineRule="auto"/>
              <w:ind w:firstLine="480" w:firstLineChars="200"/>
              <w:textAlignment w:val="baseline"/>
              <w:rPr>
                <w:bCs/>
                <w:color w:val="000000"/>
                <w:sz w:val="24"/>
              </w:rPr>
            </w:pPr>
            <w:r>
              <w:rPr>
                <w:sz w:val="24"/>
              </w:rPr>
              <w:t>本项目</w:t>
            </w:r>
            <w:r>
              <w:rPr>
                <w:rFonts w:hint="eastAsia"/>
                <w:sz w:val="24"/>
              </w:rPr>
              <w:t>生产废水经沉淀池预处理后排入衡山国祯水处理有限公司，</w:t>
            </w:r>
            <w:r>
              <w:rPr>
                <w:sz w:val="24"/>
              </w:rPr>
              <w:t>生活污水经化粪池</w:t>
            </w:r>
            <w:r>
              <w:rPr>
                <w:rFonts w:hint="eastAsia"/>
                <w:sz w:val="24"/>
              </w:rPr>
              <w:t>预</w:t>
            </w:r>
            <w:r>
              <w:rPr>
                <w:sz w:val="24"/>
              </w:rPr>
              <w:t>处理</w:t>
            </w:r>
            <w:r>
              <w:rPr>
                <w:rFonts w:hint="eastAsia"/>
                <w:sz w:val="24"/>
              </w:rPr>
              <w:t>后衡山国祯水处理有限公司</w:t>
            </w:r>
            <w:r>
              <w:rPr>
                <w:rFonts w:hint="eastAsia"/>
                <w:snapToGrid w:val="0"/>
                <w:sz w:val="24"/>
              </w:rPr>
              <w:t>。</w:t>
            </w:r>
          </w:p>
          <w:p w14:paraId="4C6626C6">
            <w:pPr>
              <w:topLinePunct/>
              <w:spacing w:line="360" w:lineRule="auto"/>
              <w:ind w:firstLine="480" w:firstLineChars="200"/>
              <w:textAlignment w:val="baseline"/>
              <w:rPr>
                <w:sz w:val="24"/>
              </w:rPr>
            </w:pPr>
            <w:r>
              <w:rPr>
                <w:sz w:val="24"/>
              </w:rPr>
              <w:t>因此，项目建设完成若能有效落实以上措施，项目产生的污水不会对周围水环境造成明显的影响。</w:t>
            </w:r>
          </w:p>
          <w:p w14:paraId="35ACBA95"/>
          <w:p w14:paraId="544B29F7">
            <w:pPr>
              <w:adjustRightInd w:val="0"/>
              <w:snapToGrid w:val="0"/>
              <w:spacing w:line="360" w:lineRule="auto"/>
              <w:rPr>
                <w:bCs/>
                <w:spacing w:val="-10"/>
                <w:sz w:val="24"/>
              </w:rPr>
            </w:pPr>
            <w:r>
              <w:rPr>
                <w:rFonts w:hint="eastAsia"/>
                <w:b/>
                <w:spacing w:val="-10"/>
                <w:sz w:val="24"/>
              </w:rPr>
              <w:t>3、噪声</w:t>
            </w:r>
          </w:p>
          <w:p w14:paraId="5919733C">
            <w:pPr>
              <w:spacing w:line="360" w:lineRule="auto"/>
              <w:rPr>
                <w:b/>
                <w:bCs/>
                <w:sz w:val="24"/>
              </w:rPr>
            </w:pPr>
            <w:r>
              <w:rPr>
                <w:rFonts w:hint="eastAsia"/>
                <w:b/>
                <w:bCs/>
                <w:sz w:val="24"/>
              </w:rPr>
              <w:t>3</w:t>
            </w:r>
            <w:r>
              <w:rPr>
                <w:b/>
                <w:bCs/>
                <w:sz w:val="24"/>
              </w:rPr>
              <w:t>.1项目噪声源及降噪措施分析</w:t>
            </w:r>
          </w:p>
          <w:p w14:paraId="4066AA1A">
            <w:pPr>
              <w:spacing w:line="360" w:lineRule="auto"/>
              <w:ind w:firstLine="480" w:firstLineChars="200"/>
              <w:jc w:val="left"/>
              <w:rPr>
                <w:bCs/>
                <w:color w:val="FF0000"/>
                <w:sz w:val="24"/>
              </w:rPr>
            </w:pPr>
            <w:r>
              <w:rPr>
                <w:bCs/>
                <w:color w:val="000000" w:themeColor="text1"/>
                <w:sz w:val="24"/>
                <w14:textFill>
                  <w14:solidFill>
                    <w14:schemeClr w14:val="tx1"/>
                  </w14:solidFill>
                </w14:textFill>
              </w:rPr>
              <w:t>本项目噪声源主要为</w:t>
            </w:r>
            <w:r>
              <w:rPr>
                <w:rFonts w:hint="eastAsia"/>
                <w:bCs/>
                <w:color w:val="000000" w:themeColor="text1"/>
                <w:sz w:val="24"/>
                <w14:textFill>
                  <w14:solidFill>
                    <w14:schemeClr w14:val="tx1"/>
                  </w14:solidFill>
                </w14:textFill>
              </w:rPr>
              <w:t>蒸汽发生器、洗衣机、</w:t>
            </w:r>
            <w:r>
              <w:rPr>
                <w:bCs/>
                <w:color w:val="000000" w:themeColor="text1"/>
                <w:sz w:val="24"/>
                <w14:textFill>
                  <w14:solidFill>
                    <w14:schemeClr w14:val="tx1"/>
                  </w14:solidFill>
                </w14:textFill>
              </w:rPr>
              <w:t>平烫折叠机</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风机等设备运行的机械噪声</w:t>
            </w:r>
            <w:r>
              <w:rPr>
                <w:rFonts w:hint="eastAsia"/>
                <w:bCs/>
                <w:color w:val="000000" w:themeColor="text1"/>
                <w:sz w:val="24"/>
                <w14:textFill>
                  <w14:solidFill>
                    <w14:schemeClr w14:val="tx1"/>
                  </w14:solidFill>
                </w14:textFill>
              </w:rPr>
              <w:t>，类比同类型设备噪声</w:t>
            </w:r>
            <w:r>
              <w:rPr>
                <w:bCs/>
                <w:color w:val="000000" w:themeColor="text1"/>
                <w:sz w:val="24"/>
                <w14:textFill>
                  <w14:solidFill>
                    <w14:schemeClr w14:val="tx1"/>
                  </w14:solidFill>
                </w14:textFill>
              </w:rPr>
              <w:t>源强为70～8</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dB（A）。</w:t>
            </w:r>
          </w:p>
          <w:p w14:paraId="3D98711A">
            <w:pPr>
              <w:spacing w:line="360" w:lineRule="auto"/>
              <w:ind w:firstLine="480" w:firstLineChars="200"/>
              <w:jc w:val="left"/>
              <w:rPr>
                <w:bCs/>
                <w:sz w:val="24"/>
              </w:rPr>
            </w:pPr>
            <w:r>
              <w:rPr>
                <w:bCs/>
                <w:sz w:val="24"/>
              </w:rPr>
              <w:t>本评价要求项目设备选型时选用低噪声设备，且设备全部设置在室内，经分别采取基础减振、厂房隔声措施后降噪效果可达15~20dB（A）。项目运行期主要噪声源强及治理效果见下表。其噪声源强及治理措施见表4-1</w:t>
            </w:r>
            <w:r>
              <w:rPr>
                <w:rFonts w:hint="eastAsia"/>
                <w:bCs/>
                <w:sz w:val="24"/>
              </w:rPr>
              <w:t>5</w:t>
            </w:r>
            <w:r>
              <w:rPr>
                <w:bCs/>
                <w:sz w:val="24"/>
              </w:rPr>
              <w:t>。</w:t>
            </w:r>
          </w:p>
          <w:p w14:paraId="1C37BB21">
            <w:pPr>
              <w:jc w:val="center"/>
              <w:rPr>
                <w:b/>
                <w:color w:val="000000"/>
                <w:szCs w:val="21"/>
              </w:rPr>
            </w:pPr>
            <w:r>
              <w:rPr>
                <w:b/>
                <w:color w:val="000000"/>
                <w:szCs w:val="21"/>
              </w:rPr>
              <w:t>表4-1</w:t>
            </w:r>
            <w:r>
              <w:rPr>
                <w:rFonts w:hint="eastAsia"/>
                <w:b/>
                <w:color w:val="000000"/>
                <w:szCs w:val="21"/>
              </w:rPr>
              <w:t>5</w:t>
            </w:r>
            <w:r>
              <w:rPr>
                <w:b/>
                <w:color w:val="000000"/>
                <w:szCs w:val="21"/>
              </w:rPr>
              <w:t xml:space="preserve"> 项目主要设备及噪声源强一览表</w:t>
            </w:r>
            <w:r>
              <w:rPr>
                <w:rFonts w:hint="eastAsia"/>
                <w:b/>
                <w:color w:val="000000"/>
                <w:szCs w:val="21"/>
              </w:rPr>
              <w:t>（室内）</w:t>
            </w:r>
          </w:p>
          <w:tbl>
            <w:tblPr>
              <w:tblStyle w:val="26"/>
              <w:tblW w:w="7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
              <w:gridCol w:w="533"/>
              <w:gridCol w:w="537"/>
              <w:gridCol w:w="443"/>
              <w:gridCol w:w="514"/>
              <w:gridCol w:w="443"/>
              <w:gridCol w:w="443"/>
              <w:gridCol w:w="460"/>
              <w:gridCol w:w="464"/>
              <w:gridCol w:w="460"/>
              <w:gridCol w:w="460"/>
              <w:gridCol w:w="443"/>
              <w:gridCol w:w="667"/>
              <w:gridCol w:w="667"/>
              <w:gridCol w:w="534"/>
            </w:tblGrid>
            <w:tr w14:paraId="3477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325" w:type="dxa"/>
                  <w:vMerge w:val="restart"/>
                  <w:vAlign w:val="center"/>
                </w:tcPr>
                <w:p w14:paraId="21129BCF">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533" w:type="dxa"/>
                  <w:vMerge w:val="restart"/>
                  <w:vAlign w:val="center"/>
                </w:tcPr>
                <w:p w14:paraId="61F01E3A">
                  <w:pPr>
                    <w:adjustRightInd w:val="0"/>
                    <w:snapToGrid w:val="0"/>
                    <w:jc w:val="center"/>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建筑物名称</w:t>
                  </w:r>
                </w:p>
              </w:tc>
              <w:tc>
                <w:tcPr>
                  <w:tcW w:w="537" w:type="dxa"/>
                  <w:vMerge w:val="restart"/>
                  <w:vAlign w:val="center"/>
                </w:tcPr>
                <w:p w14:paraId="53C48297">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声源名称</w:t>
                  </w:r>
                </w:p>
              </w:tc>
              <w:tc>
                <w:tcPr>
                  <w:tcW w:w="443" w:type="dxa"/>
                  <w:vMerge w:val="restart"/>
                  <w:vAlign w:val="center"/>
                </w:tcPr>
                <w:p w14:paraId="34D2CDCC">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型号</w:t>
                  </w:r>
                </w:p>
              </w:tc>
              <w:tc>
                <w:tcPr>
                  <w:tcW w:w="514" w:type="dxa"/>
                  <w:vMerge w:val="restart"/>
                  <w:vAlign w:val="center"/>
                </w:tcPr>
                <w:p w14:paraId="162DD704">
                  <w:pPr>
                    <w:adjustRightInd w:val="0"/>
                    <w:snapToGrid w:val="0"/>
                    <w:jc w:val="center"/>
                    <w:rPr>
                      <w:b/>
                      <w:color w:val="000000" w:themeColor="text1"/>
                      <w:szCs w:val="21"/>
                      <w:lang w:eastAsia="en-US"/>
                      <w14:textFill>
                        <w14:solidFill>
                          <w14:schemeClr w14:val="tx1"/>
                        </w14:solidFill>
                      </w14:textFill>
                    </w:rPr>
                  </w:pPr>
                  <w:r>
                    <w:rPr>
                      <w:rFonts w:hint="eastAsia"/>
                      <w:b/>
                      <w:bCs/>
                      <w:color w:val="000000" w:themeColor="text1"/>
                      <w:szCs w:val="21"/>
                      <w14:textFill>
                        <w14:solidFill>
                          <w14:schemeClr w14:val="tx1"/>
                        </w14:solidFill>
                      </w14:textFill>
                    </w:rPr>
                    <w:t>声压级</w:t>
                  </w:r>
                  <w:r>
                    <w:rPr>
                      <w:b/>
                      <w:bCs/>
                      <w:color w:val="000000" w:themeColor="text1"/>
                      <w:spacing w:val="-54"/>
                      <w:szCs w:val="21"/>
                      <w:lang w:eastAsia="en-US"/>
                      <w14:textFill>
                        <w14:solidFill>
                          <w14:schemeClr w14:val="tx1"/>
                        </w14:solidFill>
                      </w14:textFill>
                    </w:rPr>
                    <w:t xml:space="preserve"> </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443" w:type="dxa"/>
                  <w:vMerge w:val="restart"/>
                  <w:vAlign w:val="center"/>
                </w:tcPr>
                <w:p w14:paraId="779E6800">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声源控制措施</w:t>
                  </w:r>
                </w:p>
              </w:tc>
              <w:tc>
                <w:tcPr>
                  <w:tcW w:w="1367" w:type="dxa"/>
                  <w:gridSpan w:val="3"/>
                  <w:vAlign w:val="center"/>
                </w:tcPr>
                <w:p w14:paraId="1308C702">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空间相对位置/m</w:t>
                  </w:r>
                </w:p>
              </w:tc>
              <w:tc>
                <w:tcPr>
                  <w:tcW w:w="460" w:type="dxa"/>
                  <w:vMerge w:val="restart"/>
                  <w:vAlign w:val="center"/>
                </w:tcPr>
                <w:p w14:paraId="52C746B5">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距室内边界距离</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460" w:type="dxa"/>
                  <w:vMerge w:val="restart"/>
                  <w:vAlign w:val="center"/>
                </w:tcPr>
                <w:p w14:paraId="41F06352">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室内边界声级</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443" w:type="dxa"/>
                  <w:vMerge w:val="restart"/>
                  <w:vAlign w:val="center"/>
                </w:tcPr>
                <w:p w14:paraId="3E1F2B43">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运行时段</w:t>
                  </w:r>
                </w:p>
              </w:tc>
              <w:tc>
                <w:tcPr>
                  <w:tcW w:w="667" w:type="dxa"/>
                  <w:vMerge w:val="restart"/>
                  <w:vAlign w:val="center"/>
                </w:tcPr>
                <w:p w14:paraId="4CCB8773">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建筑物插入损失</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1201" w:type="dxa"/>
                  <w:gridSpan w:val="2"/>
                  <w:vAlign w:val="center"/>
                </w:tcPr>
                <w:p w14:paraId="37182603">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建筑物外噪声</w:t>
                  </w:r>
                </w:p>
              </w:tc>
            </w:tr>
            <w:tr w14:paraId="6EF6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25" w:type="dxa"/>
                  <w:vMerge w:val="continue"/>
                  <w:vAlign w:val="center"/>
                </w:tcPr>
                <w:p w14:paraId="578A970E">
                  <w:pPr>
                    <w:adjustRightInd w:val="0"/>
                    <w:snapToGrid w:val="0"/>
                    <w:jc w:val="center"/>
                    <w:rPr>
                      <w:b/>
                      <w:bCs/>
                      <w:color w:val="000000" w:themeColor="text1"/>
                      <w:szCs w:val="21"/>
                      <w:lang w:eastAsia="en-US"/>
                      <w14:textFill>
                        <w14:solidFill>
                          <w14:schemeClr w14:val="tx1"/>
                        </w14:solidFill>
                      </w14:textFill>
                    </w:rPr>
                  </w:pPr>
                </w:p>
              </w:tc>
              <w:tc>
                <w:tcPr>
                  <w:tcW w:w="533" w:type="dxa"/>
                  <w:vMerge w:val="continue"/>
                  <w:vAlign w:val="center"/>
                </w:tcPr>
                <w:p w14:paraId="7AD1DD48">
                  <w:pPr>
                    <w:adjustRightInd w:val="0"/>
                    <w:snapToGrid w:val="0"/>
                    <w:jc w:val="center"/>
                    <w:rPr>
                      <w:b/>
                      <w:bCs/>
                      <w:color w:val="000000" w:themeColor="text1"/>
                      <w:szCs w:val="21"/>
                      <w:lang w:eastAsia="en-US"/>
                      <w14:textFill>
                        <w14:solidFill>
                          <w14:schemeClr w14:val="tx1"/>
                        </w14:solidFill>
                      </w14:textFill>
                    </w:rPr>
                  </w:pPr>
                </w:p>
              </w:tc>
              <w:tc>
                <w:tcPr>
                  <w:tcW w:w="537" w:type="dxa"/>
                  <w:vMerge w:val="continue"/>
                  <w:vAlign w:val="center"/>
                </w:tcPr>
                <w:p w14:paraId="60231442">
                  <w:pPr>
                    <w:adjustRightInd w:val="0"/>
                    <w:snapToGrid w:val="0"/>
                    <w:jc w:val="center"/>
                    <w:rPr>
                      <w:b/>
                      <w:bCs/>
                      <w:color w:val="000000" w:themeColor="text1"/>
                      <w:szCs w:val="21"/>
                      <w:lang w:eastAsia="en-US"/>
                      <w14:textFill>
                        <w14:solidFill>
                          <w14:schemeClr w14:val="tx1"/>
                        </w14:solidFill>
                      </w14:textFill>
                    </w:rPr>
                  </w:pPr>
                </w:p>
              </w:tc>
              <w:tc>
                <w:tcPr>
                  <w:tcW w:w="443" w:type="dxa"/>
                  <w:vMerge w:val="continue"/>
                  <w:vAlign w:val="center"/>
                </w:tcPr>
                <w:p w14:paraId="3CCD009E">
                  <w:pPr>
                    <w:adjustRightInd w:val="0"/>
                    <w:snapToGrid w:val="0"/>
                    <w:jc w:val="center"/>
                    <w:rPr>
                      <w:b/>
                      <w:bCs/>
                      <w:color w:val="000000" w:themeColor="text1"/>
                      <w:szCs w:val="21"/>
                      <w:lang w:eastAsia="en-US"/>
                      <w14:textFill>
                        <w14:solidFill>
                          <w14:schemeClr w14:val="tx1"/>
                        </w14:solidFill>
                      </w14:textFill>
                    </w:rPr>
                  </w:pPr>
                </w:p>
              </w:tc>
              <w:tc>
                <w:tcPr>
                  <w:tcW w:w="514" w:type="dxa"/>
                  <w:vMerge w:val="continue"/>
                  <w:vAlign w:val="center"/>
                </w:tcPr>
                <w:p w14:paraId="1F9D82AB">
                  <w:pPr>
                    <w:adjustRightInd w:val="0"/>
                    <w:snapToGrid w:val="0"/>
                    <w:jc w:val="center"/>
                    <w:rPr>
                      <w:b/>
                      <w:bCs/>
                      <w:color w:val="000000" w:themeColor="text1"/>
                      <w:szCs w:val="21"/>
                      <w:lang w:eastAsia="en-US"/>
                      <w14:textFill>
                        <w14:solidFill>
                          <w14:schemeClr w14:val="tx1"/>
                        </w14:solidFill>
                      </w14:textFill>
                    </w:rPr>
                  </w:pPr>
                </w:p>
              </w:tc>
              <w:tc>
                <w:tcPr>
                  <w:tcW w:w="443" w:type="dxa"/>
                  <w:vMerge w:val="continue"/>
                  <w:vAlign w:val="center"/>
                </w:tcPr>
                <w:p w14:paraId="78AAA8B8">
                  <w:pPr>
                    <w:adjustRightInd w:val="0"/>
                    <w:snapToGrid w:val="0"/>
                    <w:jc w:val="center"/>
                    <w:rPr>
                      <w:b/>
                      <w:bCs/>
                      <w:color w:val="000000" w:themeColor="text1"/>
                      <w:szCs w:val="21"/>
                      <w:lang w:eastAsia="en-US"/>
                      <w14:textFill>
                        <w14:solidFill>
                          <w14:schemeClr w14:val="tx1"/>
                        </w14:solidFill>
                      </w14:textFill>
                    </w:rPr>
                  </w:pPr>
                </w:p>
              </w:tc>
              <w:tc>
                <w:tcPr>
                  <w:tcW w:w="443" w:type="dxa"/>
                  <w:vAlign w:val="center"/>
                </w:tcPr>
                <w:p w14:paraId="46178970">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X</w:t>
                  </w:r>
                </w:p>
              </w:tc>
              <w:tc>
                <w:tcPr>
                  <w:tcW w:w="460" w:type="dxa"/>
                  <w:vAlign w:val="center"/>
                </w:tcPr>
                <w:p w14:paraId="10006B6D">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Y</w:t>
                  </w:r>
                </w:p>
              </w:tc>
              <w:tc>
                <w:tcPr>
                  <w:tcW w:w="464" w:type="dxa"/>
                  <w:vAlign w:val="center"/>
                </w:tcPr>
                <w:p w14:paraId="7B25F0FD">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Z</w:t>
                  </w:r>
                </w:p>
              </w:tc>
              <w:tc>
                <w:tcPr>
                  <w:tcW w:w="460" w:type="dxa"/>
                  <w:vMerge w:val="continue"/>
                  <w:vAlign w:val="center"/>
                </w:tcPr>
                <w:p w14:paraId="799B032E">
                  <w:pPr>
                    <w:adjustRightInd w:val="0"/>
                    <w:snapToGrid w:val="0"/>
                    <w:jc w:val="center"/>
                    <w:rPr>
                      <w:b/>
                      <w:bCs/>
                      <w:color w:val="000000" w:themeColor="text1"/>
                      <w:szCs w:val="21"/>
                      <w14:textFill>
                        <w14:solidFill>
                          <w14:schemeClr w14:val="tx1"/>
                        </w14:solidFill>
                      </w14:textFill>
                    </w:rPr>
                  </w:pPr>
                </w:p>
              </w:tc>
              <w:tc>
                <w:tcPr>
                  <w:tcW w:w="460" w:type="dxa"/>
                  <w:vMerge w:val="continue"/>
                  <w:vAlign w:val="center"/>
                </w:tcPr>
                <w:p w14:paraId="4AD603DB">
                  <w:pPr>
                    <w:adjustRightInd w:val="0"/>
                    <w:snapToGrid w:val="0"/>
                    <w:jc w:val="center"/>
                    <w:rPr>
                      <w:b/>
                      <w:bCs/>
                      <w:color w:val="000000" w:themeColor="text1"/>
                      <w:szCs w:val="21"/>
                      <w14:textFill>
                        <w14:solidFill>
                          <w14:schemeClr w14:val="tx1"/>
                        </w14:solidFill>
                      </w14:textFill>
                    </w:rPr>
                  </w:pPr>
                </w:p>
              </w:tc>
              <w:tc>
                <w:tcPr>
                  <w:tcW w:w="443" w:type="dxa"/>
                  <w:vMerge w:val="continue"/>
                  <w:vAlign w:val="center"/>
                </w:tcPr>
                <w:p w14:paraId="0F5EC40D">
                  <w:pPr>
                    <w:adjustRightInd w:val="0"/>
                    <w:snapToGrid w:val="0"/>
                    <w:jc w:val="center"/>
                    <w:rPr>
                      <w:b/>
                      <w:bCs/>
                      <w:color w:val="000000" w:themeColor="text1"/>
                      <w:szCs w:val="21"/>
                      <w14:textFill>
                        <w14:solidFill>
                          <w14:schemeClr w14:val="tx1"/>
                        </w14:solidFill>
                      </w14:textFill>
                    </w:rPr>
                  </w:pPr>
                </w:p>
              </w:tc>
              <w:tc>
                <w:tcPr>
                  <w:tcW w:w="667" w:type="dxa"/>
                  <w:vMerge w:val="continue"/>
                  <w:vAlign w:val="center"/>
                </w:tcPr>
                <w:p w14:paraId="4193D1E2">
                  <w:pPr>
                    <w:adjustRightInd w:val="0"/>
                    <w:snapToGrid w:val="0"/>
                    <w:jc w:val="center"/>
                    <w:rPr>
                      <w:b/>
                      <w:bCs/>
                      <w:color w:val="000000" w:themeColor="text1"/>
                      <w:szCs w:val="21"/>
                      <w14:textFill>
                        <w14:solidFill>
                          <w14:schemeClr w14:val="tx1"/>
                        </w14:solidFill>
                      </w14:textFill>
                    </w:rPr>
                  </w:pPr>
                </w:p>
              </w:tc>
              <w:tc>
                <w:tcPr>
                  <w:tcW w:w="667" w:type="dxa"/>
                  <w:vAlign w:val="center"/>
                </w:tcPr>
                <w:p w14:paraId="5EE7968E">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声压级</w:t>
                  </w:r>
                  <w:r>
                    <w:rPr>
                      <w:b/>
                      <w:bCs/>
                      <w:color w:val="000000" w:themeColor="text1"/>
                      <w:spacing w:val="-54"/>
                      <w:szCs w:val="21"/>
                      <w:lang w:eastAsia="en-US"/>
                      <w14:textFill>
                        <w14:solidFill>
                          <w14:schemeClr w14:val="tx1"/>
                        </w14:solidFill>
                      </w14:textFill>
                    </w:rPr>
                    <w:t xml:space="preserve"> </w:t>
                  </w:r>
                  <w:r>
                    <w:rPr>
                      <w:rFonts w:hint="eastAsia"/>
                      <w:b/>
                      <w:bCs/>
                      <w:color w:val="000000" w:themeColor="text1"/>
                      <w:spacing w:val="-54"/>
                      <w:szCs w:val="21"/>
                      <w14:textFill>
                        <w14:solidFill>
                          <w14:schemeClr w14:val="tx1"/>
                        </w14:solidFill>
                      </w14:textFill>
                    </w:rPr>
                    <w:t xml:space="preserve">/ </w:t>
                  </w:r>
                  <w:r>
                    <w:rPr>
                      <w:b/>
                      <w:bCs/>
                      <w:color w:val="000000" w:themeColor="text1"/>
                      <w:spacing w:val="-1"/>
                      <w:szCs w:val="21"/>
                      <w:lang w:eastAsia="en-US"/>
                      <w14:textFill>
                        <w14:solidFill>
                          <w14:schemeClr w14:val="tx1"/>
                        </w14:solidFill>
                      </w14:textFill>
                    </w:rPr>
                    <w:t>dB(A)</w:t>
                  </w:r>
                </w:p>
              </w:tc>
              <w:tc>
                <w:tcPr>
                  <w:tcW w:w="534" w:type="dxa"/>
                  <w:vAlign w:val="center"/>
                </w:tcPr>
                <w:p w14:paraId="75879C0D">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建筑物</w:t>
                  </w:r>
                </w:p>
                <w:p w14:paraId="6E7A9016">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外距离</w:t>
                  </w:r>
                </w:p>
              </w:tc>
            </w:tr>
            <w:tr w14:paraId="488D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325" w:type="dxa"/>
                  <w:vAlign w:val="center"/>
                </w:tcPr>
                <w:p w14:paraId="04D0478E">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533" w:type="dxa"/>
                  <w:vMerge w:val="restart"/>
                  <w:vAlign w:val="center"/>
                </w:tcPr>
                <w:p w14:paraId="4555BFE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w:t>
                  </w:r>
                </w:p>
              </w:tc>
              <w:tc>
                <w:tcPr>
                  <w:tcW w:w="537" w:type="dxa"/>
                  <w:vAlign w:val="center"/>
                </w:tcPr>
                <w:p w14:paraId="05B0701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蒸汽发生器</w:t>
                  </w:r>
                </w:p>
              </w:tc>
              <w:tc>
                <w:tcPr>
                  <w:tcW w:w="443" w:type="dxa"/>
                  <w:vAlign w:val="center"/>
                </w:tcPr>
                <w:p w14:paraId="5CC8F467">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2454E94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443" w:type="dxa"/>
                  <w:vMerge w:val="restart"/>
                  <w:vAlign w:val="center"/>
                </w:tcPr>
                <w:p w14:paraId="6886758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减振、隔声、消声等降噪措施</w:t>
                  </w:r>
                </w:p>
              </w:tc>
              <w:tc>
                <w:tcPr>
                  <w:tcW w:w="443" w:type="dxa"/>
                  <w:vAlign w:val="center"/>
                </w:tcPr>
                <w:p w14:paraId="0956A37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w:t>
                  </w:r>
                </w:p>
              </w:tc>
              <w:tc>
                <w:tcPr>
                  <w:tcW w:w="460" w:type="dxa"/>
                  <w:vAlign w:val="center"/>
                </w:tcPr>
                <w:p w14:paraId="5BCAD32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w:t>
                  </w:r>
                </w:p>
              </w:tc>
              <w:tc>
                <w:tcPr>
                  <w:tcW w:w="464" w:type="dxa"/>
                  <w:vAlign w:val="center"/>
                </w:tcPr>
                <w:p w14:paraId="0F12F90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65E8391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460" w:type="dxa"/>
                  <w:vAlign w:val="center"/>
                </w:tcPr>
                <w:p w14:paraId="18E20B82">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76</w:t>
                  </w:r>
                </w:p>
              </w:tc>
              <w:tc>
                <w:tcPr>
                  <w:tcW w:w="443" w:type="dxa"/>
                  <w:vMerge w:val="restart"/>
                  <w:vAlign w:val="center"/>
                </w:tcPr>
                <w:p w14:paraId="32E034E6">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连续 (2400h）</w:t>
                  </w:r>
                </w:p>
              </w:tc>
              <w:tc>
                <w:tcPr>
                  <w:tcW w:w="667" w:type="dxa"/>
                  <w:vAlign w:val="center"/>
                </w:tcPr>
                <w:p w14:paraId="5E5A17A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667" w:type="dxa"/>
                  <w:vAlign w:val="center"/>
                </w:tcPr>
                <w:p w14:paraId="414A08B5">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34" w:type="dxa"/>
                  <w:vAlign w:val="center"/>
                </w:tcPr>
                <w:p w14:paraId="503CD395">
                  <w:pPr>
                    <w:adjustRightInd w:val="0"/>
                    <w:snapToGrid w:val="0"/>
                    <w:jc w:val="center"/>
                    <w:rPr>
                      <w:color w:val="000000" w:themeColor="text1"/>
                      <w:spacing w:val="-1"/>
                      <w:szCs w:val="21"/>
                      <w14:textFill>
                        <w14:solidFill>
                          <w14:schemeClr w14:val="tx1"/>
                        </w14:solidFill>
                      </w14:textFill>
                    </w:rPr>
                  </w:pPr>
                  <w:r>
                    <w:rPr>
                      <w:rFonts w:hint="eastAsia"/>
                      <w:color w:val="000000" w:themeColor="text1"/>
                      <w:spacing w:val="-1"/>
                      <w:szCs w:val="21"/>
                      <w14:textFill>
                        <w14:solidFill>
                          <w14:schemeClr w14:val="tx1"/>
                        </w14:solidFill>
                      </w14:textFill>
                    </w:rPr>
                    <w:t>8</w:t>
                  </w:r>
                </w:p>
              </w:tc>
            </w:tr>
            <w:tr w14:paraId="3724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325" w:type="dxa"/>
                  <w:vAlign w:val="center"/>
                </w:tcPr>
                <w:p w14:paraId="03278BAB">
                  <w:pPr>
                    <w:widowControl/>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533" w:type="dxa"/>
                  <w:vMerge w:val="continue"/>
                  <w:vAlign w:val="center"/>
                </w:tcPr>
                <w:p w14:paraId="1F25CDA7">
                  <w:pPr>
                    <w:adjustRightInd w:val="0"/>
                    <w:snapToGrid w:val="0"/>
                    <w:jc w:val="center"/>
                    <w:rPr>
                      <w:color w:val="000000" w:themeColor="text1"/>
                      <w:szCs w:val="21"/>
                      <w14:textFill>
                        <w14:solidFill>
                          <w14:schemeClr w14:val="tx1"/>
                        </w14:solidFill>
                      </w14:textFill>
                    </w:rPr>
                  </w:pPr>
                </w:p>
              </w:tc>
              <w:tc>
                <w:tcPr>
                  <w:tcW w:w="537" w:type="dxa"/>
                  <w:vAlign w:val="center"/>
                </w:tcPr>
                <w:p w14:paraId="084F51CC">
                  <w:pPr>
                    <w:widowControl/>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平烫折叠机</w:t>
                  </w:r>
                </w:p>
              </w:tc>
              <w:tc>
                <w:tcPr>
                  <w:tcW w:w="443" w:type="dxa"/>
                  <w:vAlign w:val="center"/>
                </w:tcPr>
                <w:p w14:paraId="6601A638">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6852AB8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443" w:type="dxa"/>
                  <w:vMerge w:val="continue"/>
                  <w:vAlign w:val="center"/>
                </w:tcPr>
                <w:p w14:paraId="468A42B0">
                  <w:pPr>
                    <w:adjustRightInd w:val="0"/>
                    <w:snapToGrid w:val="0"/>
                    <w:jc w:val="center"/>
                    <w:rPr>
                      <w:color w:val="000000" w:themeColor="text1"/>
                      <w:szCs w:val="21"/>
                      <w14:textFill>
                        <w14:solidFill>
                          <w14:schemeClr w14:val="tx1"/>
                        </w14:solidFill>
                      </w14:textFill>
                    </w:rPr>
                  </w:pPr>
                </w:p>
              </w:tc>
              <w:tc>
                <w:tcPr>
                  <w:tcW w:w="443" w:type="dxa"/>
                  <w:vAlign w:val="center"/>
                </w:tcPr>
                <w:p w14:paraId="412D3713">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2</w:t>
                  </w:r>
                </w:p>
              </w:tc>
              <w:tc>
                <w:tcPr>
                  <w:tcW w:w="460" w:type="dxa"/>
                  <w:vAlign w:val="center"/>
                </w:tcPr>
                <w:p w14:paraId="7EA6A54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464" w:type="dxa"/>
                  <w:vAlign w:val="center"/>
                </w:tcPr>
                <w:p w14:paraId="5A1F524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7EA57F7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460" w:type="dxa"/>
                  <w:vAlign w:val="center"/>
                </w:tcPr>
                <w:p w14:paraId="2E188945">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w:t>
                  </w:r>
                </w:p>
              </w:tc>
              <w:tc>
                <w:tcPr>
                  <w:tcW w:w="443" w:type="dxa"/>
                  <w:vMerge w:val="continue"/>
                  <w:vAlign w:val="center"/>
                </w:tcPr>
                <w:p w14:paraId="7E56F201">
                  <w:pPr>
                    <w:adjustRightInd w:val="0"/>
                    <w:snapToGrid w:val="0"/>
                    <w:jc w:val="center"/>
                    <w:rPr>
                      <w:color w:val="000000" w:themeColor="text1"/>
                      <w:szCs w:val="21"/>
                      <w14:textFill>
                        <w14:solidFill>
                          <w14:schemeClr w14:val="tx1"/>
                        </w14:solidFill>
                      </w14:textFill>
                    </w:rPr>
                  </w:pPr>
                </w:p>
              </w:tc>
              <w:tc>
                <w:tcPr>
                  <w:tcW w:w="667" w:type="dxa"/>
                  <w:vAlign w:val="center"/>
                </w:tcPr>
                <w:p w14:paraId="688F1DA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667" w:type="dxa"/>
                  <w:vAlign w:val="center"/>
                </w:tcPr>
                <w:p w14:paraId="557265DD">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34" w:type="dxa"/>
                  <w:vAlign w:val="center"/>
                </w:tcPr>
                <w:p w14:paraId="20BABE5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14:paraId="7F4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325" w:type="dxa"/>
                  <w:vAlign w:val="center"/>
                </w:tcPr>
                <w:p w14:paraId="0DF7060F">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533" w:type="dxa"/>
                  <w:vMerge w:val="continue"/>
                  <w:vAlign w:val="center"/>
                </w:tcPr>
                <w:p w14:paraId="58B0329B">
                  <w:pPr>
                    <w:adjustRightInd w:val="0"/>
                    <w:snapToGrid w:val="0"/>
                    <w:jc w:val="center"/>
                    <w:rPr>
                      <w:color w:val="000000" w:themeColor="text1"/>
                      <w:szCs w:val="21"/>
                      <w14:textFill>
                        <w14:solidFill>
                          <w14:schemeClr w14:val="tx1"/>
                        </w14:solidFill>
                      </w14:textFill>
                    </w:rPr>
                  </w:pPr>
                </w:p>
              </w:tc>
              <w:tc>
                <w:tcPr>
                  <w:tcW w:w="537" w:type="dxa"/>
                  <w:vAlign w:val="center"/>
                </w:tcPr>
                <w:p w14:paraId="7A92573F">
                  <w:pPr>
                    <w:widowControl/>
                    <w:jc w:val="center"/>
                    <w:textAlignment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洗衣机</w:t>
                  </w:r>
                </w:p>
              </w:tc>
              <w:tc>
                <w:tcPr>
                  <w:tcW w:w="443" w:type="dxa"/>
                  <w:vAlign w:val="center"/>
                </w:tcPr>
                <w:p w14:paraId="5B29FE27">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7507F827">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0</w:t>
                  </w:r>
                </w:p>
              </w:tc>
              <w:tc>
                <w:tcPr>
                  <w:tcW w:w="443" w:type="dxa"/>
                  <w:vMerge w:val="continue"/>
                  <w:vAlign w:val="center"/>
                </w:tcPr>
                <w:p w14:paraId="4DC7F624">
                  <w:pPr>
                    <w:adjustRightInd w:val="0"/>
                    <w:snapToGrid w:val="0"/>
                    <w:jc w:val="center"/>
                    <w:rPr>
                      <w:color w:val="000000" w:themeColor="text1"/>
                      <w:szCs w:val="21"/>
                      <w14:textFill>
                        <w14:solidFill>
                          <w14:schemeClr w14:val="tx1"/>
                        </w14:solidFill>
                      </w14:textFill>
                    </w:rPr>
                  </w:pPr>
                </w:p>
              </w:tc>
              <w:tc>
                <w:tcPr>
                  <w:tcW w:w="443" w:type="dxa"/>
                  <w:vAlign w:val="center"/>
                </w:tcPr>
                <w:p w14:paraId="0B3A943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58</w:t>
                  </w:r>
                </w:p>
              </w:tc>
              <w:tc>
                <w:tcPr>
                  <w:tcW w:w="460" w:type="dxa"/>
                  <w:vAlign w:val="center"/>
                </w:tcPr>
                <w:p w14:paraId="6155440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w:t>
                  </w:r>
                </w:p>
              </w:tc>
              <w:tc>
                <w:tcPr>
                  <w:tcW w:w="464" w:type="dxa"/>
                  <w:vAlign w:val="center"/>
                </w:tcPr>
                <w:p w14:paraId="1F204512">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34068CAC">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460" w:type="dxa"/>
                  <w:vAlign w:val="center"/>
                </w:tcPr>
                <w:p w14:paraId="7A4F60B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443" w:type="dxa"/>
                  <w:vMerge w:val="continue"/>
                  <w:vAlign w:val="center"/>
                </w:tcPr>
                <w:p w14:paraId="523F7D6A">
                  <w:pPr>
                    <w:adjustRightInd w:val="0"/>
                    <w:snapToGrid w:val="0"/>
                    <w:jc w:val="center"/>
                    <w:rPr>
                      <w:color w:val="000000" w:themeColor="text1"/>
                      <w:szCs w:val="21"/>
                      <w14:textFill>
                        <w14:solidFill>
                          <w14:schemeClr w14:val="tx1"/>
                        </w14:solidFill>
                      </w14:textFill>
                    </w:rPr>
                  </w:pPr>
                </w:p>
              </w:tc>
              <w:tc>
                <w:tcPr>
                  <w:tcW w:w="667" w:type="dxa"/>
                  <w:vAlign w:val="center"/>
                </w:tcPr>
                <w:p w14:paraId="68BB396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667" w:type="dxa"/>
                  <w:vAlign w:val="center"/>
                </w:tcPr>
                <w:p w14:paraId="7196F65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534" w:type="dxa"/>
                  <w:vAlign w:val="center"/>
                </w:tcPr>
                <w:p w14:paraId="47756F73">
                  <w:pPr>
                    <w:adjustRightInd w:val="0"/>
                    <w:snapToGrid w:val="0"/>
                    <w:jc w:val="center"/>
                    <w:rPr>
                      <w:color w:val="000000" w:themeColor="text1"/>
                      <w:szCs w:val="21"/>
                      <w14:textFill>
                        <w14:solidFill>
                          <w14:schemeClr w14:val="tx1"/>
                        </w14:solidFill>
                      </w14:textFill>
                    </w:rPr>
                  </w:pPr>
                  <w:r>
                    <w:rPr>
                      <w:rFonts w:hint="eastAsia"/>
                      <w:color w:val="000000" w:themeColor="text1"/>
                      <w:spacing w:val="-1"/>
                      <w:szCs w:val="21"/>
                      <w14:textFill>
                        <w14:solidFill>
                          <w14:schemeClr w14:val="tx1"/>
                        </w14:solidFill>
                      </w14:textFill>
                    </w:rPr>
                    <w:t>3</w:t>
                  </w:r>
                </w:p>
              </w:tc>
            </w:tr>
            <w:tr w14:paraId="54FB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0D28F21F">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533" w:type="dxa"/>
                  <w:vMerge w:val="continue"/>
                  <w:vAlign w:val="center"/>
                </w:tcPr>
                <w:p w14:paraId="76DD5937">
                  <w:pPr>
                    <w:adjustRightInd w:val="0"/>
                    <w:snapToGrid w:val="0"/>
                    <w:jc w:val="center"/>
                    <w:rPr>
                      <w:color w:val="000000" w:themeColor="text1"/>
                      <w:szCs w:val="21"/>
                      <w14:textFill>
                        <w14:solidFill>
                          <w14:schemeClr w14:val="tx1"/>
                        </w14:solidFill>
                      </w14:textFill>
                    </w:rPr>
                  </w:pPr>
                </w:p>
              </w:tc>
              <w:tc>
                <w:tcPr>
                  <w:tcW w:w="537" w:type="dxa"/>
                  <w:vAlign w:val="center"/>
                </w:tcPr>
                <w:p w14:paraId="24B47789">
                  <w:pPr>
                    <w:widowControl/>
                    <w:jc w:val="center"/>
                    <w:textAlignment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洗衣机</w:t>
                  </w:r>
                </w:p>
              </w:tc>
              <w:tc>
                <w:tcPr>
                  <w:tcW w:w="443" w:type="dxa"/>
                  <w:vAlign w:val="center"/>
                </w:tcPr>
                <w:p w14:paraId="3A5A939E">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3FDDEDD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443" w:type="dxa"/>
                  <w:vMerge w:val="continue"/>
                  <w:vAlign w:val="center"/>
                </w:tcPr>
                <w:p w14:paraId="3FFB0C7B">
                  <w:pPr>
                    <w:adjustRightInd w:val="0"/>
                    <w:snapToGrid w:val="0"/>
                    <w:jc w:val="center"/>
                    <w:rPr>
                      <w:color w:val="000000" w:themeColor="text1"/>
                      <w:szCs w:val="21"/>
                      <w14:textFill>
                        <w14:solidFill>
                          <w14:schemeClr w14:val="tx1"/>
                        </w14:solidFill>
                      </w14:textFill>
                    </w:rPr>
                  </w:pPr>
                </w:p>
              </w:tc>
              <w:tc>
                <w:tcPr>
                  <w:tcW w:w="443" w:type="dxa"/>
                  <w:vAlign w:val="center"/>
                </w:tcPr>
                <w:p w14:paraId="1D1A9251">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8</w:t>
                  </w:r>
                </w:p>
              </w:tc>
              <w:tc>
                <w:tcPr>
                  <w:tcW w:w="460" w:type="dxa"/>
                  <w:vAlign w:val="center"/>
                </w:tcPr>
                <w:p w14:paraId="1F6BF9C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54</w:t>
                  </w:r>
                </w:p>
              </w:tc>
              <w:tc>
                <w:tcPr>
                  <w:tcW w:w="464" w:type="dxa"/>
                  <w:vAlign w:val="center"/>
                </w:tcPr>
                <w:p w14:paraId="0C5A24A8">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793D00F1">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2</w:t>
                  </w:r>
                </w:p>
              </w:tc>
              <w:tc>
                <w:tcPr>
                  <w:tcW w:w="460" w:type="dxa"/>
                  <w:vAlign w:val="center"/>
                </w:tcPr>
                <w:p w14:paraId="345A1B6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443" w:type="dxa"/>
                  <w:vMerge w:val="continue"/>
                  <w:vAlign w:val="center"/>
                </w:tcPr>
                <w:p w14:paraId="7FDB2ACA">
                  <w:pPr>
                    <w:adjustRightInd w:val="0"/>
                    <w:snapToGrid w:val="0"/>
                    <w:jc w:val="center"/>
                    <w:rPr>
                      <w:color w:val="000000" w:themeColor="text1"/>
                      <w:szCs w:val="21"/>
                      <w14:textFill>
                        <w14:solidFill>
                          <w14:schemeClr w14:val="tx1"/>
                        </w14:solidFill>
                      </w14:textFill>
                    </w:rPr>
                  </w:pPr>
                </w:p>
              </w:tc>
              <w:tc>
                <w:tcPr>
                  <w:tcW w:w="667" w:type="dxa"/>
                  <w:vAlign w:val="center"/>
                </w:tcPr>
                <w:p w14:paraId="160593C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667" w:type="dxa"/>
                  <w:vAlign w:val="center"/>
                </w:tcPr>
                <w:p w14:paraId="6F03E23B">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34" w:type="dxa"/>
                  <w:vAlign w:val="center"/>
                </w:tcPr>
                <w:p w14:paraId="030AEB92">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14:paraId="4A2E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5CB2AB74">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533" w:type="dxa"/>
                  <w:vMerge w:val="continue"/>
                  <w:vAlign w:val="center"/>
                </w:tcPr>
                <w:p w14:paraId="4D687907">
                  <w:pPr>
                    <w:adjustRightInd w:val="0"/>
                    <w:snapToGrid w:val="0"/>
                    <w:jc w:val="center"/>
                    <w:rPr>
                      <w:color w:val="000000" w:themeColor="text1"/>
                      <w:szCs w:val="21"/>
                      <w14:textFill>
                        <w14:solidFill>
                          <w14:schemeClr w14:val="tx1"/>
                        </w14:solidFill>
                      </w14:textFill>
                    </w:rPr>
                  </w:pPr>
                </w:p>
              </w:tc>
              <w:tc>
                <w:tcPr>
                  <w:tcW w:w="537" w:type="dxa"/>
                  <w:vAlign w:val="center"/>
                </w:tcPr>
                <w:p w14:paraId="3BF7CCFF">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洗衣机</w:t>
                  </w:r>
                </w:p>
              </w:tc>
              <w:tc>
                <w:tcPr>
                  <w:tcW w:w="443" w:type="dxa"/>
                  <w:vAlign w:val="center"/>
                </w:tcPr>
                <w:p w14:paraId="2C80291B">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4BB5BBD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0</w:t>
                  </w:r>
                </w:p>
              </w:tc>
              <w:tc>
                <w:tcPr>
                  <w:tcW w:w="443" w:type="dxa"/>
                  <w:vMerge w:val="continue"/>
                  <w:vAlign w:val="center"/>
                </w:tcPr>
                <w:p w14:paraId="15F2ED96">
                  <w:pPr>
                    <w:adjustRightInd w:val="0"/>
                    <w:snapToGrid w:val="0"/>
                    <w:jc w:val="center"/>
                    <w:rPr>
                      <w:color w:val="000000" w:themeColor="text1"/>
                      <w:szCs w:val="21"/>
                      <w14:textFill>
                        <w14:solidFill>
                          <w14:schemeClr w14:val="tx1"/>
                        </w14:solidFill>
                      </w14:textFill>
                    </w:rPr>
                  </w:pPr>
                </w:p>
              </w:tc>
              <w:tc>
                <w:tcPr>
                  <w:tcW w:w="443" w:type="dxa"/>
                  <w:vAlign w:val="center"/>
                </w:tcPr>
                <w:p w14:paraId="239150DC">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460" w:type="dxa"/>
                  <w:vAlign w:val="center"/>
                </w:tcPr>
                <w:p w14:paraId="18D7D8B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w:t>
                  </w:r>
                </w:p>
              </w:tc>
              <w:tc>
                <w:tcPr>
                  <w:tcW w:w="464" w:type="dxa"/>
                  <w:vAlign w:val="center"/>
                </w:tcPr>
                <w:p w14:paraId="2BA0F729">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5936B93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w:t>
                  </w:r>
                </w:p>
              </w:tc>
              <w:tc>
                <w:tcPr>
                  <w:tcW w:w="460" w:type="dxa"/>
                  <w:vAlign w:val="center"/>
                </w:tcPr>
                <w:p w14:paraId="236C13E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443" w:type="dxa"/>
                  <w:vMerge w:val="continue"/>
                  <w:vAlign w:val="center"/>
                </w:tcPr>
                <w:p w14:paraId="04434841">
                  <w:pPr>
                    <w:adjustRightInd w:val="0"/>
                    <w:snapToGrid w:val="0"/>
                    <w:jc w:val="center"/>
                    <w:rPr>
                      <w:color w:val="000000" w:themeColor="text1"/>
                      <w:szCs w:val="21"/>
                      <w14:textFill>
                        <w14:solidFill>
                          <w14:schemeClr w14:val="tx1"/>
                        </w14:solidFill>
                      </w14:textFill>
                    </w:rPr>
                  </w:pPr>
                </w:p>
              </w:tc>
              <w:tc>
                <w:tcPr>
                  <w:tcW w:w="667" w:type="dxa"/>
                  <w:vAlign w:val="center"/>
                </w:tcPr>
                <w:p w14:paraId="24378ADB">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667" w:type="dxa"/>
                  <w:vAlign w:val="center"/>
                </w:tcPr>
                <w:p w14:paraId="01D6B19A">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34" w:type="dxa"/>
                  <w:vAlign w:val="center"/>
                </w:tcPr>
                <w:p w14:paraId="246823B5">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14:paraId="7A0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202C5940">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533" w:type="dxa"/>
                  <w:vMerge w:val="continue"/>
                  <w:vAlign w:val="center"/>
                </w:tcPr>
                <w:p w14:paraId="6068A3C5">
                  <w:pPr>
                    <w:adjustRightInd w:val="0"/>
                    <w:snapToGrid w:val="0"/>
                    <w:jc w:val="center"/>
                    <w:rPr>
                      <w:color w:val="000000" w:themeColor="text1"/>
                      <w:szCs w:val="21"/>
                      <w14:textFill>
                        <w14:solidFill>
                          <w14:schemeClr w14:val="tx1"/>
                        </w14:solidFill>
                      </w14:textFill>
                    </w:rPr>
                  </w:pPr>
                </w:p>
              </w:tc>
              <w:tc>
                <w:tcPr>
                  <w:tcW w:w="537" w:type="dxa"/>
                  <w:vAlign w:val="center"/>
                </w:tcPr>
                <w:p w14:paraId="295FAD43">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洗衣机</w:t>
                  </w:r>
                </w:p>
              </w:tc>
              <w:tc>
                <w:tcPr>
                  <w:tcW w:w="443" w:type="dxa"/>
                  <w:vAlign w:val="center"/>
                </w:tcPr>
                <w:p w14:paraId="56869E02">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0568953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443" w:type="dxa"/>
                  <w:vMerge w:val="continue"/>
                  <w:vAlign w:val="center"/>
                </w:tcPr>
                <w:p w14:paraId="182FF97A">
                  <w:pPr>
                    <w:adjustRightInd w:val="0"/>
                    <w:snapToGrid w:val="0"/>
                    <w:jc w:val="center"/>
                    <w:rPr>
                      <w:color w:val="000000" w:themeColor="text1"/>
                      <w:szCs w:val="21"/>
                      <w14:textFill>
                        <w14:solidFill>
                          <w14:schemeClr w14:val="tx1"/>
                        </w14:solidFill>
                      </w14:textFill>
                    </w:rPr>
                  </w:pPr>
                </w:p>
              </w:tc>
              <w:tc>
                <w:tcPr>
                  <w:tcW w:w="443" w:type="dxa"/>
                  <w:vAlign w:val="center"/>
                </w:tcPr>
                <w:p w14:paraId="03828927">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0</w:t>
                  </w:r>
                </w:p>
              </w:tc>
              <w:tc>
                <w:tcPr>
                  <w:tcW w:w="460" w:type="dxa"/>
                  <w:vAlign w:val="center"/>
                </w:tcPr>
                <w:p w14:paraId="41D449C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0</w:t>
                  </w:r>
                </w:p>
              </w:tc>
              <w:tc>
                <w:tcPr>
                  <w:tcW w:w="464" w:type="dxa"/>
                  <w:vAlign w:val="center"/>
                </w:tcPr>
                <w:p w14:paraId="081E278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07DEA17D">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460" w:type="dxa"/>
                  <w:vAlign w:val="center"/>
                </w:tcPr>
                <w:p w14:paraId="02E5E42C">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443" w:type="dxa"/>
                  <w:vMerge w:val="continue"/>
                  <w:vAlign w:val="center"/>
                </w:tcPr>
                <w:p w14:paraId="486F2275">
                  <w:pPr>
                    <w:adjustRightInd w:val="0"/>
                    <w:snapToGrid w:val="0"/>
                    <w:jc w:val="center"/>
                    <w:rPr>
                      <w:color w:val="000000" w:themeColor="text1"/>
                      <w:szCs w:val="21"/>
                      <w14:textFill>
                        <w14:solidFill>
                          <w14:schemeClr w14:val="tx1"/>
                        </w14:solidFill>
                      </w14:textFill>
                    </w:rPr>
                  </w:pPr>
                </w:p>
              </w:tc>
              <w:tc>
                <w:tcPr>
                  <w:tcW w:w="667" w:type="dxa"/>
                  <w:vAlign w:val="center"/>
                </w:tcPr>
                <w:p w14:paraId="6A89BE5E">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667" w:type="dxa"/>
                  <w:vAlign w:val="center"/>
                </w:tcPr>
                <w:p w14:paraId="41590127">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34" w:type="dxa"/>
                  <w:vAlign w:val="center"/>
                </w:tcPr>
                <w:p w14:paraId="0E8E0951">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14:paraId="57CC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25" w:type="dxa"/>
                  <w:vAlign w:val="center"/>
                </w:tcPr>
                <w:p w14:paraId="612CDB74">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w:t>
                  </w:r>
                </w:p>
              </w:tc>
              <w:tc>
                <w:tcPr>
                  <w:tcW w:w="533" w:type="dxa"/>
                  <w:vMerge w:val="continue"/>
                  <w:vAlign w:val="center"/>
                </w:tcPr>
                <w:p w14:paraId="10EBD626">
                  <w:pPr>
                    <w:adjustRightInd w:val="0"/>
                    <w:snapToGrid w:val="0"/>
                    <w:jc w:val="center"/>
                    <w:rPr>
                      <w:color w:val="000000" w:themeColor="text1"/>
                      <w:szCs w:val="21"/>
                      <w14:textFill>
                        <w14:solidFill>
                          <w14:schemeClr w14:val="tx1"/>
                        </w14:solidFill>
                      </w14:textFill>
                    </w:rPr>
                  </w:pPr>
                </w:p>
              </w:tc>
              <w:tc>
                <w:tcPr>
                  <w:tcW w:w="537" w:type="dxa"/>
                  <w:vAlign w:val="center"/>
                </w:tcPr>
                <w:p w14:paraId="42831D96">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洗涤设备</w:t>
                  </w:r>
                </w:p>
              </w:tc>
              <w:tc>
                <w:tcPr>
                  <w:tcW w:w="443" w:type="dxa"/>
                  <w:vAlign w:val="center"/>
                </w:tcPr>
                <w:p w14:paraId="3B12DCA8">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14" w:type="dxa"/>
                  <w:vAlign w:val="center"/>
                </w:tcPr>
                <w:p w14:paraId="5DA7F8B7">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443" w:type="dxa"/>
                  <w:vMerge w:val="continue"/>
                  <w:vAlign w:val="center"/>
                </w:tcPr>
                <w:p w14:paraId="0FFD5C99">
                  <w:pPr>
                    <w:adjustRightInd w:val="0"/>
                    <w:snapToGrid w:val="0"/>
                    <w:jc w:val="center"/>
                    <w:rPr>
                      <w:color w:val="000000" w:themeColor="text1"/>
                      <w:szCs w:val="21"/>
                      <w14:textFill>
                        <w14:solidFill>
                          <w14:schemeClr w14:val="tx1"/>
                        </w14:solidFill>
                      </w14:textFill>
                    </w:rPr>
                  </w:pPr>
                </w:p>
              </w:tc>
              <w:tc>
                <w:tcPr>
                  <w:tcW w:w="443" w:type="dxa"/>
                  <w:vAlign w:val="center"/>
                </w:tcPr>
                <w:p w14:paraId="05D6247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115</w:t>
                  </w:r>
                </w:p>
              </w:tc>
              <w:tc>
                <w:tcPr>
                  <w:tcW w:w="460" w:type="dxa"/>
                  <w:vAlign w:val="center"/>
                </w:tcPr>
                <w:p w14:paraId="0340A1C7">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7</w:t>
                  </w:r>
                </w:p>
              </w:tc>
              <w:tc>
                <w:tcPr>
                  <w:tcW w:w="464" w:type="dxa"/>
                  <w:vAlign w:val="center"/>
                </w:tcPr>
                <w:p w14:paraId="618AEE89">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60" w:type="dxa"/>
                  <w:vAlign w:val="center"/>
                </w:tcPr>
                <w:p w14:paraId="29EDF429">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c>
                <w:tcPr>
                  <w:tcW w:w="460" w:type="dxa"/>
                  <w:vAlign w:val="center"/>
                </w:tcPr>
                <w:p w14:paraId="28BC9313">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68</w:t>
                  </w:r>
                </w:p>
              </w:tc>
              <w:tc>
                <w:tcPr>
                  <w:tcW w:w="443" w:type="dxa"/>
                  <w:vMerge w:val="continue"/>
                  <w:vAlign w:val="center"/>
                </w:tcPr>
                <w:p w14:paraId="656312FF">
                  <w:pPr>
                    <w:adjustRightInd w:val="0"/>
                    <w:snapToGrid w:val="0"/>
                    <w:jc w:val="center"/>
                    <w:rPr>
                      <w:color w:val="000000" w:themeColor="text1"/>
                      <w:szCs w:val="21"/>
                      <w14:textFill>
                        <w14:solidFill>
                          <w14:schemeClr w14:val="tx1"/>
                        </w14:solidFill>
                      </w14:textFill>
                    </w:rPr>
                  </w:pPr>
                </w:p>
              </w:tc>
              <w:tc>
                <w:tcPr>
                  <w:tcW w:w="667" w:type="dxa"/>
                  <w:vAlign w:val="center"/>
                </w:tcPr>
                <w:p w14:paraId="24DCAB56">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667" w:type="dxa"/>
                  <w:vAlign w:val="center"/>
                </w:tcPr>
                <w:p w14:paraId="40A5CEE5">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534" w:type="dxa"/>
                  <w:vAlign w:val="center"/>
                </w:tcPr>
                <w:p w14:paraId="33FEFA10">
                  <w:pPr>
                    <w:adjustRightInd w:val="0"/>
                    <w:snapToGrid w:val="0"/>
                    <w:jc w:val="center"/>
                    <w:rPr>
                      <w:color w:val="000000" w:themeColor="text1"/>
                      <w:szCs w:val="21"/>
                      <w14:textFill>
                        <w14:solidFill>
                          <w14:schemeClr w14:val="tx1"/>
                        </w14:solidFill>
                      </w14:textFill>
                    </w:rPr>
                  </w:pPr>
                  <w:r>
                    <w:rPr>
                      <w:rFonts w:hint="eastAsia"/>
                      <w:color w:val="000000" w:themeColor="text1"/>
                      <w:spacing w:val="-1"/>
                      <w:szCs w:val="21"/>
                      <w14:textFill>
                        <w14:solidFill>
                          <w14:schemeClr w14:val="tx1"/>
                        </w14:solidFill>
                      </w14:textFill>
                    </w:rPr>
                    <w:t>3</w:t>
                  </w:r>
                </w:p>
              </w:tc>
            </w:tr>
          </w:tbl>
          <w:p w14:paraId="5EB16D5C">
            <w:pPr>
              <w:spacing w:line="360" w:lineRule="auto"/>
              <w:ind w:firstLine="422" w:firstLineChars="200"/>
              <w:rPr>
                <w:b/>
                <w:bCs/>
                <w:kern w:val="0"/>
                <w:szCs w:val="21"/>
              </w:rPr>
            </w:pPr>
          </w:p>
          <w:p w14:paraId="65F34AE4">
            <w:pPr>
              <w:jc w:val="center"/>
              <w:rPr>
                <w:b/>
                <w:color w:val="000000"/>
                <w:szCs w:val="21"/>
              </w:rPr>
            </w:pPr>
          </w:p>
          <w:p w14:paraId="57BD4B2C">
            <w:pPr>
              <w:jc w:val="center"/>
              <w:rPr>
                <w:b/>
                <w:color w:val="000000"/>
                <w:szCs w:val="21"/>
              </w:rPr>
            </w:pPr>
            <w:r>
              <w:rPr>
                <w:b/>
                <w:color w:val="000000"/>
                <w:szCs w:val="21"/>
              </w:rPr>
              <w:t>表4-1</w:t>
            </w:r>
            <w:r>
              <w:rPr>
                <w:rFonts w:hint="eastAsia"/>
                <w:b/>
                <w:color w:val="000000"/>
                <w:szCs w:val="21"/>
              </w:rPr>
              <w:t>6</w:t>
            </w:r>
            <w:r>
              <w:rPr>
                <w:b/>
                <w:color w:val="000000"/>
                <w:szCs w:val="21"/>
              </w:rPr>
              <w:t xml:space="preserve"> 项目主要设备及噪声源强一览表</w:t>
            </w:r>
            <w:r>
              <w:rPr>
                <w:rFonts w:hint="eastAsia"/>
                <w:b/>
                <w:color w:val="000000"/>
                <w:szCs w:val="21"/>
              </w:rPr>
              <w:t>（室外）</w:t>
            </w:r>
          </w:p>
          <w:p w14:paraId="13F9AE47">
            <w:pPr>
              <w:rPr>
                <w:color w:val="000000"/>
              </w:rPr>
            </w:pPr>
          </w:p>
          <w:tbl>
            <w:tblPr>
              <w:tblStyle w:val="26"/>
              <w:tblW w:w="7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1"/>
              <w:gridCol w:w="954"/>
              <w:gridCol w:w="730"/>
              <w:gridCol w:w="730"/>
              <w:gridCol w:w="731"/>
              <w:gridCol w:w="1229"/>
              <w:gridCol w:w="873"/>
              <w:gridCol w:w="874"/>
            </w:tblGrid>
            <w:tr w14:paraId="277D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5" w:type="dxa"/>
                  <w:vMerge w:val="restart"/>
                  <w:shd w:val="clear" w:color="auto" w:fill="auto"/>
                  <w:vAlign w:val="center"/>
                </w:tcPr>
                <w:p w14:paraId="6C9FA4B8">
                  <w:pPr>
                    <w:jc w:val="center"/>
                    <w:rPr>
                      <w:color w:val="000000"/>
                      <w:szCs w:val="21"/>
                    </w:rPr>
                  </w:pPr>
                  <w:r>
                    <w:rPr>
                      <w:rFonts w:hint="eastAsia"/>
                      <w:color w:val="000000"/>
                      <w:szCs w:val="21"/>
                    </w:rPr>
                    <w:t>序号</w:t>
                  </w:r>
                </w:p>
              </w:tc>
              <w:tc>
                <w:tcPr>
                  <w:tcW w:w="791" w:type="dxa"/>
                  <w:vMerge w:val="restart"/>
                  <w:shd w:val="clear" w:color="auto" w:fill="auto"/>
                  <w:vAlign w:val="center"/>
                </w:tcPr>
                <w:p w14:paraId="437F1942">
                  <w:pPr>
                    <w:jc w:val="center"/>
                    <w:rPr>
                      <w:color w:val="000000"/>
                      <w:szCs w:val="21"/>
                    </w:rPr>
                  </w:pPr>
                  <w:r>
                    <w:rPr>
                      <w:color w:val="000000"/>
                      <w:szCs w:val="21"/>
                    </w:rPr>
                    <w:t>声源名称</w:t>
                  </w:r>
                </w:p>
              </w:tc>
              <w:tc>
                <w:tcPr>
                  <w:tcW w:w="954" w:type="dxa"/>
                  <w:vMerge w:val="restart"/>
                  <w:shd w:val="clear" w:color="auto" w:fill="auto"/>
                  <w:vAlign w:val="center"/>
                </w:tcPr>
                <w:p w14:paraId="7DF8E0E6">
                  <w:pPr>
                    <w:jc w:val="center"/>
                    <w:rPr>
                      <w:color w:val="000000"/>
                      <w:szCs w:val="21"/>
                    </w:rPr>
                  </w:pPr>
                  <w:r>
                    <w:rPr>
                      <w:color w:val="000000"/>
                      <w:szCs w:val="21"/>
                    </w:rPr>
                    <w:t>型号</w:t>
                  </w:r>
                </w:p>
              </w:tc>
              <w:tc>
                <w:tcPr>
                  <w:tcW w:w="2191" w:type="dxa"/>
                  <w:gridSpan w:val="3"/>
                  <w:shd w:val="clear" w:color="auto" w:fill="auto"/>
                  <w:vAlign w:val="center"/>
                </w:tcPr>
                <w:p w14:paraId="4FD8D549">
                  <w:pPr>
                    <w:jc w:val="center"/>
                    <w:rPr>
                      <w:color w:val="000000"/>
                      <w:szCs w:val="21"/>
                    </w:rPr>
                  </w:pPr>
                  <w:r>
                    <w:rPr>
                      <w:color w:val="000000"/>
                      <w:szCs w:val="21"/>
                    </w:rPr>
                    <w:t>空间相对位置/m</w:t>
                  </w:r>
                </w:p>
              </w:tc>
              <w:tc>
                <w:tcPr>
                  <w:tcW w:w="1229" w:type="dxa"/>
                  <w:shd w:val="clear" w:color="auto" w:fill="auto"/>
                  <w:vAlign w:val="center"/>
                </w:tcPr>
                <w:p w14:paraId="4C7B2391">
                  <w:pPr>
                    <w:jc w:val="center"/>
                    <w:rPr>
                      <w:color w:val="000000"/>
                      <w:szCs w:val="21"/>
                    </w:rPr>
                  </w:pPr>
                  <w:r>
                    <w:rPr>
                      <w:color w:val="000000"/>
                      <w:szCs w:val="21"/>
                    </w:rPr>
                    <w:t>声源源强</w:t>
                  </w:r>
                </w:p>
              </w:tc>
              <w:tc>
                <w:tcPr>
                  <w:tcW w:w="873" w:type="dxa"/>
                  <w:vMerge w:val="restart"/>
                  <w:shd w:val="clear" w:color="auto" w:fill="auto"/>
                  <w:vAlign w:val="center"/>
                </w:tcPr>
                <w:p w14:paraId="2B10478C">
                  <w:pPr>
                    <w:jc w:val="center"/>
                    <w:rPr>
                      <w:color w:val="000000"/>
                      <w:szCs w:val="21"/>
                    </w:rPr>
                  </w:pPr>
                  <w:r>
                    <w:rPr>
                      <w:color w:val="000000"/>
                      <w:szCs w:val="21"/>
                    </w:rPr>
                    <w:t>声源控制措施</w:t>
                  </w:r>
                </w:p>
                <w:p w14:paraId="2A957F7B">
                  <w:pPr>
                    <w:jc w:val="center"/>
                    <w:rPr>
                      <w:color w:val="000000"/>
                      <w:szCs w:val="21"/>
                    </w:rPr>
                  </w:pPr>
                </w:p>
              </w:tc>
              <w:tc>
                <w:tcPr>
                  <w:tcW w:w="874" w:type="dxa"/>
                  <w:vMerge w:val="restart"/>
                  <w:shd w:val="clear" w:color="auto" w:fill="auto"/>
                  <w:vAlign w:val="center"/>
                </w:tcPr>
                <w:p w14:paraId="44485F4F">
                  <w:pPr>
                    <w:jc w:val="center"/>
                    <w:rPr>
                      <w:color w:val="000000"/>
                      <w:szCs w:val="21"/>
                    </w:rPr>
                  </w:pPr>
                  <w:r>
                    <w:rPr>
                      <w:color w:val="000000"/>
                      <w:szCs w:val="21"/>
                    </w:rPr>
                    <w:t>运行时段</w:t>
                  </w:r>
                </w:p>
              </w:tc>
            </w:tr>
            <w:tr w14:paraId="4099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5" w:type="dxa"/>
                  <w:vMerge w:val="continue"/>
                  <w:shd w:val="clear" w:color="auto" w:fill="auto"/>
                  <w:vAlign w:val="center"/>
                </w:tcPr>
                <w:p w14:paraId="0A377AE9">
                  <w:pPr>
                    <w:jc w:val="center"/>
                    <w:rPr>
                      <w:color w:val="000000"/>
                      <w:szCs w:val="21"/>
                    </w:rPr>
                  </w:pPr>
                </w:p>
              </w:tc>
              <w:tc>
                <w:tcPr>
                  <w:tcW w:w="791" w:type="dxa"/>
                  <w:vMerge w:val="continue"/>
                  <w:shd w:val="clear" w:color="auto" w:fill="auto"/>
                  <w:vAlign w:val="center"/>
                </w:tcPr>
                <w:p w14:paraId="0D72F42B">
                  <w:pPr>
                    <w:jc w:val="center"/>
                    <w:rPr>
                      <w:color w:val="000000"/>
                      <w:szCs w:val="21"/>
                    </w:rPr>
                  </w:pPr>
                </w:p>
              </w:tc>
              <w:tc>
                <w:tcPr>
                  <w:tcW w:w="954" w:type="dxa"/>
                  <w:vMerge w:val="continue"/>
                  <w:shd w:val="clear" w:color="auto" w:fill="auto"/>
                  <w:vAlign w:val="center"/>
                </w:tcPr>
                <w:p w14:paraId="0E0DDFF4">
                  <w:pPr>
                    <w:jc w:val="center"/>
                    <w:rPr>
                      <w:color w:val="000000"/>
                      <w:szCs w:val="21"/>
                    </w:rPr>
                  </w:pPr>
                </w:p>
              </w:tc>
              <w:tc>
                <w:tcPr>
                  <w:tcW w:w="730" w:type="dxa"/>
                  <w:shd w:val="clear" w:color="auto" w:fill="auto"/>
                  <w:vAlign w:val="center"/>
                </w:tcPr>
                <w:p w14:paraId="45554E4F">
                  <w:pPr>
                    <w:jc w:val="center"/>
                    <w:rPr>
                      <w:color w:val="000000"/>
                      <w:szCs w:val="21"/>
                    </w:rPr>
                  </w:pPr>
                  <w:r>
                    <w:rPr>
                      <w:rFonts w:hint="eastAsia"/>
                      <w:color w:val="000000"/>
                      <w:szCs w:val="21"/>
                    </w:rPr>
                    <w:t>X</w:t>
                  </w:r>
                </w:p>
              </w:tc>
              <w:tc>
                <w:tcPr>
                  <w:tcW w:w="730" w:type="dxa"/>
                  <w:shd w:val="clear" w:color="auto" w:fill="auto"/>
                  <w:vAlign w:val="center"/>
                </w:tcPr>
                <w:p w14:paraId="74AA0F27">
                  <w:pPr>
                    <w:jc w:val="center"/>
                    <w:rPr>
                      <w:color w:val="000000"/>
                      <w:szCs w:val="21"/>
                    </w:rPr>
                  </w:pPr>
                  <w:r>
                    <w:rPr>
                      <w:rFonts w:hint="eastAsia"/>
                      <w:color w:val="000000"/>
                      <w:szCs w:val="21"/>
                    </w:rPr>
                    <w:t>Y</w:t>
                  </w:r>
                </w:p>
              </w:tc>
              <w:tc>
                <w:tcPr>
                  <w:tcW w:w="730" w:type="dxa"/>
                  <w:shd w:val="clear" w:color="auto" w:fill="auto"/>
                  <w:vAlign w:val="center"/>
                </w:tcPr>
                <w:p w14:paraId="3B143EEF">
                  <w:pPr>
                    <w:jc w:val="center"/>
                    <w:rPr>
                      <w:color w:val="000000"/>
                      <w:szCs w:val="21"/>
                    </w:rPr>
                  </w:pPr>
                  <w:r>
                    <w:rPr>
                      <w:rFonts w:hint="eastAsia"/>
                      <w:color w:val="000000"/>
                      <w:szCs w:val="21"/>
                    </w:rPr>
                    <w:t>Z</w:t>
                  </w:r>
                </w:p>
              </w:tc>
              <w:tc>
                <w:tcPr>
                  <w:tcW w:w="1229" w:type="dxa"/>
                  <w:shd w:val="clear" w:color="auto" w:fill="auto"/>
                  <w:vAlign w:val="center"/>
                </w:tcPr>
                <w:p w14:paraId="12BF22BB">
                  <w:pPr>
                    <w:jc w:val="center"/>
                    <w:rPr>
                      <w:color w:val="000000"/>
                      <w:szCs w:val="21"/>
                    </w:rPr>
                  </w:pPr>
                  <w:r>
                    <w:rPr>
                      <w:color w:val="000000"/>
                      <w:szCs w:val="21"/>
                    </w:rPr>
                    <w:t>声功率级/dB(A)</w:t>
                  </w:r>
                </w:p>
              </w:tc>
              <w:tc>
                <w:tcPr>
                  <w:tcW w:w="873" w:type="dxa"/>
                  <w:vMerge w:val="continue"/>
                  <w:shd w:val="clear" w:color="auto" w:fill="auto"/>
                </w:tcPr>
                <w:p w14:paraId="49A4137C">
                  <w:pPr>
                    <w:jc w:val="center"/>
                    <w:rPr>
                      <w:color w:val="000000"/>
                      <w:szCs w:val="21"/>
                    </w:rPr>
                  </w:pPr>
                </w:p>
              </w:tc>
              <w:tc>
                <w:tcPr>
                  <w:tcW w:w="874" w:type="dxa"/>
                  <w:vMerge w:val="continue"/>
                  <w:shd w:val="clear" w:color="auto" w:fill="auto"/>
                </w:tcPr>
                <w:p w14:paraId="368C54B0">
                  <w:pPr>
                    <w:jc w:val="center"/>
                    <w:rPr>
                      <w:color w:val="000000"/>
                      <w:szCs w:val="21"/>
                    </w:rPr>
                  </w:pPr>
                </w:p>
              </w:tc>
            </w:tr>
            <w:tr w14:paraId="62C7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495" w:type="dxa"/>
                  <w:shd w:val="clear" w:color="auto" w:fill="auto"/>
                  <w:vAlign w:val="center"/>
                </w:tcPr>
                <w:p w14:paraId="6462F4DA">
                  <w:pPr>
                    <w:jc w:val="center"/>
                    <w:rPr>
                      <w:color w:val="000000"/>
                      <w:szCs w:val="21"/>
                    </w:rPr>
                  </w:pPr>
                  <w:r>
                    <w:rPr>
                      <w:color w:val="000000"/>
                      <w:szCs w:val="21"/>
                    </w:rPr>
                    <w:t>1</w:t>
                  </w:r>
                </w:p>
              </w:tc>
              <w:tc>
                <w:tcPr>
                  <w:tcW w:w="791" w:type="dxa"/>
                  <w:shd w:val="clear" w:color="auto" w:fill="auto"/>
                  <w:vAlign w:val="center"/>
                </w:tcPr>
                <w:p w14:paraId="43583DC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风机</w:t>
                  </w:r>
                </w:p>
              </w:tc>
              <w:tc>
                <w:tcPr>
                  <w:tcW w:w="954" w:type="dxa"/>
                  <w:shd w:val="clear" w:color="auto" w:fill="auto"/>
                  <w:vAlign w:val="center"/>
                </w:tcPr>
                <w:p w14:paraId="2B474C1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0" w:type="dxa"/>
                  <w:shd w:val="clear" w:color="auto" w:fill="auto"/>
                  <w:vAlign w:val="center"/>
                </w:tcPr>
                <w:p w14:paraId="693FFDA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154</w:t>
                  </w:r>
                </w:p>
              </w:tc>
              <w:tc>
                <w:tcPr>
                  <w:tcW w:w="730" w:type="dxa"/>
                  <w:shd w:val="clear" w:color="auto" w:fill="auto"/>
                  <w:vAlign w:val="center"/>
                </w:tcPr>
                <w:p w14:paraId="56F2D8F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62</w:t>
                  </w:r>
                </w:p>
              </w:tc>
              <w:tc>
                <w:tcPr>
                  <w:tcW w:w="730" w:type="dxa"/>
                  <w:shd w:val="clear" w:color="auto" w:fill="auto"/>
                  <w:vAlign w:val="center"/>
                </w:tcPr>
                <w:p w14:paraId="3D79774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29" w:type="dxa"/>
                  <w:shd w:val="clear" w:color="auto" w:fill="auto"/>
                  <w:vAlign w:val="center"/>
                </w:tcPr>
                <w:p w14:paraId="77E0F36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873" w:type="dxa"/>
                  <w:vMerge w:val="restart"/>
                  <w:shd w:val="clear" w:color="auto" w:fill="auto"/>
                </w:tcPr>
                <w:p w14:paraId="0BE744EA">
                  <w:pPr>
                    <w:jc w:val="left"/>
                    <w:rPr>
                      <w:color w:val="000000"/>
                      <w:szCs w:val="21"/>
                    </w:rPr>
                  </w:pPr>
                  <w:r>
                    <w:rPr>
                      <w:rFonts w:hint="eastAsia"/>
                      <w:color w:val="000000"/>
                      <w:szCs w:val="21"/>
                    </w:rPr>
                    <w:t>消声、减震、低噪声设备</w:t>
                  </w:r>
                </w:p>
              </w:tc>
              <w:tc>
                <w:tcPr>
                  <w:tcW w:w="874" w:type="dxa"/>
                  <w:vMerge w:val="restart"/>
                  <w:shd w:val="clear" w:color="auto" w:fill="auto"/>
                  <w:vAlign w:val="center"/>
                </w:tcPr>
                <w:p w14:paraId="424B6DFE">
                  <w:pPr>
                    <w:jc w:val="center"/>
                    <w:rPr>
                      <w:color w:val="000000"/>
                      <w:szCs w:val="21"/>
                    </w:rPr>
                  </w:pPr>
                  <w:r>
                    <w:rPr>
                      <w:rFonts w:hint="eastAsia"/>
                      <w:color w:val="000000"/>
                      <w:szCs w:val="21"/>
                    </w:rPr>
                    <w:t>白天24</w:t>
                  </w:r>
                  <w:r>
                    <w:rPr>
                      <w:color w:val="000000"/>
                      <w:szCs w:val="21"/>
                    </w:rPr>
                    <w:t>00h</w:t>
                  </w:r>
                </w:p>
              </w:tc>
            </w:tr>
            <w:tr w14:paraId="7346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5" w:type="dxa"/>
                  <w:shd w:val="clear" w:color="auto" w:fill="auto"/>
                  <w:vAlign w:val="center"/>
                </w:tcPr>
                <w:p w14:paraId="1D0BC98B">
                  <w:pPr>
                    <w:jc w:val="center"/>
                    <w:rPr>
                      <w:color w:val="000000"/>
                      <w:szCs w:val="21"/>
                    </w:rPr>
                  </w:pPr>
                  <w:r>
                    <w:rPr>
                      <w:rFonts w:hint="eastAsia"/>
                      <w:color w:val="000000"/>
                      <w:szCs w:val="21"/>
                    </w:rPr>
                    <w:t>2</w:t>
                  </w:r>
                </w:p>
              </w:tc>
              <w:tc>
                <w:tcPr>
                  <w:tcW w:w="791" w:type="dxa"/>
                  <w:shd w:val="clear" w:color="auto" w:fill="auto"/>
                  <w:vAlign w:val="center"/>
                </w:tcPr>
                <w:p w14:paraId="683F99A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水泵</w:t>
                  </w:r>
                </w:p>
              </w:tc>
              <w:tc>
                <w:tcPr>
                  <w:tcW w:w="954" w:type="dxa"/>
                  <w:shd w:val="clear" w:color="auto" w:fill="auto"/>
                  <w:vAlign w:val="center"/>
                </w:tcPr>
                <w:p w14:paraId="6AF5C84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30" w:type="dxa"/>
                  <w:shd w:val="clear" w:color="auto" w:fill="auto"/>
                  <w:vAlign w:val="center"/>
                </w:tcPr>
                <w:p w14:paraId="7210F8E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p>
              </w:tc>
              <w:tc>
                <w:tcPr>
                  <w:tcW w:w="730" w:type="dxa"/>
                  <w:shd w:val="clear" w:color="auto" w:fill="auto"/>
                  <w:vAlign w:val="center"/>
                </w:tcPr>
                <w:p w14:paraId="102976E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12</w:t>
                  </w:r>
                </w:p>
              </w:tc>
              <w:tc>
                <w:tcPr>
                  <w:tcW w:w="730" w:type="dxa"/>
                  <w:shd w:val="clear" w:color="auto" w:fill="auto"/>
                  <w:vAlign w:val="center"/>
                </w:tcPr>
                <w:p w14:paraId="21C2822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29" w:type="dxa"/>
                  <w:shd w:val="clear" w:color="auto" w:fill="auto"/>
                  <w:vAlign w:val="center"/>
                </w:tcPr>
                <w:p w14:paraId="3E08325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873" w:type="dxa"/>
                  <w:vMerge w:val="continue"/>
                  <w:shd w:val="clear" w:color="auto" w:fill="auto"/>
                </w:tcPr>
                <w:p w14:paraId="5B8100F6">
                  <w:pPr>
                    <w:jc w:val="left"/>
                    <w:rPr>
                      <w:color w:val="000000"/>
                      <w:szCs w:val="21"/>
                    </w:rPr>
                  </w:pPr>
                </w:p>
              </w:tc>
              <w:tc>
                <w:tcPr>
                  <w:tcW w:w="874" w:type="dxa"/>
                  <w:vMerge w:val="continue"/>
                  <w:shd w:val="clear" w:color="auto" w:fill="auto"/>
                </w:tcPr>
                <w:p w14:paraId="7F0EBBC6">
                  <w:pPr>
                    <w:jc w:val="center"/>
                    <w:rPr>
                      <w:color w:val="000000"/>
                      <w:szCs w:val="21"/>
                    </w:rPr>
                  </w:pPr>
                </w:p>
              </w:tc>
            </w:tr>
          </w:tbl>
          <w:p w14:paraId="75F6C1E4">
            <w:pPr>
              <w:spacing w:line="360" w:lineRule="auto"/>
              <w:rPr>
                <w:b/>
                <w:bCs/>
                <w:color w:val="00B050"/>
                <w:kern w:val="0"/>
                <w:szCs w:val="21"/>
              </w:rPr>
            </w:pPr>
          </w:p>
          <w:p w14:paraId="167933F4">
            <w:pPr>
              <w:spacing w:line="360" w:lineRule="auto"/>
              <w:rPr>
                <w:b/>
                <w:bCs/>
                <w:kern w:val="0"/>
                <w:sz w:val="24"/>
              </w:rPr>
            </w:pPr>
            <w:r>
              <w:rPr>
                <w:rFonts w:hint="eastAsia"/>
                <w:b/>
                <w:bCs/>
                <w:kern w:val="0"/>
                <w:sz w:val="24"/>
              </w:rPr>
              <w:t>3</w:t>
            </w:r>
            <w:r>
              <w:rPr>
                <w:b/>
                <w:bCs/>
                <w:kern w:val="0"/>
                <w:sz w:val="24"/>
              </w:rPr>
              <w:t>.2 预测模式及预测方法</w:t>
            </w:r>
          </w:p>
          <w:p w14:paraId="42CACF50">
            <w:pPr>
              <w:tabs>
                <w:tab w:val="left" w:pos="462"/>
              </w:tabs>
              <w:spacing w:line="360" w:lineRule="auto"/>
              <w:ind w:firstLine="480" w:firstLineChars="200"/>
              <w:rPr>
                <w:sz w:val="24"/>
              </w:rPr>
            </w:pPr>
            <w:r>
              <w:rPr>
                <w:sz w:val="24"/>
              </w:rPr>
              <w:t>评价选择《环境影响评价技术导则 声环境》（HJ2.4-2021）中的噪声预测模式，主要对拟建项目噪声源对厂界的影响进行预测分析：</w:t>
            </w:r>
          </w:p>
          <w:p w14:paraId="79800853">
            <w:pPr>
              <w:adjustRightInd w:val="0"/>
              <w:snapToGrid w:val="0"/>
              <w:spacing w:line="360" w:lineRule="auto"/>
              <w:ind w:firstLine="480" w:firstLineChars="200"/>
              <w:rPr>
                <w:sz w:val="24"/>
              </w:rPr>
            </w:pPr>
            <w:r>
              <w:rPr>
                <w:sz w:val="24"/>
              </w:rPr>
              <w:t>对同个厂房内多个设备可作为面源；对室外单个设备等视为点源。</w:t>
            </w:r>
          </w:p>
          <w:p w14:paraId="3FCC574E">
            <w:pPr>
              <w:adjustRightInd w:val="0"/>
              <w:snapToGrid w:val="0"/>
              <w:spacing w:line="360" w:lineRule="auto"/>
              <w:ind w:firstLine="480" w:firstLineChars="200"/>
              <w:rPr>
                <w:bCs/>
                <w:sz w:val="24"/>
              </w:rPr>
            </w:pPr>
            <w:r>
              <w:rPr>
                <w:bCs/>
                <w:sz w:val="24"/>
              </w:rPr>
              <w:t>1）室外声源预测模式</w:t>
            </w:r>
          </w:p>
          <w:p w14:paraId="1D3E2E9E">
            <w:pPr>
              <w:adjustRightInd w:val="0"/>
              <w:snapToGrid w:val="0"/>
              <w:spacing w:line="360" w:lineRule="auto"/>
              <w:ind w:firstLine="480" w:firstLineChars="200"/>
              <w:rPr>
                <w:bCs/>
                <w:sz w:val="24"/>
              </w:rPr>
            </w:pPr>
            <w:r>
              <w:rPr>
                <w:bCs/>
                <w:sz w:val="24"/>
              </w:rPr>
              <w:t>户外传播声级衰减计算模式按下面公式进行计算。</w:t>
            </w:r>
          </w:p>
          <w:p w14:paraId="758F30B9">
            <w:pPr>
              <w:adjustRightInd w:val="0"/>
              <w:snapToGrid w:val="0"/>
              <w:spacing w:line="360" w:lineRule="auto"/>
              <w:jc w:val="center"/>
              <w:rPr>
                <w:position w:val="-12"/>
                <w:sz w:val="24"/>
              </w:rPr>
            </w:pPr>
            <w:r>
              <w:rPr>
                <w:i/>
                <w:position w:val="-12"/>
                <w:sz w:val="24"/>
              </w:rPr>
              <w:t>L</w:t>
            </w:r>
            <w:r>
              <w:rPr>
                <w:i/>
                <w:position w:val="-12"/>
                <w:sz w:val="24"/>
                <w:vertAlign w:val="subscript"/>
              </w:rPr>
              <w:t>A</w:t>
            </w:r>
            <w:r>
              <w:rPr>
                <w:position w:val="-12"/>
                <w:sz w:val="24"/>
              </w:rPr>
              <w:t>(</w:t>
            </w:r>
            <w:r>
              <w:rPr>
                <w:i/>
                <w:position w:val="-12"/>
                <w:sz w:val="24"/>
              </w:rPr>
              <w:t>r</w:t>
            </w:r>
            <w:r>
              <w:rPr>
                <w:position w:val="-12"/>
                <w:sz w:val="24"/>
              </w:rPr>
              <w:t>)=</w:t>
            </w:r>
            <w:r>
              <w:rPr>
                <w:i/>
                <w:position w:val="-12"/>
                <w:sz w:val="24"/>
              </w:rPr>
              <w:t>L</w:t>
            </w:r>
            <w:r>
              <w:rPr>
                <w:i/>
                <w:position w:val="-12"/>
                <w:sz w:val="24"/>
                <w:vertAlign w:val="subscript"/>
              </w:rPr>
              <w:t>A</w:t>
            </w:r>
            <w:r>
              <w:rPr>
                <w:position w:val="-12"/>
                <w:sz w:val="24"/>
              </w:rPr>
              <w:t>(</w:t>
            </w:r>
            <w:r>
              <w:rPr>
                <w:i/>
                <w:position w:val="-12"/>
                <w:sz w:val="24"/>
              </w:rPr>
              <w:t>r</w:t>
            </w:r>
            <w:r>
              <w:rPr>
                <w:i/>
                <w:position w:val="-12"/>
                <w:sz w:val="24"/>
                <w:vertAlign w:val="subscript"/>
              </w:rPr>
              <w:t>0</w:t>
            </w:r>
            <w:r>
              <w:rPr>
                <w:position w:val="-12"/>
                <w:sz w:val="24"/>
              </w:rPr>
              <w:t>)-20lg(</w:t>
            </w:r>
            <w:r>
              <w:rPr>
                <w:i/>
                <w:position w:val="-12"/>
                <w:sz w:val="24"/>
              </w:rPr>
              <w:t>r/r</w:t>
            </w:r>
            <w:r>
              <w:rPr>
                <w:i/>
                <w:position w:val="-12"/>
                <w:sz w:val="24"/>
                <w:vertAlign w:val="subscript"/>
              </w:rPr>
              <w:t>0</w:t>
            </w:r>
            <w:r>
              <w:rPr>
                <w:position w:val="-12"/>
                <w:sz w:val="24"/>
              </w:rPr>
              <w:t>)</w:t>
            </w:r>
          </w:p>
          <w:p w14:paraId="114D146F">
            <w:pPr>
              <w:adjustRightInd w:val="0"/>
              <w:snapToGrid w:val="0"/>
              <w:spacing w:line="360" w:lineRule="auto"/>
              <w:ind w:firstLine="480" w:firstLineChars="200"/>
              <w:rPr>
                <w:bCs/>
                <w:position w:val="-14"/>
                <w:sz w:val="24"/>
              </w:rPr>
            </w:pPr>
            <w:r>
              <w:rPr>
                <w:bCs/>
                <w:sz w:val="24"/>
              </w:rPr>
              <w:t>式中：</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w:t>
            </w:r>
            <w:r>
              <w:rPr>
                <w:sz w:val="24"/>
              </w:rPr>
              <w:t xml:space="preserve"> </w:t>
            </w:r>
            <w:r>
              <w:rPr>
                <w:bCs/>
                <w:position w:val="-14"/>
                <w:sz w:val="24"/>
              </w:rPr>
              <w:t>——参考点A声压级；</w:t>
            </w:r>
          </w:p>
          <w:p w14:paraId="5515971A">
            <w:pPr>
              <w:adjustRightInd w:val="0"/>
              <w:snapToGrid w:val="0"/>
              <w:spacing w:line="360" w:lineRule="auto"/>
              <w:ind w:firstLine="1200" w:firstLineChars="500"/>
              <w:rPr>
                <w:bCs/>
                <w:sz w:val="24"/>
              </w:rPr>
            </w:pPr>
            <w:r>
              <w:rPr>
                <w:bCs/>
                <w:i/>
                <w:sz w:val="24"/>
              </w:rPr>
              <w:t xml:space="preserve">r </w:t>
            </w:r>
            <w:r>
              <w:rPr>
                <w:bCs/>
                <w:sz w:val="24"/>
              </w:rPr>
              <w:t>—— 预测点距离，m；真空泵和风机均分布在车间周边；</w:t>
            </w:r>
          </w:p>
          <w:p w14:paraId="3852A3CD">
            <w:pPr>
              <w:adjustRightInd w:val="0"/>
              <w:snapToGrid w:val="0"/>
              <w:spacing w:line="360" w:lineRule="auto"/>
              <w:ind w:firstLine="1200" w:firstLineChars="500"/>
              <w:rPr>
                <w:bCs/>
                <w:sz w:val="24"/>
              </w:rPr>
            </w:pPr>
            <w:r>
              <w:rPr>
                <w:bCs/>
                <w:i/>
                <w:sz w:val="24"/>
              </w:rPr>
              <w:t>r</w:t>
            </w:r>
            <w:r>
              <w:rPr>
                <w:bCs/>
                <w:i/>
                <w:sz w:val="24"/>
                <w:vertAlign w:val="subscript"/>
              </w:rPr>
              <w:t>0</w:t>
            </w:r>
            <w:r>
              <w:rPr>
                <w:bCs/>
                <w:i/>
                <w:sz w:val="24"/>
              </w:rPr>
              <w:t xml:space="preserve"> </w:t>
            </w:r>
            <w:r>
              <w:rPr>
                <w:bCs/>
                <w:sz w:val="24"/>
              </w:rPr>
              <w:t>—— 参考点距离，m；</w:t>
            </w:r>
          </w:p>
          <w:p w14:paraId="5562C3C4">
            <w:pPr>
              <w:adjustRightInd w:val="0"/>
              <w:snapToGrid w:val="0"/>
              <w:spacing w:line="360" w:lineRule="auto"/>
              <w:ind w:firstLine="480" w:firstLineChars="200"/>
              <w:rPr>
                <w:sz w:val="24"/>
              </w:rPr>
            </w:pPr>
            <w:r>
              <w:rPr>
                <w:sz w:val="24"/>
              </w:rPr>
              <w:t>2）室内声源预测模式</w:t>
            </w:r>
          </w:p>
          <w:p w14:paraId="48FD1D4E">
            <w:pPr>
              <w:adjustRightInd w:val="0"/>
              <w:snapToGrid w:val="0"/>
              <w:spacing w:line="360" w:lineRule="auto"/>
              <w:ind w:firstLine="480" w:firstLineChars="200"/>
              <w:rPr>
                <w:sz w:val="24"/>
              </w:rPr>
            </w:pPr>
            <w:r>
              <w:rPr>
                <w:sz w:val="24"/>
              </w:rPr>
              <w:t>噪声由室内传播到室外时，建筑物墙面相当于一个面声源。面声源衰减规律如下：当预测点和面声源中心距离 r 处于以下条件时，可按下述方法近似计算：r&lt;a/π时，几乎不衰减(Adiv≈0)；当a/π&lt;r&lt;b/π，距离加倍衰减 3dB左右，类似线声源衰减特性(</w:t>
            </w:r>
            <w:r>
              <w:rPr>
                <w:i/>
                <w:sz w:val="24"/>
              </w:rPr>
              <w:t>A</w:t>
            </w:r>
            <w:r>
              <w:rPr>
                <w:i/>
                <w:sz w:val="24"/>
                <w:vertAlign w:val="subscript"/>
              </w:rPr>
              <w:t>div</w:t>
            </w:r>
            <w:r>
              <w:rPr>
                <w:sz w:val="24"/>
              </w:rPr>
              <w:t>≈10lg(</w:t>
            </w:r>
            <w:r>
              <w:rPr>
                <w:i/>
                <w:sz w:val="24"/>
              </w:rPr>
              <w:t>r</w:t>
            </w:r>
            <w:r>
              <w:rPr>
                <w:sz w:val="24"/>
              </w:rPr>
              <w:t>/</w:t>
            </w:r>
            <w:r>
              <w:rPr>
                <w:i/>
                <w:sz w:val="24"/>
              </w:rPr>
              <w:t>r</w:t>
            </w:r>
            <w:r>
              <w:rPr>
                <w:i/>
                <w:sz w:val="24"/>
                <w:vertAlign w:val="subscript"/>
              </w:rPr>
              <w:t>0</w:t>
            </w:r>
            <w:r>
              <w:rPr>
                <w:sz w:val="24"/>
              </w:rPr>
              <w:t>))；当r&gt;b/π时，距离加倍衰减趋近于6dB，类似点声源衰减特性(</w:t>
            </w:r>
            <w:r>
              <w:rPr>
                <w:i/>
                <w:sz w:val="24"/>
              </w:rPr>
              <w:t>A</w:t>
            </w:r>
            <w:r>
              <w:rPr>
                <w:i/>
                <w:sz w:val="24"/>
                <w:vertAlign w:val="subscript"/>
              </w:rPr>
              <w:t>div</w:t>
            </w:r>
            <w:r>
              <w:rPr>
                <w:sz w:val="24"/>
              </w:rPr>
              <w:t>≈20lg(</w:t>
            </w:r>
            <w:r>
              <w:rPr>
                <w:i/>
                <w:sz w:val="24"/>
              </w:rPr>
              <w:t>r</w:t>
            </w:r>
            <w:r>
              <w:rPr>
                <w:sz w:val="24"/>
              </w:rPr>
              <w:t>/</w:t>
            </w:r>
            <w:r>
              <w:rPr>
                <w:i/>
                <w:sz w:val="24"/>
              </w:rPr>
              <w:t>r</w:t>
            </w:r>
            <w:r>
              <w:rPr>
                <w:i/>
                <w:sz w:val="24"/>
                <w:vertAlign w:val="subscript"/>
              </w:rPr>
              <w:t>0</w:t>
            </w:r>
            <w:r>
              <w:rPr>
                <w:sz w:val="24"/>
              </w:rPr>
              <w:t>))。其中面声源的 b&gt;a。图中虚线为实际衰减量。</w:t>
            </w:r>
          </w:p>
          <w:p w14:paraId="315A10C7">
            <w:pPr>
              <w:adjustRightInd w:val="0"/>
              <w:snapToGrid w:val="0"/>
              <w:spacing w:line="360" w:lineRule="auto"/>
              <w:jc w:val="center"/>
              <w:rPr>
                <w:sz w:val="24"/>
              </w:rPr>
            </w:pPr>
            <w:r>
              <w:rPr>
                <w:sz w:val="24"/>
              </w:rPr>
              <w:drawing>
                <wp:inline distT="0" distB="0" distL="0" distR="0">
                  <wp:extent cx="3270250" cy="2362200"/>
                  <wp:effectExtent l="0" t="0" r="6350" b="0"/>
                  <wp:docPr id="137828266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2668" name="图片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70250" cy="2362200"/>
                          </a:xfrm>
                          <a:prstGeom prst="rect">
                            <a:avLst/>
                          </a:prstGeom>
                          <a:noFill/>
                          <a:ln>
                            <a:noFill/>
                          </a:ln>
                        </pic:spPr>
                      </pic:pic>
                    </a:graphicData>
                  </a:graphic>
                </wp:inline>
              </w:drawing>
            </w:r>
          </w:p>
          <w:p w14:paraId="67427B28">
            <w:pPr>
              <w:adjustRightInd w:val="0"/>
              <w:snapToGrid w:val="0"/>
              <w:spacing w:line="360" w:lineRule="auto"/>
              <w:jc w:val="center"/>
              <w:rPr>
                <w:b/>
                <w:bCs/>
                <w:sz w:val="24"/>
              </w:rPr>
            </w:pPr>
            <w:r>
              <w:rPr>
                <w:b/>
                <w:bCs/>
                <w:sz w:val="24"/>
              </w:rPr>
              <w:t>图</w:t>
            </w:r>
            <w:r>
              <w:rPr>
                <w:rFonts w:hint="eastAsia"/>
                <w:b/>
                <w:bCs/>
                <w:sz w:val="24"/>
              </w:rPr>
              <w:t>4</w:t>
            </w:r>
            <w:r>
              <w:rPr>
                <w:b/>
                <w:bCs/>
                <w:sz w:val="24"/>
              </w:rPr>
              <w:t>-</w:t>
            </w:r>
            <w:r>
              <w:rPr>
                <w:rFonts w:hint="eastAsia"/>
                <w:b/>
                <w:bCs/>
                <w:sz w:val="24"/>
              </w:rPr>
              <w:t>2</w:t>
            </w:r>
            <w:r>
              <w:rPr>
                <w:b/>
                <w:bCs/>
                <w:sz w:val="24"/>
              </w:rPr>
              <w:t xml:space="preserve">  长方形面声源中心轴线上的衰减特性</w:t>
            </w:r>
          </w:p>
          <w:p w14:paraId="7C7B97B4">
            <w:pPr>
              <w:adjustRightInd w:val="0"/>
              <w:snapToGrid w:val="0"/>
              <w:spacing w:line="360" w:lineRule="auto"/>
              <w:ind w:firstLine="480" w:firstLineChars="200"/>
              <w:rPr>
                <w:bCs/>
                <w:sz w:val="24"/>
              </w:rPr>
            </w:pPr>
            <w:r>
              <w:rPr>
                <w:rFonts w:hint="eastAsia" w:ascii="宋体" w:hAnsi="宋体" w:cs="宋体"/>
                <w:bCs/>
                <w:sz w:val="24"/>
              </w:rPr>
              <w:t>①</w:t>
            </w:r>
            <w:r>
              <w:rPr>
                <w:bCs/>
                <w:sz w:val="24"/>
              </w:rPr>
              <w:t>当</w:t>
            </w:r>
            <w:r>
              <w:rPr>
                <w:i/>
                <w:sz w:val="24"/>
              </w:rPr>
              <w:t>r</w:t>
            </w:r>
            <w:r>
              <w:rPr>
                <w:sz w:val="24"/>
              </w:rPr>
              <w:t>&lt;</w:t>
            </w:r>
            <w:r>
              <w:rPr>
                <w:i/>
                <w:sz w:val="24"/>
              </w:rPr>
              <w:t>a</w:t>
            </w:r>
            <w:r>
              <w:rPr>
                <w:sz w:val="24"/>
              </w:rPr>
              <w:t>/</w:t>
            </w:r>
            <w:r>
              <w:rPr>
                <w:i/>
                <w:sz w:val="24"/>
              </w:rPr>
              <w:t>π</w:t>
            </w:r>
            <w:r>
              <w:rPr>
                <w:sz w:val="24"/>
              </w:rPr>
              <w:t>时</w:t>
            </w:r>
          </w:p>
          <w:p w14:paraId="2C77BCFE">
            <w:pPr>
              <w:adjustRightInd w:val="0"/>
              <w:snapToGrid w:val="0"/>
              <w:spacing w:line="360" w:lineRule="auto"/>
              <w:ind w:firstLine="480" w:firstLineChars="200"/>
              <w:rPr>
                <w:sz w:val="24"/>
              </w:rPr>
            </w:pPr>
            <w:r>
              <w:rPr>
                <w:bCs/>
                <w:sz w:val="24"/>
              </w:rPr>
              <w:t>声压级几乎不衰减，</w:t>
            </w:r>
            <w:r>
              <w:rPr>
                <w:sz w:val="24"/>
              </w:rPr>
              <w:t>r处的声压级按下式计算：</w:t>
            </w:r>
          </w:p>
          <w:p w14:paraId="089A25A2">
            <w:pPr>
              <w:adjustRightInd w:val="0"/>
              <w:snapToGrid w:val="0"/>
              <w:spacing w:line="360" w:lineRule="auto"/>
              <w:jc w:val="center"/>
              <w:rPr>
                <w:bCs/>
                <w:position w:val="-14"/>
                <w:sz w:val="24"/>
              </w:rPr>
            </w:pPr>
            <w:r>
              <w:rPr>
                <w:bCs/>
                <w:i/>
                <w:position w:val="-14"/>
                <w:sz w:val="24"/>
              </w:rPr>
              <w:t>L</w:t>
            </w:r>
            <w:r>
              <w:rPr>
                <w:bCs/>
                <w:i/>
                <w:position w:val="-14"/>
                <w:sz w:val="24"/>
                <w:vertAlign w:val="subscript"/>
              </w:rPr>
              <w:t>A</w:t>
            </w:r>
            <w:r>
              <w:rPr>
                <w:bCs/>
                <w:position w:val="-14"/>
                <w:sz w:val="24"/>
              </w:rPr>
              <w:t>(</w:t>
            </w:r>
            <w:r>
              <w:rPr>
                <w:bCs/>
                <w:i/>
                <w:position w:val="-14"/>
                <w:sz w:val="24"/>
              </w:rPr>
              <w:t>r</w:t>
            </w:r>
            <w:r>
              <w:rPr>
                <w:bCs/>
                <w:position w:val="-14"/>
                <w:sz w:val="24"/>
              </w:rPr>
              <w:t xml:space="preserve">) = </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w:t>
            </w:r>
          </w:p>
          <w:p w14:paraId="1CA264A9">
            <w:pPr>
              <w:adjustRightInd w:val="0"/>
              <w:snapToGrid w:val="0"/>
              <w:spacing w:line="360" w:lineRule="auto"/>
              <w:ind w:firstLine="480" w:firstLineChars="200"/>
              <w:rPr>
                <w:bCs/>
                <w:sz w:val="24"/>
              </w:rPr>
            </w:pPr>
            <w:r>
              <w:rPr>
                <w:rFonts w:hint="eastAsia" w:ascii="宋体" w:hAnsi="宋体" w:cs="宋体"/>
                <w:bCs/>
                <w:sz w:val="24"/>
              </w:rPr>
              <w:t>②</w:t>
            </w:r>
            <w:r>
              <w:rPr>
                <w:bCs/>
                <w:sz w:val="24"/>
              </w:rPr>
              <w:t>当</w:t>
            </w:r>
            <w:r>
              <w:rPr>
                <w:i/>
                <w:sz w:val="24"/>
              </w:rPr>
              <w:t>a</w:t>
            </w:r>
            <w:r>
              <w:rPr>
                <w:sz w:val="24"/>
              </w:rPr>
              <w:t>/</w:t>
            </w:r>
            <w:r>
              <w:rPr>
                <w:i/>
                <w:sz w:val="24"/>
              </w:rPr>
              <w:t>π</w:t>
            </w:r>
            <w:r>
              <w:rPr>
                <w:sz w:val="24"/>
              </w:rPr>
              <w:t>&lt;</w:t>
            </w:r>
            <w:r>
              <w:rPr>
                <w:i/>
                <w:sz w:val="24"/>
              </w:rPr>
              <w:t>r</w:t>
            </w:r>
            <w:r>
              <w:rPr>
                <w:sz w:val="24"/>
              </w:rPr>
              <w:t>&lt;</w:t>
            </w:r>
            <w:r>
              <w:rPr>
                <w:i/>
                <w:sz w:val="24"/>
              </w:rPr>
              <w:t>b</w:t>
            </w:r>
            <w:r>
              <w:rPr>
                <w:sz w:val="24"/>
              </w:rPr>
              <w:t>/</w:t>
            </w:r>
            <w:r>
              <w:rPr>
                <w:i/>
                <w:sz w:val="24"/>
              </w:rPr>
              <w:t>π</w:t>
            </w:r>
            <w:r>
              <w:rPr>
                <w:sz w:val="24"/>
              </w:rPr>
              <w:t>时</w:t>
            </w:r>
          </w:p>
          <w:p w14:paraId="1CFC72B3">
            <w:pPr>
              <w:adjustRightInd w:val="0"/>
              <w:snapToGrid w:val="0"/>
              <w:spacing w:line="360" w:lineRule="auto"/>
              <w:ind w:firstLine="480" w:firstLineChars="200"/>
              <w:rPr>
                <w:sz w:val="24"/>
              </w:rPr>
            </w:pPr>
            <w:r>
              <w:rPr>
                <w:bCs/>
                <w:sz w:val="24"/>
              </w:rPr>
              <w:t>声压级随着距离加倍衰减3dB左右，类似线声源衰减特性，</w:t>
            </w:r>
            <w:r>
              <w:rPr>
                <w:sz w:val="24"/>
              </w:rPr>
              <w:t>r处的声压级按下式计算：</w:t>
            </w:r>
          </w:p>
          <w:p w14:paraId="1BC9058F">
            <w:pPr>
              <w:adjustRightInd w:val="0"/>
              <w:snapToGrid w:val="0"/>
              <w:spacing w:line="360" w:lineRule="auto"/>
              <w:jc w:val="center"/>
              <w:rPr>
                <w:bCs/>
                <w:position w:val="-14"/>
                <w:sz w:val="24"/>
              </w:rPr>
            </w:pPr>
            <w:r>
              <w:rPr>
                <w:bCs/>
                <w:i/>
                <w:position w:val="-14"/>
                <w:sz w:val="24"/>
              </w:rPr>
              <w:t>L</w:t>
            </w:r>
            <w:r>
              <w:rPr>
                <w:bCs/>
                <w:i/>
                <w:position w:val="-14"/>
                <w:sz w:val="24"/>
                <w:vertAlign w:val="subscript"/>
              </w:rPr>
              <w:t>A</w:t>
            </w:r>
            <w:r>
              <w:rPr>
                <w:bCs/>
                <w:position w:val="-14"/>
                <w:sz w:val="24"/>
              </w:rPr>
              <w:t>(</w:t>
            </w:r>
            <w:r>
              <w:rPr>
                <w:bCs/>
                <w:i/>
                <w:position w:val="-14"/>
                <w:sz w:val="24"/>
              </w:rPr>
              <w:t>r</w:t>
            </w:r>
            <w:r>
              <w:rPr>
                <w:bCs/>
                <w:position w:val="-14"/>
                <w:sz w:val="24"/>
              </w:rPr>
              <w:t xml:space="preserve">) = </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 - 10lg ((</w:t>
            </w:r>
            <w:r>
              <w:rPr>
                <w:bCs/>
                <w:i/>
                <w:position w:val="-14"/>
                <w:sz w:val="24"/>
              </w:rPr>
              <w:t>r-a</w:t>
            </w:r>
            <w:r>
              <w:rPr>
                <w:bCs/>
                <w:position w:val="-14"/>
                <w:sz w:val="24"/>
              </w:rPr>
              <w:t>/</w:t>
            </w:r>
            <w:r>
              <w:rPr>
                <w:bCs/>
                <w:i/>
                <w:position w:val="-14"/>
                <w:sz w:val="24"/>
              </w:rPr>
              <w:t>π</w:t>
            </w:r>
            <w:r>
              <w:rPr>
                <w:bCs/>
                <w:position w:val="-14"/>
                <w:sz w:val="24"/>
              </w:rPr>
              <w:t>)/</w:t>
            </w:r>
            <w:r>
              <w:rPr>
                <w:bCs/>
                <w:i/>
                <w:position w:val="-14"/>
                <w:sz w:val="24"/>
              </w:rPr>
              <w:t>r</w:t>
            </w:r>
            <w:r>
              <w:rPr>
                <w:bCs/>
                <w:i/>
                <w:position w:val="-14"/>
                <w:sz w:val="24"/>
                <w:vertAlign w:val="subscript"/>
              </w:rPr>
              <w:t>0</w:t>
            </w:r>
            <w:r>
              <w:rPr>
                <w:bCs/>
                <w:position w:val="-14"/>
                <w:sz w:val="24"/>
              </w:rPr>
              <w:t>)</w:t>
            </w:r>
          </w:p>
          <w:p w14:paraId="09E71233">
            <w:pPr>
              <w:adjustRightInd w:val="0"/>
              <w:snapToGrid w:val="0"/>
              <w:spacing w:line="360" w:lineRule="auto"/>
              <w:ind w:firstLine="480" w:firstLineChars="200"/>
              <w:rPr>
                <w:bCs/>
                <w:sz w:val="24"/>
              </w:rPr>
            </w:pPr>
            <w:r>
              <w:rPr>
                <w:rFonts w:hint="eastAsia" w:ascii="宋体" w:hAnsi="宋体" w:cs="宋体"/>
                <w:bCs/>
                <w:sz w:val="24"/>
              </w:rPr>
              <w:t>③</w:t>
            </w:r>
            <w:r>
              <w:rPr>
                <w:sz w:val="24"/>
              </w:rPr>
              <w:t>当</w:t>
            </w:r>
            <w:r>
              <w:rPr>
                <w:i/>
                <w:sz w:val="24"/>
              </w:rPr>
              <w:t>r</w:t>
            </w:r>
            <w:r>
              <w:rPr>
                <w:sz w:val="24"/>
              </w:rPr>
              <w:t>&gt;</w:t>
            </w:r>
            <w:r>
              <w:rPr>
                <w:i/>
                <w:sz w:val="24"/>
              </w:rPr>
              <w:t>b</w:t>
            </w:r>
            <w:r>
              <w:rPr>
                <w:sz w:val="24"/>
              </w:rPr>
              <w:t>/</w:t>
            </w:r>
            <w:r>
              <w:rPr>
                <w:i/>
                <w:sz w:val="24"/>
              </w:rPr>
              <w:t>π</w:t>
            </w:r>
            <w:r>
              <w:rPr>
                <w:sz w:val="24"/>
              </w:rPr>
              <w:t>时</w:t>
            </w:r>
          </w:p>
          <w:p w14:paraId="00B1DA71">
            <w:pPr>
              <w:adjustRightInd w:val="0"/>
              <w:snapToGrid w:val="0"/>
              <w:spacing w:line="360" w:lineRule="auto"/>
              <w:ind w:firstLine="480" w:firstLineChars="200"/>
              <w:rPr>
                <w:bCs/>
                <w:sz w:val="24"/>
              </w:rPr>
            </w:pPr>
            <w:r>
              <w:rPr>
                <w:bCs/>
                <w:sz w:val="24"/>
              </w:rPr>
              <w:t>声压级随着</w:t>
            </w:r>
            <w:r>
              <w:rPr>
                <w:sz w:val="24"/>
              </w:rPr>
              <w:t>距离加倍衰减趋近于6dB，类似点声源衰减特性</w:t>
            </w:r>
            <w:r>
              <w:rPr>
                <w:bCs/>
                <w:sz w:val="24"/>
              </w:rPr>
              <w:t>，</w:t>
            </w:r>
            <w:r>
              <w:rPr>
                <w:sz w:val="24"/>
              </w:rPr>
              <w:t>r处的声压级按下式计算：</w:t>
            </w:r>
          </w:p>
          <w:p w14:paraId="4215BF19">
            <w:pPr>
              <w:adjustRightInd w:val="0"/>
              <w:snapToGrid w:val="0"/>
              <w:spacing w:line="360" w:lineRule="auto"/>
              <w:jc w:val="center"/>
              <w:rPr>
                <w:bCs/>
                <w:position w:val="-14"/>
                <w:sz w:val="24"/>
              </w:rPr>
            </w:pPr>
            <w:r>
              <w:rPr>
                <w:bCs/>
                <w:i/>
                <w:position w:val="-14"/>
                <w:sz w:val="24"/>
              </w:rPr>
              <w:t>L</w:t>
            </w:r>
            <w:r>
              <w:rPr>
                <w:bCs/>
                <w:i/>
                <w:position w:val="-14"/>
                <w:sz w:val="24"/>
                <w:vertAlign w:val="subscript"/>
              </w:rPr>
              <w:t>A</w:t>
            </w:r>
            <w:r>
              <w:rPr>
                <w:bCs/>
                <w:position w:val="-14"/>
                <w:sz w:val="24"/>
              </w:rPr>
              <w:t>(</w:t>
            </w:r>
            <w:r>
              <w:rPr>
                <w:bCs/>
                <w:i/>
                <w:position w:val="-14"/>
                <w:sz w:val="24"/>
              </w:rPr>
              <w:t>r</w:t>
            </w:r>
            <w:r>
              <w:rPr>
                <w:bCs/>
                <w:position w:val="-14"/>
                <w:sz w:val="24"/>
              </w:rPr>
              <w:t xml:space="preserve">) = </w:t>
            </w:r>
            <w:r>
              <w:rPr>
                <w:bCs/>
                <w:i/>
                <w:position w:val="-14"/>
                <w:sz w:val="24"/>
              </w:rPr>
              <w:t>L</w:t>
            </w:r>
            <w:r>
              <w:rPr>
                <w:bCs/>
                <w:i/>
                <w:position w:val="-14"/>
                <w:sz w:val="24"/>
                <w:vertAlign w:val="subscript"/>
              </w:rPr>
              <w:t>A</w:t>
            </w:r>
            <w:r>
              <w:rPr>
                <w:bCs/>
                <w:position w:val="-14"/>
                <w:sz w:val="24"/>
              </w:rPr>
              <w:t>(</w:t>
            </w:r>
            <w:r>
              <w:rPr>
                <w:bCs/>
                <w:i/>
                <w:position w:val="-14"/>
                <w:sz w:val="24"/>
              </w:rPr>
              <w:t>r</w:t>
            </w:r>
            <w:r>
              <w:rPr>
                <w:bCs/>
                <w:i/>
                <w:position w:val="-14"/>
                <w:sz w:val="24"/>
                <w:vertAlign w:val="subscript"/>
              </w:rPr>
              <w:t>0</w:t>
            </w:r>
            <w:r>
              <w:rPr>
                <w:bCs/>
                <w:position w:val="-14"/>
                <w:sz w:val="24"/>
              </w:rPr>
              <w:t>) - 20lg ((</w:t>
            </w:r>
            <w:r>
              <w:rPr>
                <w:bCs/>
                <w:i/>
                <w:position w:val="-14"/>
                <w:sz w:val="24"/>
              </w:rPr>
              <w:t>r-b</w:t>
            </w:r>
            <w:r>
              <w:rPr>
                <w:bCs/>
                <w:position w:val="-14"/>
                <w:sz w:val="24"/>
              </w:rPr>
              <w:t>/</w:t>
            </w:r>
            <w:r>
              <w:rPr>
                <w:bCs/>
                <w:i/>
                <w:position w:val="-14"/>
                <w:sz w:val="24"/>
              </w:rPr>
              <w:t>π</w:t>
            </w:r>
            <w:r>
              <w:rPr>
                <w:bCs/>
                <w:position w:val="-14"/>
                <w:sz w:val="24"/>
              </w:rPr>
              <w:t>)/</w:t>
            </w:r>
            <w:r>
              <w:rPr>
                <w:bCs/>
                <w:i/>
                <w:position w:val="-14"/>
                <w:sz w:val="24"/>
              </w:rPr>
              <w:t>r</w:t>
            </w:r>
            <w:r>
              <w:rPr>
                <w:bCs/>
                <w:i/>
                <w:position w:val="-14"/>
                <w:sz w:val="24"/>
                <w:vertAlign w:val="subscript"/>
              </w:rPr>
              <w:t>0</w:t>
            </w:r>
            <w:r>
              <w:rPr>
                <w:bCs/>
                <w:position w:val="-14"/>
                <w:sz w:val="24"/>
              </w:rPr>
              <w:t>)</w:t>
            </w:r>
          </w:p>
          <w:p w14:paraId="5750F5B4">
            <w:pPr>
              <w:adjustRightInd w:val="0"/>
              <w:snapToGrid w:val="0"/>
              <w:spacing w:line="360" w:lineRule="auto"/>
              <w:ind w:firstLine="480" w:firstLineChars="200"/>
              <w:rPr>
                <w:sz w:val="24"/>
              </w:rPr>
            </w:pPr>
            <w:r>
              <w:rPr>
                <w:sz w:val="24"/>
              </w:rPr>
              <w:t>3）预测点的等效声级贡献值</w:t>
            </w:r>
          </w:p>
          <w:p w14:paraId="57EED49A">
            <w:pPr>
              <w:adjustRightInd w:val="0"/>
              <w:snapToGrid w:val="0"/>
              <w:spacing w:line="360" w:lineRule="auto"/>
              <w:ind w:firstLine="480" w:firstLineChars="200"/>
              <w:rPr>
                <w:sz w:val="24"/>
              </w:rPr>
            </w:pPr>
            <w:r>
              <w:rPr>
                <w:sz w:val="24"/>
              </w:rPr>
              <w:t>第</w:t>
            </w:r>
            <w:r>
              <w:rPr>
                <w:i/>
                <w:sz w:val="24"/>
              </w:rPr>
              <w:t>i</w:t>
            </w:r>
            <w:r>
              <w:rPr>
                <w:sz w:val="24"/>
              </w:rPr>
              <w:t>个室外声源在预测点产生的A声级为</w:t>
            </w:r>
            <w:r>
              <w:rPr>
                <w:i/>
                <w:sz w:val="24"/>
              </w:rPr>
              <w:t>L</w:t>
            </w:r>
            <w:r>
              <w:rPr>
                <w:i/>
                <w:sz w:val="24"/>
                <w:vertAlign w:val="subscript"/>
              </w:rPr>
              <w:t>Ai</w:t>
            </w:r>
            <w:r>
              <w:rPr>
                <w:sz w:val="24"/>
              </w:rPr>
              <w:t>，在</w:t>
            </w:r>
            <w:r>
              <w:rPr>
                <w:i/>
                <w:sz w:val="24"/>
              </w:rPr>
              <w:t>T</w:t>
            </w:r>
            <w:r>
              <w:rPr>
                <w:sz w:val="24"/>
              </w:rPr>
              <w:t>时间内该声源工作时间为</w:t>
            </w:r>
            <w:r>
              <w:rPr>
                <w:i/>
                <w:sz w:val="24"/>
              </w:rPr>
              <w:t>t</w:t>
            </w:r>
            <w:r>
              <w:rPr>
                <w:i/>
                <w:sz w:val="24"/>
                <w:vertAlign w:val="subscript"/>
              </w:rPr>
              <w:t>i</w:t>
            </w:r>
            <w:r>
              <w:rPr>
                <w:sz w:val="24"/>
              </w:rPr>
              <w:t>；第</w:t>
            </w:r>
            <w:r>
              <w:rPr>
                <w:i/>
                <w:sz w:val="24"/>
              </w:rPr>
              <w:t>j</w:t>
            </w:r>
            <w:r>
              <w:rPr>
                <w:sz w:val="24"/>
              </w:rPr>
              <w:t>个等效室外声源在预测点产生的A声级为</w:t>
            </w:r>
            <w:r>
              <w:rPr>
                <w:i/>
                <w:sz w:val="24"/>
              </w:rPr>
              <w:t>L</w:t>
            </w:r>
            <w:r>
              <w:rPr>
                <w:i/>
                <w:sz w:val="24"/>
                <w:vertAlign w:val="subscript"/>
              </w:rPr>
              <w:t>Aj</w:t>
            </w:r>
            <w:r>
              <w:rPr>
                <w:sz w:val="24"/>
              </w:rPr>
              <w:t>，拟建工程声源对预测点产生的贡献值(</w:t>
            </w:r>
            <w:r>
              <w:rPr>
                <w:i/>
                <w:sz w:val="24"/>
              </w:rPr>
              <w:t>L</w:t>
            </w:r>
            <w:r>
              <w:rPr>
                <w:i/>
                <w:sz w:val="24"/>
                <w:vertAlign w:val="subscript"/>
              </w:rPr>
              <w:t>eqg</w:t>
            </w:r>
            <w:r>
              <w:rPr>
                <w:sz w:val="24"/>
              </w:rPr>
              <w:t>)为：</w:t>
            </w:r>
          </w:p>
          <w:p w14:paraId="005F0C77">
            <w:pPr>
              <w:adjustRightInd w:val="0"/>
              <w:snapToGrid w:val="0"/>
              <w:spacing w:line="360" w:lineRule="auto"/>
              <w:jc w:val="center"/>
              <w:rPr>
                <w:sz w:val="24"/>
              </w:rPr>
            </w:pPr>
            <w:r>
              <w:rPr>
                <w:sz w:val="24"/>
              </w:rPr>
              <w:drawing>
                <wp:inline distT="0" distB="0" distL="0" distR="0">
                  <wp:extent cx="2743200" cy="552450"/>
                  <wp:effectExtent l="0" t="0" r="0" b="0"/>
                  <wp:docPr id="3065030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0303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43200" cy="552450"/>
                          </a:xfrm>
                          <a:prstGeom prst="rect">
                            <a:avLst/>
                          </a:prstGeom>
                          <a:noFill/>
                          <a:ln>
                            <a:noFill/>
                          </a:ln>
                        </pic:spPr>
                      </pic:pic>
                    </a:graphicData>
                  </a:graphic>
                </wp:inline>
              </w:drawing>
            </w:r>
          </w:p>
          <w:p w14:paraId="596DCFA6">
            <w:pPr>
              <w:adjustRightInd w:val="0"/>
              <w:snapToGrid w:val="0"/>
              <w:spacing w:line="360" w:lineRule="auto"/>
              <w:ind w:firstLine="480" w:firstLineChars="200"/>
              <w:rPr>
                <w:bCs/>
                <w:sz w:val="24"/>
              </w:rPr>
            </w:pPr>
            <w:r>
              <w:rPr>
                <w:bCs/>
                <w:sz w:val="24"/>
              </w:rPr>
              <w:t>式中：</w:t>
            </w:r>
            <w:r>
              <w:rPr>
                <w:bCs/>
                <w:i/>
                <w:sz w:val="24"/>
              </w:rPr>
              <w:t>L</w:t>
            </w:r>
            <w:r>
              <w:rPr>
                <w:bCs/>
                <w:i/>
                <w:sz w:val="24"/>
                <w:vertAlign w:val="subscript"/>
              </w:rPr>
              <w:t>eqg</w:t>
            </w:r>
            <w:r>
              <w:rPr>
                <w:bCs/>
                <w:sz w:val="24"/>
              </w:rPr>
              <w:t xml:space="preserve"> ——建设项目声源在预测点的等效声级贡献值，dB(A)；</w:t>
            </w:r>
          </w:p>
          <w:p w14:paraId="64C409C4">
            <w:pPr>
              <w:adjustRightInd w:val="0"/>
              <w:snapToGrid w:val="0"/>
              <w:spacing w:line="360" w:lineRule="auto"/>
              <w:ind w:firstLine="1200" w:firstLineChars="500"/>
              <w:rPr>
                <w:bCs/>
                <w:sz w:val="24"/>
              </w:rPr>
            </w:pPr>
            <w:r>
              <w:rPr>
                <w:position w:val="-12"/>
                <w:sz w:val="24"/>
              </w:rPr>
              <w:drawing>
                <wp:inline distT="0" distB="0" distL="0" distR="0">
                  <wp:extent cx="361950" cy="184150"/>
                  <wp:effectExtent l="0" t="0" r="0" b="6350"/>
                  <wp:docPr id="94858713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7135"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 cy="184150"/>
                          </a:xfrm>
                          <a:prstGeom prst="rect">
                            <a:avLst/>
                          </a:prstGeom>
                          <a:noFill/>
                          <a:ln>
                            <a:noFill/>
                          </a:ln>
                        </pic:spPr>
                      </pic:pic>
                    </a:graphicData>
                  </a:graphic>
                </wp:inline>
              </w:drawing>
            </w:r>
            <w:r>
              <w:rPr>
                <w:bCs/>
                <w:sz w:val="24"/>
              </w:rPr>
              <w:t>——i声源在预测点产生的A声级，dB(A)；</w:t>
            </w:r>
          </w:p>
          <w:p w14:paraId="4FB79319">
            <w:pPr>
              <w:adjustRightInd w:val="0"/>
              <w:snapToGrid w:val="0"/>
              <w:spacing w:line="360" w:lineRule="auto"/>
              <w:ind w:firstLine="1200" w:firstLineChars="500"/>
              <w:rPr>
                <w:bCs/>
                <w:sz w:val="24"/>
              </w:rPr>
            </w:pPr>
            <w:r>
              <w:rPr>
                <w:position w:val="-12"/>
                <w:sz w:val="24"/>
              </w:rPr>
              <w:drawing>
                <wp:inline distT="0" distB="0" distL="0" distR="0">
                  <wp:extent cx="177800" cy="184150"/>
                  <wp:effectExtent l="0" t="0" r="0" b="6350"/>
                  <wp:docPr id="7737856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85611"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84150"/>
                          </a:xfrm>
                          <a:prstGeom prst="rect">
                            <a:avLst/>
                          </a:prstGeom>
                          <a:noFill/>
                          <a:ln>
                            <a:noFill/>
                          </a:ln>
                        </pic:spPr>
                      </pic:pic>
                    </a:graphicData>
                  </a:graphic>
                </wp:inline>
              </w:drawing>
            </w:r>
            <w:r>
              <w:rPr>
                <w:bCs/>
                <w:sz w:val="24"/>
              </w:rPr>
              <w:t>——i声源在T时间段内的运行时间，S；</w:t>
            </w:r>
          </w:p>
          <w:p w14:paraId="5092F954">
            <w:pPr>
              <w:adjustRightInd w:val="0"/>
              <w:snapToGrid w:val="0"/>
              <w:spacing w:line="360" w:lineRule="auto"/>
              <w:ind w:firstLine="1200" w:firstLineChars="500"/>
              <w:rPr>
                <w:bCs/>
                <w:sz w:val="24"/>
              </w:rPr>
            </w:pPr>
            <w:r>
              <w:rPr>
                <w:bCs/>
                <w:i/>
                <w:sz w:val="24"/>
              </w:rPr>
              <w:t>t</w:t>
            </w:r>
            <w:r>
              <w:rPr>
                <w:bCs/>
                <w:i/>
                <w:sz w:val="24"/>
                <w:vertAlign w:val="subscript"/>
              </w:rPr>
              <w:t>j</w:t>
            </w:r>
            <w:r>
              <w:rPr>
                <w:bCs/>
                <w:sz w:val="24"/>
              </w:rPr>
              <w:t xml:space="preserve"> ——在 T 时间内 j 声源工作时间，s；</w:t>
            </w:r>
          </w:p>
          <w:p w14:paraId="3173DDCA">
            <w:pPr>
              <w:adjustRightInd w:val="0"/>
              <w:snapToGrid w:val="0"/>
              <w:spacing w:line="360" w:lineRule="auto"/>
              <w:ind w:firstLine="1200" w:firstLineChars="500"/>
              <w:rPr>
                <w:bCs/>
                <w:sz w:val="24"/>
              </w:rPr>
            </w:pPr>
            <w:r>
              <w:rPr>
                <w:bCs/>
                <w:i/>
                <w:sz w:val="24"/>
              </w:rPr>
              <w:t>t</w:t>
            </w:r>
            <w:r>
              <w:rPr>
                <w:bCs/>
                <w:i/>
                <w:sz w:val="24"/>
                <w:vertAlign w:val="subscript"/>
              </w:rPr>
              <w:t>i</w:t>
            </w:r>
            <w:r>
              <w:rPr>
                <w:bCs/>
                <w:sz w:val="24"/>
              </w:rPr>
              <w:t xml:space="preserve"> ——在 T 时间内 i 声源工作时间，s；</w:t>
            </w:r>
          </w:p>
          <w:p w14:paraId="451052CB">
            <w:pPr>
              <w:adjustRightInd w:val="0"/>
              <w:snapToGrid w:val="0"/>
              <w:spacing w:line="360" w:lineRule="auto"/>
              <w:ind w:firstLine="1200" w:firstLineChars="500"/>
              <w:rPr>
                <w:bCs/>
                <w:sz w:val="24"/>
              </w:rPr>
            </w:pPr>
            <w:r>
              <w:rPr>
                <w:bCs/>
                <w:i/>
                <w:sz w:val="24"/>
              </w:rPr>
              <w:t>T</w:t>
            </w:r>
            <w:r>
              <w:rPr>
                <w:bCs/>
                <w:sz w:val="24"/>
              </w:rPr>
              <w:t xml:space="preserve"> ——用于计算等效声级的时间，s；</w:t>
            </w:r>
          </w:p>
          <w:p w14:paraId="1E45095E">
            <w:pPr>
              <w:adjustRightInd w:val="0"/>
              <w:snapToGrid w:val="0"/>
              <w:spacing w:line="360" w:lineRule="auto"/>
              <w:ind w:firstLine="1200" w:firstLineChars="500"/>
              <w:rPr>
                <w:bCs/>
                <w:sz w:val="24"/>
              </w:rPr>
            </w:pPr>
            <w:r>
              <w:rPr>
                <w:bCs/>
                <w:i/>
                <w:sz w:val="24"/>
              </w:rPr>
              <w:t>N</w:t>
            </w:r>
            <w:r>
              <w:rPr>
                <w:bCs/>
                <w:sz w:val="24"/>
              </w:rPr>
              <w:t xml:space="preserve"> ——室外声源个数；</w:t>
            </w:r>
          </w:p>
          <w:p w14:paraId="598529E6">
            <w:pPr>
              <w:adjustRightInd w:val="0"/>
              <w:snapToGrid w:val="0"/>
              <w:spacing w:line="360" w:lineRule="auto"/>
              <w:ind w:firstLine="1200" w:firstLineChars="500"/>
              <w:rPr>
                <w:bCs/>
                <w:sz w:val="24"/>
              </w:rPr>
            </w:pPr>
            <w:r>
              <w:rPr>
                <w:bCs/>
                <w:i/>
                <w:sz w:val="24"/>
              </w:rPr>
              <w:t>M</w:t>
            </w:r>
            <w:r>
              <w:rPr>
                <w:bCs/>
                <w:sz w:val="24"/>
              </w:rPr>
              <w:t xml:space="preserve"> ——等效室外声源个数。</w:t>
            </w:r>
          </w:p>
          <w:p w14:paraId="64A532B8">
            <w:pPr>
              <w:spacing w:line="360" w:lineRule="auto"/>
              <w:ind w:firstLine="480" w:firstLineChars="200"/>
              <w:rPr>
                <w:color w:val="000000"/>
                <w:sz w:val="24"/>
              </w:rPr>
            </w:pPr>
            <w:r>
              <w:rPr>
                <w:color w:val="000000"/>
                <w:sz w:val="24"/>
              </w:rPr>
              <w:t>4）预测结果及评价</w:t>
            </w:r>
          </w:p>
          <w:p w14:paraId="17E5DE7D">
            <w:pPr>
              <w:spacing w:line="360" w:lineRule="auto"/>
              <w:ind w:firstLine="480" w:firstLineChars="200"/>
              <w:rPr>
                <w:color w:val="000000"/>
                <w:sz w:val="24"/>
              </w:rPr>
            </w:pPr>
            <w:r>
              <w:rPr>
                <w:color w:val="000000"/>
                <w:sz w:val="24"/>
              </w:rPr>
              <w:t>噪声在室外空间的传播，由于受到遮挡物的隔断，各种介质的吸收与反射，以及空气介质的吸收等物理作用而逐渐减弱。</w:t>
            </w:r>
          </w:p>
          <w:p w14:paraId="3097B8B4">
            <w:pPr>
              <w:spacing w:line="360" w:lineRule="auto"/>
              <w:ind w:firstLine="480" w:firstLineChars="200"/>
              <w:rPr>
                <w:color w:val="000000"/>
                <w:sz w:val="24"/>
              </w:rPr>
            </w:pPr>
            <w:r>
              <w:rPr>
                <w:rFonts w:hint="eastAsia"/>
                <w:color w:val="000000"/>
                <w:sz w:val="24"/>
              </w:rPr>
              <w:t>项目各厂界及噪声敏感点生产运行期间监测结果</w:t>
            </w:r>
            <w:r>
              <w:rPr>
                <w:color w:val="000000"/>
                <w:sz w:val="24"/>
              </w:rPr>
              <w:t>见下表4-1</w:t>
            </w:r>
            <w:r>
              <w:rPr>
                <w:rFonts w:hint="eastAsia"/>
                <w:color w:val="000000"/>
                <w:sz w:val="24"/>
              </w:rPr>
              <w:t>7</w:t>
            </w:r>
            <w:r>
              <w:rPr>
                <w:color w:val="000000"/>
                <w:sz w:val="24"/>
              </w:rPr>
              <w:t>。</w:t>
            </w:r>
          </w:p>
          <w:p w14:paraId="2D9432F3">
            <w:pPr>
              <w:jc w:val="center"/>
              <w:rPr>
                <w:b/>
                <w:color w:val="000000"/>
                <w:szCs w:val="21"/>
              </w:rPr>
            </w:pPr>
          </w:p>
          <w:p w14:paraId="4D095E6C">
            <w:pPr>
              <w:jc w:val="center"/>
              <w:rPr>
                <w:b/>
                <w:color w:val="000000"/>
                <w:szCs w:val="21"/>
              </w:rPr>
            </w:pPr>
          </w:p>
          <w:p w14:paraId="47958E88">
            <w:pPr>
              <w:jc w:val="center"/>
              <w:rPr>
                <w:b/>
                <w:color w:val="000000"/>
                <w:szCs w:val="21"/>
              </w:rPr>
            </w:pPr>
            <w:r>
              <w:rPr>
                <w:b/>
                <w:color w:val="000000"/>
                <w:szCs w:val="21"/>
              </w:rPr>
              <w:t>表4-1</w:t>
            </w:r>
            <w:r>
              <w:rPr>
                <w:rFonts w:hint="eastAsia"/>
                <w:b/>
                <w:color w:val="000000"/>
                <w:szCs w:val="21"/>
              </w:rPr>
              <w:t>7</w:t>
            </w:r>
            <w:r>
              <w:rPr>
                <w:b/>
                <w:color w:val="000000"/>
                <w:szCs w:val="21"/>
              </w:rPr>
              <w:t>噪声</w:t>
            </w:r>
            <w:r>
              <w:rPr>
                <w:rFonts w:hint="eastAsia"/>
                <w:b/>
                <w:color w:val="000000"/>
                <w:szCs w:val="21"/>
              </w:rPr>
              <w:t>监测</w:t>
            </w:r>
            <w:r>
              <w:rPr>
                <w:b/>
                <w:color w:val="000000"/>
                <w:szCs w:val="21"/>
              </w:rPr>
              <w:t>结果一览表  单位：dB(A)</w:t>
            </w:r>
          </w:p>
          <w:tbl>
            <w:tblPr>
              <w:tblStyle w:val="27"/>
              <w:tblW w:w="7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440"/>
              <w:gridCol w:w="2299"/>
              <w:gridCol w:w="2297"/>
            </w:tblGrid>
            <w:tr w14:paraId="6DED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Merge w:val="restart"/>
                  <w:vAlign w:val="center"/>
                </w:tcPr>
                <w:p w14:paraId="6886779C">
                  <w:pPr>
                    <w:jc w:val="center"/>
                    <w:rPr>
                      <w:rFonts w:hint="eastAsia" w:ascii="宋体" w:hAnsi="宋体" w:cs="宋体"/>
                      <w:b/>
                      <w:szCs w:val="21"/>
                    </w:rPr>
                  </w:pPr>
                  <w:r>
                    <w:rPr>
                      <w:rFonts w:hint="eastAsia" w:ascii="宋体" w:hAnsi="宋体" w:cs="宋体"/>
                      <w:b/>
                      <w:szCs w:val="21"/>
                    </w:rPr>
                    <w:t>测点</w:t>
                  </w:r>
                </w:p>
                <w:p w14:paraId="09A798E1">
                  <w:pPr>
                    <w:jc w:val="center"/>
                    <w:rPr>
                      <w:rFonts w:hint="eastAsia" w:ascii="宋体" w:hAnsi="宋体" w:cs="宋体"/>
                      <w:b/>
                      <w:szCs w:val="21"/>
                    </w:rPr>
                  </w:pPr>
                  <w:r>
                    <w:rPr>
                      <w:rFonts w:hint="eastAsia" w:ascii="宋体" w:hAnsi="宋体" w:cs="宋体"/>
                      <w:b/>
                      <w:szCs w:val="21"/>
                    </w:rPr>
                    <w:t>序号</w:t>
                  </w:r>
                </w:p>
              </w:tc>
              <w:tc>
                <w:tcPr>
                  <w:tcW w:w="2440" w:type="dxa"/>
                  <w:vMerge w:val="restart"/>
                  <w:vAlign w:val="center"/>
                </w:tcPr>
                <w:p w14:paraId="7DA0B737">
                  <w:pPr>
                    <w:jc w:val="center"/>
                    <w:rPr>
                      <w:rFonts w:hint="eastAsia" w:ascii="宋体" w:hAnsi="宋体" w:cs="宋体"/>
                      <w:b/>
                      <w:szCs w:val="21"/>
                    </w:rPr>
                  </w:pPr>
                  <w:r>
                    <w:rPr>
                      <w:rFonts w:hint="eastAsia" w:ascii="宋体" w:hAnsi="宋体" w:cs="宋体"/>
                      <w:b/>
                      <w:szCs w:val="21"/>
                    </w:rPr>
                    <w:t>监测点位</w:t>
                  </w:r>
                </w:p>
              </w:tc>
              <w:tc>
                <w:tcPr>
                  <w:tcW w:w="4596" w:type="dxa"/>
                  <w:gridSpan w:val="2"/>
                  <w:vAlign w:val="center"/>
                </w:tcPr>
                <w:p w14:paraId="19A1C420">
                  <w:pPr>
                    <w:jc w:val="center"/>
                    <w:rPr>
                      <w:rFonts w:hint="eastAsia" w:ascii="宋体" w:hAnsi="宋体" w:cs="宋体"/>
                      <w:b/>
                      <w:szCs w:val="21"/>
                    </w:rPr>
                  </w:pPr>
                  <w:r>
                    <w:rPr>
                      <w:b/>
                      <w:szCs w:val="21"/>
                    </w:rPr>
                    <w:t>Leq</w:t>
                  </w:r>
                  <w:r>
                    <w:rPr>
                      <w:rFonts w:hint="eastAsia" w:ascii="宋体" w:hAnsi="宋体" w:cs="宋体"/>
                      <w:b/>
                      <w:szCs w:val="21"/>
                    </w:rPr>
                    <w:t>值（</w:t>
                  </w:r>
                  <w:r>
                    <w:rPr>
                      <w:b/>
                      <w:szCs w:val="21"/>
                    </w:rPr>
                    <w:t>dB(A)</w:t>
                  </w:r>
                  <w:r>
                    <w:rPr>
                      <w:rFonts w:hint="eastAsia" w:ascii="宋体" w:hAnsi="宋体" w:cs="宋体"/>
                      <w:b/>
                      <w:szCs w:val="21"/>
                    </w:rPr>
                    <w:t>）</w:t>
                  </w:r>
                </w:p>
              </w:tc>
            </w:tr>
            <w:tr w14:paraId="79F7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Merge w:val="continue"/>
                  <w:vAlign w:val="center"/>
                </w:tcPr>
                <w:p w14:paraId="54C2E9AF">
                  <w:pPr>
                    <w:jc w:val="center"/>
                    <w:rPr>
                      <w:rFonts w:hint="eastAsia" w:ascii="宋体" w:hAnsi="宋体" w:cs="宋体"/>
                      <w:b/>
                      <w:szCs w:val="21"/>
                    </w:rPr>
                  </w:pPr>
                </w:p>
              </w:tc>
              <w:tc>
                <w:tcPr>
                  <w:tcW w:w="2440" w:type="dxa"/>
                  <w:vMerge w:val="continue"/>
                  <w:vAlign w:val="center"/>
                </w:tcPr>
                <w:p w14:paraId="548BB903">
                  <w:pPr>
                    <w:jc w:val="center"/>
                    <w:rPr>
                      <w:rFonts w:hint="eastAsia" w:ascii="宋体" w:hAnsi="宋体" w:cs="宋体"/>
                      <w:b/>
                      <w:szCs w:val="21"/>
                    </w:rPr>
                  </w:pPr>
                </w:p>
              </w:tc>
              <w:tc>
                <w:tcPr>
                  <w:tcW w:w="4596" w:type="dxa"/>
                  <w:gridSpan w:val="2"/>
                  <w:vAlign w:val="center"/>
                </w:tcPr>
                <w:p w14:paraId="0F458B26">
                  <w:pPr>
                    <w:jc w:val="center"/>
                    <w:rPr>
                      <w:rFonts w:hint="eastAsia" w:ascii="宋体" w:hAnsi="宋体" w:cs="宋体"/>
                      <w:b/>
                      <w:szCs w:val="21"/>
                    </w:rPr>
                  </w:pPr>
                  <w:r>
                    <w:rPr>
                      <w:rFonts w:hint="eastAsia" w:ascii="宋体" w:hAnsi="宋体" w:cs="宋体"/>
                      <w:b/>
                      <w:szCs w:val="21"/>
                    </w:rPr>
                    <w:t>昼间</w:t>
                  </w:r>
                </w:p>
              </w:tc>
            </w:tr>
            <w:tr w14:paraId="2662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Merge w:val="continue"/>
                  <w:vAlign w:val="center"/>
                </w:tcPr>
                <w:p w14:paraId="751FEF96">
                  <w:pPr>
                    <w:jc w:val="center"/>
                    <w:rPr>
                      <w:rFonts w:hint="eastAsia" w:ascii="宋体" w:hAnsi="宋体" w:cs="宋体"/>
                      <w:b/>
                      <w:szCs w:val="21"/>
                    </w:rPr>
                  </w:pPr>
                </w:p>
              </w:tc>
              <w:tc>
                <w:tcPr>
                  <w:tcW w:w="2440" w:type="dxa"/>
                  <w:vMerge w:val="continue"/>
                  <w:vAlign w:val="center"/>
                </w:tcPr>
                <w:p w14:paraId="653743E0">
                  <w:pPr>
                    <w:jc w:val="center"/>
                    <w:rPr>
                      <w:rFonts w:hint="eastAsia" w:ascii="宋体" w:hAnsi="宋体" w:cs="宋体"/>
                      <w:b/>
                      <w:szCs w:val="21"/>
                    </w:rPr>
                  </w:pPr>
                </w:p>
              </w:tc>
              <w:tc>
                <w:tcPr>
                  <w:tcW w:w="2299" w:type="dxa"/>
                  <w:vAlign w:val="center"/>
                </w:tcPr>
                <w:p w14:paraId="1433E848">
                  <w:pPr>
                    <w:jc w:val="center"/>
                    <w:rPr>
                      <w:b/>
                      <w:szCs w:val="21"/>
                    </w:rPr>
                  </w:pPr>
                  <w:r>
                    <w:rPr>
                      <w:b/>
                      <w:szCs w:val="21"/>
                    </w:rPr>
                    <w:t>5.22</w:t>
                  </w:r>
                </w:p>
              </w:tc>
              <w:tc>
                <w:tcPr>
                  <w:tcW w:w="2297" w:type="dxa"/>
                  <w:vAlign w:val="center"/>
                </w:tcPr>
                <w:p w14:paraId="1023F907">
                  <w:pPr>
                    <w:jc w:val="center"/>
                    <w:rPr>
                      <w:b/>
                      <w:szCs w:val="21"/>
                    </w:rPr>
                  </w:pPr>
                  <w:r>
                    <w:rPr>
                      <w:b/>
                      <w:szCs w:val="21"/>
                    </w:rPr>
                    <w:t>5.23</w:t>
                  </w:r>
                </w:p>
              </w:tc>
            </w:tr>
            <w:tr w14:paraId="5249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Align w:val="center"/>
                </w:tcPr>
                <w:p w14:paraId="33445D79">
                  <w:pPr>
                    <w:jc w:val="center"/>
                    <w:rPr>
                      <w:bCs/>
                      <w:szCs w:val="21"/>
                    </w:rPr>
                  </w:pPr>
                  <w:r>
                    <w:rPr>
                      <w:bCs/>
                      <w:szCs w:val="21"/>
                    </w:rPr>
                    <w:t>1</w:t>
                  </w:r>
                </w:p>
              </w:tc>
              <w:tc>
                <w:tcPr>
                  <w:tcW w:w="2440" w:type="dxa"/>
                  <w:vAlign w:val="center"/>
                </w:tcPr>
                <w:p w14:paraId="60C2B44F">
                  <w:pPr>
                    <w:jc w:val="center"/>
                    <w:rPr>
                      <w:bCs/>
                      <w:szCs w:val="21"/>
                    </w:rPr>
                  </w:pPr>
                  <w:r>
                    <w:rPr>
                      <w:szCs w:val="21"/>
                    </w:rPr>
                    <w:t>厂界外东侧1m处</w:t>
                  </w:r>
                </w:p>
              </w:tc>
              <w:tc>
                <w:tcPr>
                  <w:tcW w:w="2299" w:type="dxa"/>
                  <w:vAlign w:val="center"/>
                </w:tcPr>
                <w:p w14:paraId="288C343C">
                  <w:pPr>
                    <w:jc w:val="center"/>
                    <w:rPr>
                      <w:bCs/>
                      <w:szCs w:val="21"/>
                    </w:rPr>
                  </w:pPr>
                  <w:r>
                    <w:rPr>
                      <w:bCs/>
                      <w:szCs w:val="21"/>
                    </w:rPr>
                    <w:t>57.8</w:t>
                  </w:r>
                </w:p>
              </w:tc>
              <w:tc>
                <w:tcPr>
                  <w:tcW w:w="2297" w:type="dxa"/>
                  <w:vAlign w:val="center"/>
                </w:tcPr>
                <w:p w14:paraId="25BCAD1A">
                  <w:pPr>
                    <w:jc w:val="center"/>
                    <w:rPr>
                      <w:bCs/>
                      <w:szCs w:val="21"/>
                    </w:rPr>
                  </w:pPr>
                  <w:r>
                    <w:rPr>
                      <w:bCs/>
                      <w:szCs w:val="21"/>
                    </w:rPr>
                    <w:t>55.6</w:t>
                  </w:r>
                </w:p>
              </w:tc>
            </w:tr>
            <w:tr w14:paraId="4DAB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Align w:val="center"/>
                </w:tcPr>
                <w:p w14:paraId="69CBF810">
                  <w:pPr>
                    <w:jc w:val="center"/>
                    <w:rPr>
                      <w:bCs/>
                      <w:szCs w:val="21"/>
                    </w:rPr>
                  </w:pPr>
                  <w:r>
                    <w:rPr>
                      <w:bCs/>
                      <w:szCs w:val="21"/>
                    </w:rPr>
                    <w:t>2</w:t>
                  </w:r>
                </w:p>
              </w:tc>
              <w:tc>
                <w:tcPr>
                  <w:tcW w:w="2440" w:type="dxa"/>
                  <w:vAlign w:val="center"/>
                </w:tcPr>
                <w:p w14:paraId="50F87672">
                  <w:pPr>
                    <w:jc w:val="center"/>
                    <w:rPr>
                      <w:bCs/>
                      <w:szCs w:val="21"/>
                    </w:rPr>
                  </w:pPr>
                  <w:r>
                    <w:rPr>
                      <w:szCs w:val="21"/>
                    </w:rPr>
                    <w:t>厂界外南侧1m处</w:t>
                  </w:r>
                </w:p>
              </w:tc>
              <w:tc>
                <w:tcPr>
                  <w:tcW w:w="2299" w:type="dxa"/>
                  <w:vAlign w:val="center"/>
                </w:tcPr>
                <w:p w14:paraId="66E4DE2F">
                  <w:pPr>
                    <w:jc w:val="center"/>
                    <w:rPr>
                      <w:bCs/>
                      <w:szCs w:val="21"/>
                    </w:rPr>
                  </w:pPr>
                  <w:r>
                    <w:rPr>
                      <w:bCs/>
                      <w:szCs w:val="21"/>
                    </w:rPr>
                    <w:t>55.5</w:t>
                  </w:r>
                </w:p>
              </w:tc>
              <w:tc>
                <w:tcPr>
                  <w:tcW w:w="2297" w:type="dxa"/>
                  <w:vAlign w:val="center"/>
                </w:tcPr>
                <w:p w14:paraId="752CAB0E">
                  <w:pPr>
                    <w:jc w:val="center"/>
                    <w:rPr>
                      <w:bCs/>
                      <w:szCs w:val="21"/>
                    </w:rPr>
                  </w:pPr>
                  <w:r>
                    <w:rPr>
                      <w:bCs/>
                      <w:szCs w:val="21"/>
                    </w:rPr>
                    <w:t>55.4</w:t>
                  </w:r>
                </w:p>
              </w:tc>
            </w:tr>
            <w:tr w14:paraId="3A03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Align w:val="center"/>
                </w:tcPr>
                <w:p w14:paraId="3AF1D3C5">
                  <w:pPr>
                    <w:jc w:val="center"/>
                    <w:rPr>
                      <w:bCs/>
                      <w:szCs w:val="21"/>
                    </w:rPr>
                  </w:pPr>
                  <w:r>
                    <w:rPr>
                      <w:bCs/>
                      <w:szCs w:val="21"/>
                    </w:rPr>
                    <w:t>3</w:t>
                  </w:r>
                </w:p>
              </w:tc>
              <w:tc>
                <w:tcPr>
                  <w:tcW w:w="2440" w:type="dxa"/>
                  <w:vAlign w:val="center"/>
                </w:tcPr>
                <w:p w14:paraId="6A560907">
                  <w:pPr>
                    <w:jc w:val="center"/>
                    <w:rPr>
                      <w:bCs/>
                      <w:szCs w:val="21"/>
                    </w:rPr>
                  </w:pPr>
                  <w:r>
                    <w:rPr>
                      <w:szCs w:val="21"/>
                    </w:rPr>
                    <w:t>厂界外西侧1m处</w:t>
                  </w:r>
                </w:p>
              </w:tc>
              <w:tc>
                <w:tcPr>
                  <w:tcW w:w="2299" w:type="dxa"/>
                  <w:vAlign w:val="center"/>
                </w:tcPr>
                <w:p w14:paraId="01A530EE">
                  <w:pPr>
                    <w:jc w:val="center"/>
                    <w:rPr>
                      <w:bCs/>
                      <w:szCs w:val="21"/>
                    </w:rPr>
                  </w:pPr>
                  <w:r>
                    <w:rPr>
                      <w:bCs/>
                      <w:szCs w:val="21"/>
                    </w:rPr>
                    <w:t>55.9</w:t>
                  </w:r>
                </w:p>
              </w:tc>
              <w:tc>
                <w:tcPr>
                  <w:tcW w:w="2297" w:type="dxa"/>
                  <w:vAlign w:val="center"/>
                </w:tcPr>
                <w:p w14:paraId="3952D6B4">
                  <w:pPr>
                    <w:jc w:val="center"/>
                    <w:rPr>
                      <w:bCs/>
                      <w:szCs w:val="21"/>
                    </w:rPr>
                  </w:pPr>
                  <w:r>
                    <w:rPr>
                      <w:bCs/>
                      <w:szCs w:val="21"/>
                    </w:rPr>
                    <w:t>58.8</w:t>
                  </w:r>
                </w:p>
              </w:tc>
            </w:tr>
            <w:tr w14:paraId="0088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Align w:val="center"/>
                </w:tcPr>
                <w:p w14:paraId="3620DEFC">
                  <w:pPr>
                    <w:jc w:val="center"/>
                    <w:rPr>
                      <w:bCs/>
                      <w:szCs w:val="21"/>
                    </w:rPr>
                  </w:pPr>
                  <w:r>
                    <w:rPr>
                      <w:bCs/>
                      <w:szCs w:val="21"/>
                    </w:rPr>
                    <w:t>4</w:t>
                  </w:r>
                </w:p>
              </w:tc>
              <w:tc>
                <w:tcPr>
                  <w:tcW w:w="2440" w:type="dxa"/>
                  <w:vAlign w:val="center"/>
                </w:tcPr>
                <w:p w14:paraId="2617353A">
                  <w:pPr>
                    <w:jc w:val="center"/>
                    <w:rPr>
                      <w:bCs/>
                      <w:szCs w:val="21"/>
                    </w:rPr>
                  </w:pPr>
                  <w:r>
                    <w:rPr>
                      <w:szCs w:val="21"/>
                    </w:rPr>
                    <w:t>厂界外北侧1m处</w:t>
                  </w:r>
                </w:p>
              </w:tc>
              <w:tc>
                <w:tcPr>
                  <w:tcW w:w="2299" w:type="dxa"/>
                  <w:vAlign w:val="center"/>
                </w:tcPr>
                <w:p w14:paraId="6361B714">
                  <w:pPr>
                    <w:jc w:val="center"/>
                    <w:rPr>
                      <w:bCs/>
                      <w:szCs w:val="21"/>
                    </w:rPr>
                  </w:pPr>
                  <w:r>
                    <w:rPr>
                      <w:bCs/>
                      <w:szCs w:val="21"/>
                    </w:rPr>
                    <w:t>55.5</w:t>
                  </w:r>
                </w:p>
              </w:tc>
              <w:tc>
                <w:tcPr>
                  <w:tcW w:w="2297" w:type="dxa"/>
                  <w:vAlign w:val="center"/>
                </w:tcPr>
                <w:p w14:paraId="36B95F45">
                  <w:pPr>
                    <w:jc w:val="center"/>
                    <w:rPr>
                      <w:bCs/>
                      <w:szCs w:val="21"/>
                    </w:rPr>
                  </w:pPr>
                  <w:r>
                    <w:rPr>
                      <w:bCs/>
                      <w:szCs w:val="21"/>
                    </w:rPr>
                    <w:t>56.4</w:t>
                  </w:r>
                </w:p>
              </w:tc>
            </w:tr>
            <w:tr w14:paraId="1095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Align w:val="center"/>
                </w:tcPr>
                <w:p w14:paraId="169026C9">
                  <w:pPr>
                    <w:jc w:val="center"/>
                    <w:rPr>
                      <w:bCs/>
                      <w:szCs w:val="21"/>
                    </w:rPr>
                  </w:pPr>
                  <w:r>
                    <w:rPr>
                      <w:rFonts w:hint="eastAsia"/>
                      <w:bCs/>
                      <w:szCs w:val="21"/>
                    </w:rPr>
                    <w:t>5</w:t>
                  </w:r>
                </w:p>
              </w:tc>
              <w:tc>
                <w:tcPr>
                  <w:tcW w:w="2440" w:type="dxa"/>
                  <w:vAlign w:val="center"/>
                </w:tcPr>
                <w:p w14:paraId="332CA658">
                  <w:pPr>
                    <w:jc w:val="center"/>
                    <w:rPr>
                      <w:szCs w:val="21"/>
                    </w:rPr>
                  </w:pPr>
                  <w:r>
                    <w:rPr>
                      <w:rFonts w:hint="eastAsia"/>
                      <w:szCs w:val="21"/>
                    </w:rPr>
                    <w:t>北侧居民点</w:t>
                  </w:r>
                </w:p>
              </w:tc>
              <w:tc>
                <w:tcPr>
                  <w:tcW w:w="2299" w:type="dxa"/>
                  <w:vAlign w:val="center"/>
                </w:tcPr>
                <w:p w14:paraId="52F63B39">
                  <w:pPr>
                    <w:jc w:val="center"/>
                    <w:rPr>
                      <w:bCs/>
                      <w:szCs w:val="21"/>
                    </w:rPr>
                  </w:pPr>
                  <w:r>
                    <w:rPr>
                      <w:bCs/>
                      <w:szCs w:val="21"/>
                    </w:rPr>
                    <w:t>56.6</w:t>
                  </w:r>
                </w:p>
              </w:tc>
              <w:tc>
                <w:tcPr>
                  <w:tcW w:w="2297" w:type="dxa"/>
                  <w:vAlign w:val="center"/>
                </w:tcPr>
                <w:p w14:paraId="4B4AD335">
                  <w:pPr>
                    <w:jc w:val="center"/>
                    <w:rPr>
                      <w:bCs/>
                      <w:szCs w:val="21"/>
                    </w:rPr>
                  </w:pPr>
                  <w:r>
                    <w:rPr>
                      <w:bCs/>
                      <w:szCs w:val="21"/>
                    </w:rPr>
                    <w:t>56.6</w:t>
                  </w:r>
                </w:p>
              </w:tc>
            </w:tr>
            <w:tr w14:paraId="441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Align w:val="center"/>
                </w:tcPr>
                <w:p w14:paraId="52FB9539">
                  <w:pPr>
                    <w:jc w:val="center"/>
                    <w:rPr>
                      <w:bCs/>
                      <w:szCs w:val="21"/>
                    </w:rPr>
                  </w:pPr>
                  <w:r>
                    <w:rPr>
                      <w:rFonts w:hint="eastAsia"/>
                      <w:bCs/>
                      <w:szCs w:val="21"/>
                    </w:rPr>
                    <w:t>6</w:t>
                  </w:r>
                </w:p>
              </w:tc>
              <w:tc>
                <w:tcPr>
                  <w:tcW w:w="2440" w:type="dxa"/>
                  <w:vAlign w:val="center"/>
                </w:tcPr>
                <w:p w14:paraId="1898895F">
                  <w:pPr>
                    <w:jc w:val="center"/>
                    <w:rPr>
                      <w:szCs w:val="21"/>
                    </w:rPr>
                  </w:pPr>
                  <w:r>
                    <w:rPr>
                      <w:rFonts w:hint="eastAsia"/>
                      <w:szCs w:val="21"/>
                    </w:rPr>
                    <w:t>南侧居民点</w:t>
                  </w:r>
                </w:p>
              </w:tc>
              <w:tc>
                <w:tcPr>
                  <w:tcW w:w="2299" w:type="dxa"/>
                  <w:vAlign w:val="center"/>
                </w:tcPr>
                <w:p w14:paraId="2EDAB6F0">
                  <w:pPr>
                    <w:jc w:val="center"/>
                    <w:rPr>
                      <w:bCs/>
                      <w:szCs w:val="21"/>
                    </w:rPr>
                  </w:pPr>
                  <w:r>
                    <w:rPr>
                      <w:bCs/>
                      <w:szCs w:val="21"/>
                    </w:rPr>
                    <w:t>54.5</w:t>
                  </w:r>
                </w:p>
              </w:tc>
              <w:tc>
                <w:tcPr>
                  <w:tcW w:w="2297" w:type="dxa"/>
                  <w:vAlign w:val="center"/>
                </w:tcPr>
                <w:p w14:paraId="17A8DC39">
                  <w:pPr>
                    <w:jc w:val="center"/>
                    <w:rPr>
                      <w:bCs/>
                      <w:szCs w:val="21"/>
                    </w:rPr>
                  </w:pPr>
                  <w:r>
                    <w:rPr>
                      <w:bCs/>
                      <w:szCs w:val="21"/>
                    </w:rPr>
                    <w:t>55.7</w:t>
                  </w:r>
                </w:p>
              </w:tc>
            </w:tr>
            <w:tr w14:paraId="4119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9" w:type="dxa"/>
                  <w:vAlign w:val="center"/>
                </w:tcPr>
                <w:p w14:paraId="7C1F91CF">
                  <w:pPr>
                    <w:jc w:val="center"/>
                    <w:rPr>
                      <w:bCs/>
                      <w:szCs w:val="21"/>
                    </w:rPr>
                  </w:pPr>
                  <w:r>
                    <w:rPr>
                      <w:rFonts w:hint="eastAsia"/>
                      <w:bCs/>
                      <w:szCs w:val="21"/>
                    </w:rPr>
                    <w:t>7</w:t>
                  </w:r>
                </w:p>
              </w:tc>
              <w:tc>
                <w:tcPr>
                  <w:tcW w:w="2440" w:type="dxa"/>
                  <w:vAlign w:val="center"/>
                </w:tcPr>
                <w:p w14:paraId="6229BBD7">
                  <w:pPr>
                    <w:jc w:val="center"/>
                    <w:rPr>
                      <w:szCs w:val="21"/>
                    </w:rPr>
                  </w:pPr>
                  <w:r>
                    <w:rPr>
                      <w:rFonts w:hint="eastAsia"/>
                      <w:szCs w:val="21"/>
                    </w:rPr>
                    <w:t>西南侧敬老院</w:t>
                  </w:r>
                </w:p>
              </w:tc>
              <w:tc>
                <w:tcPr>
                  <w:tcW w:w="2299" w:type="dxa"/>
                  <w:vAlign w:val="center"/>
                </w:tcPr>
                <w:p w14:paraId="76181ADE">
                  <w:pPr>
                    <w:jc w:val="center"/>
                    <w:rPr>
                      <w:bCs/>
                      <w:szCs w:val="21"/>
                    </w:rPr>
                  </w:pPr>
                  <w:r>
                    <w:rPr>
                      <w:bCs/>
                      <w:szCs w:val="21"/>
                    </w:rPr>
                    <w:t>54.9</w:t>
                  </w:r>
                </w:p>
              </w:tc>
              <w:tc>
                <w:tcPr>
                  <w:tcW w:w="2297" w:type="dxa"/>
                  <w:vAlign w:val="center"/>
                </w:tcPr>
                <w:p w14:paraId="15CBA8D8">
                  <w:pPr>
                    <w:jc w:val="center"/>
                    <w:rPr>
                      <w:bCs/>
                      <w:szCs w:val="21"/>
                    </w:rPr>
                  </w:pPr>
                  <w:r>
                    <w:rPr>
                      <w:bCs/>
                      <w:szCs w:val="21"/>
                    </w:rPr>
                    <w:t>54.8</w:t>
                  </w:r>
                </w:p>
              </w:tc>
            </w:tr>
          </w:tbl>
          <w:p w14:paraId="60B6BFA0"/>
          <w:p w14:paraId="1B32E053">
            <w:pPr>
              <w:tabs>
                <w:tab w:val="left" w:pos="462"/>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本项目夜间不生产，各厂界噪声根据现状实际监测结果，各</w:t>
            </w:r>
            <w:r>
              <w:rPr>
                <w:color w:val="000000" w:themeColor="text1"/>
                <w:sz w:val="24"/>
                <w14:textFill>
                  <w14:solidFill>
                    <w14:schemeClr w14:val="tx1"/>
                  </w14:solidFill>
                </w14:textFill>
              </w:rPr>
              <w:t>厂界外可以满足《工业企业厂界环境噪声排放标准》(GB12348-2008)中的2类标准要求</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根据上述预测，</w:t>
            </w:r>
            <w:r>
              <w:rPr>
                <w:rFonts w:hint="eastAsia"/>
                <w:color w:val="000000" w:themeColor="text1"/>
                <w:sz w:val="24"/>
                <w14:textFill>
                  <w14:solidFill>
                    <w14:schemeClr w14:val="tx1"/>
                  </w14:solidFill>
                </w14:textFill>
              </w:rPr>
              <w:t>各敏感点均能满足</w:t>
            </w:r>
            <w:r>
              <w:rPr>
                <w:color w:val="000000" w:themeColor="text1"/>
                <w:sz w:val="24"/>
                <w14:textFill>
                  <w14:solidFill>
                    <w14:schemeClr w14:val="tx1"/>
                  </w14:solidFill>
                </w14:textFill>
              </w:rPr>
              <w:t>《声环境质量标准》 （GB3098-2008）2 类标准限值的要求。</w:t>
            </w:r>
          </w:p>
          <w:p w14:paraId="09D48FD8">
            <w:pPr>
              <w:tabs>
                <w:tab w:val="left" w:pos="462"/>
              </w:tabs>
              <w:spacing w:line="360" w:lineRule="auto"/>
              <w:ind w:firstLine="480" w:firstLineChars="200"/>
              <w:rPr>
                <w:sz w:val="24"/>
              </w:rPr>
            </w:pPr>
            <w:r>
              <w:rPr>
                <w:sz w:val="24"/>
              </w:rPr>
              <w:t>为了减小本项目噪声对周边环境的影响，建议业主还应采取以下防治措施：</w:t>
            </w:r>
          </w:p>
          <w:p w14:paraId="3A9F1415">
            <w:pPr>
              <w:tabs>
                <w:tab w:val="left" w:pos="462"/>
              </w:tabs>
              <w:spacing w:line="360" w:lineRule="auto"/>
              <w:ind w:firstLine="480" w:firstLineChars="200"/>
              <w:rPr>
                <w:sz w:val="24"/>
              </w:rPr>
            </w:pPr>
            <w:r>
              <w:rPr>
                <w:sz w:val="24"/>
              </w:rPr>
              <w:t>1）尽量选择低噪声和符合国家噪声标准的生产设备，并进行定期检修维护，使其处于良好运行状态；在设备的基与地面之间安装减振基座，减小机械振动产生的噪声污染。</w:t>
            </w:r>
          </w:p>
          <w:p w14:paraId="03D22F77">
            <w:pPr>
              <w:tabs>
                <w:tab w:val="left" w:pos="462"/>
              </w:tabs>
              <w:spacing w:line="360" w:lineRule="auto"/>
              <w:ind w:firstLine="480" w:firstLineChars="200"/>
              <w:rPr>
                <w:sz w:val="24"/>
              </w:rPr>
            </w:pPr>
            <w:r>
              <w:rPr>
                <w:sz w:val="24"/>
              </w:rPr>
              <w:t>2）加强车间的隔音措施，如适当增加设备用房墙壁厚度，设备安装应避免接触车间墙壁，并安装隔声门窗。</w:t>
            </w:r>
          </w:p>
          <w:p w14:paraId="3173A6CC">
            <w:pPr>
              <w:tabs>
                <w:tab w:val="left" w:pos="462"/>
              </w:tabs>
              <w:spacing w:line="360" w:lineRule="auto"/>
              <w:ind w:firstLine="480" w:firstLineChars="200"/>
              <w:rPr>
                <w:sz w:val="24"/>
              </w:rPr>
            </w:pPr>
            <w:r>
              <w:rPr>
                <w:sz w:val="24"/>
              </w:rPr>
              <w:t>3）合理布局，合理布置厂内各功能区的位置及车间内部设备的位置，减少对周围环境的影响。</w:t>
            </w:r>
          </w:p>
          <w:p w14:paraId="3CD2AD49">
            <w:pPr>
              <w:tabs>
                <w:tab w:val="left" w:pos="462"/>
              </w:tabs>
              <w:spacing w:line="360" w:lineRule="auto"/>
              <w:ind w:firstLine="480" w:firstLineChars="200"/>
              <w:rPr>
                <w:sz w:val="24"/>
              </w:rPr>
            </w:pPr>
            <w:r>
              <w:rPr>
                <w:sz w:val="24"/>
              </w:rPr>
              <w:t>4）在高噪声车间工作时，给操作工人配备适用的隔声耳罩或减少工作的时间。</w:t>
            </w:r>
          </w:p>
          <w:p w14:paraId="794EA6CD">
            <w:pPr>
              <w:tabs>
                <w:tab w:val="left" w:pos="462"/>
              </w:tabs>
              <w:spacing w:line="360" w:lineRule="auto"/>
              <w:ind w:firstLine="480" w:firstLineChars="200"/>
              <w:rPr>
                <w:sz w:val="24"/>
              </w:rPr>
            </w:pPr>
            <w:r>
              <w:rPr>
                <w:sz w:val="24"/>
              </w:rPr>
              <w:t>建设单位严格的执行上述的环保措施，本项目可做到厂界噪声达标排放，不会对周围声环境质量产生明显的不利影响。</w:t>
            </w:r>
          </w:p>
          <w:p w14:paraId="59620C25">
            <w:pPr>
              <w:spacing w:line="360" w:lineRule="auto"/>
              <w:rPr>
                <w:b/>
                <w:bCs/>
                <w:sz w:val="24"/>
              </w:rPr>
            </w:pPr>
            <w:r>
              <w:rPr>
                <w:rFonts w:hint="eastAsia"/>
                <w:b/>
                <w:bCs/>
                <w:sz w:val="24"/>
              </w:rPr>
              <w:t>3</w:t>
            </w:r>
            <w:r>
              <w:rPr>
                <w:b/>
                <w:bCs/>
                <w:sz w:val="24"/>
              </w:rPr>
              <w:t>.3自行监测计划</w:t>
            </w:r>
          </w:p>
          <w:p w14:paraId="2178C315">
            <w:pPr>
              <w:tabs>
                <w:tab w:val="left" w:pos="462"/>
              </w:tabs>
              <w:spacing w:line="360" w:lineRule="auto"/>
              <w:ind w:firstLine="480" w:firstLineChars="200"/>
              <w:rPr>
                <w:sz w:val="24"/>
              </w:rPr>
            </w:pPr>
            <w:r>
              <w:rPr>
                <w:sz w:val="24"/>
              </w:rPr>
              <w:t>根据《排污单位自行监测技术指南 总则》（HJ819）的相关要求，在生产运行阶段的噪声污染源自行监测计划见表 4-</w:t>
            </w:r>
            <w:r>
              <w:rPr>
                <w:rFonts w:hint="eastAsia"/>
                <w:sz w:val="24"/>
              </w:rPr>
              <w:t>18</w:t>
            </w:r>
            <w:r>
              <w:rPr>
                <w:sz w:val="24"/>
              </w:rPr>
              <w:t xml:space="preserve">。 </w:t>
            </w:r>
          </w:p>
          <w:p w14:paraId="30E0B5BA">
            <w:pPr>
              <w:tabs>
                <w:tab w:val="left" w:pos="462"/>
              </w:tabs>
              <w:spacing w:line="360" w:lineRule="auto"/>
              <w:ind w:firstLine="422" w:firstLineChars="200"/>
              <w:jc w:val="center"/>
              <w:rPr>
                <w:b/>
                <w:bCs/>
                <w:szCs w:val="21"/>
              </w:rPr>
            </w:pPr>
            <w:r>
              <w:rPr>
                <w:b/>
                <w:bCs/>
                <w:szCs w:val="21"/>
              </w:rPr>
              <w:t>表 4-</w:t>
            </w:r>
            <w:r>
              <w:rPr>
                <w:rFonts w:hint="eastAsia"/>
                <w:b/>
                <w:bCs/>
                <w:szCs w:val="21"/>
              </w:rPr>
              <w:t>18</w:t>
            </w:r>
            <w:r>
              <w:rPr>
                <w:b/>
                <w:bCs/>
                <w:szCs w:val="21"/>
              </w:rPr>
              <w:t>环境监测计划表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436"/>
              <w:gridCol w:w="1698"/>
              <w:gridCol w:w="3189"/>
            </w:tblGrid>
            <w:tr w14:paraId="6202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59" w:type="dxa"/>
                  <w:vAlign w:val="center"/>
                </w:tcPr>
                <w:p w14:paraId="37A863C8">
                  <w:pPr>
                    <w:jc w:val="center"/>
                  </w:pPr>
                  <w:r>
                    <w:t>监测点位</w:t>
                  </w:r>
                </w:p>
              </w:tc>
              <w:tc>
                <w:tcPr>
                  <w:tcW w:w="1436" w:type="dxa"/>
                  <w:vAlign w:val="center"/>
                </w:tcPr>
                <w:p w14:paraId="5208C6DF">
                  <w:pPr>
                    <w:jc w:val="center"/>
                  </w:pPr>
                  <w:r>
                    <w:rPr>
                      <w:rFonts w:hint="eastAsia"/>
                    </w:rPr>
                    <w:t>监测指标</w:t>
                  </w:r>
                </w:p>
              </w:tc>
              <w:tc>
                <w:tcPr>
                  <w:tcW w:w="1698" w:type="dxa"/>
                  <w:vAlign w:val="center"/>
                </w:tcPr>
                <w:p w14:paraId="35C24356">
                  <w:pPr>
                    <w:jc w:val="center"/>
                  </w:pPr>
                  <w:r>
                    <w:rPr>
                      <w:rFonts w:hint="eastAsia"/>
                    </w:rPr>
                    <w:t>监测频率</w:t>
                  </w:r>
                </w:p>
              </w:tc>
              <w:tc>
                <w:tcPr>
                  <w:tcW w:w="3189" w:type="dxa"/>
                  <w:vAlign w:val="center"/>
                </w:tcPr>
                <w:p w14:paraId="789E0A6A">
                  <w:pPr>
                    <w:jc w:val="center"/>
                  </w:pPr>
                  <w:r>
                    <w:t>执行排放标准</w:t>
                  </w:r>
                </w:p>
              </w:tc>
            </w:tr>
            <w:tr w14:paraId="0FA9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59" w:type="dxa"/>
                  <w:vAlign w:val="center"/>
                </w:tcPr>
                <w:p w14:paraId="11F5768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厂界四周</w:t>
                  </w:r>
                </w:p>
              </w:tc>
              <w:tc>
                <w:tcPr>
                  <w:tcW w:w="1436" w:type="dxa"/>
                  <w:vAlign w:val="center"/>
                </w:tcPr>
                <w:p w14:paraId="10D17DB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698" w:type="dxa"/>
                  <w:vAlign w:val="center"/>
                </w:tcPr>
                <w:p w14:paraId="4FD10A22">
                  <w:pPr>
                    <w:jc w:val="center"/>
                    <w:rPr>
                      <w:color w:val="000000" w:themeColor="text1"/>
                      <w14:textFill>
                        <w14:solidFill>
                          <w14:schemeClr w14:val="tx1"/>
                        </w14:solidFill>
                      </w14:textFill>
                    </w:rPr>
                  </w:pPr>
                  <w:r>
                    <w:rPr>
                      <w:color w:val="000000" w:themeColor="text1"/>
                      <w14:textFill>
                        <w14:solidFill>
                          <w14:schemeClr w14:val="tx1"/>
                        </w14:solidFill>
                      </w14:textFill>
                    </w:rPr>
                    <w:t>1 次/季度</w:t>
                  </w:r>
                </w:p>
              </w:tc>
              <w:tc>
                <w:tcPr>
                  <w:tcW w:w="3189" w:type="dxa"/>
                  <w:vAlign w:val="center"/>
                </w:tcPr>
                <w:p w14:paraId="217E91B8">
                  <w:pPr>
                    <w:jc w:val="center"/>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 （GB12348-2008）2</w:t>
                  </w:r>
                  <w:r>
                    <w:rPr>
                      <w:rFonts w:hint="eastAsia"/>
                      <w:color w:val="000000" w:themeColor="text1"/>
                      <w14:textFill>
                        <w14:solidFill>
                          <w14:schemeClr w14:val="tx1"/>
                        </w14:solidFill>
                      </w14:textFill>
                    </w:rPr>
                    <w:t>类</w:t>
                  </w:r>
                </w:p>
              </w:tc>
            </w:tr>
          </w:tbl>
          <w:p w14:paraId="1B12E73F">
            <w:pPr>
              <w:adjustRightInd w:val="0"/>
              <w:snapToGrid w:val="0"/>
              <w:spacing w:line="360" w:lineRule="auto"/>
              <w:ind w:firstLine="442" w:firstLineChars="200"/>
              <w:rPr>
                <w:b/>
                <w:color w:val="000000" w:themeColor="text1"/>
                <w:spacing w:val="-10"/>
                <w:sz w:val="24"/>
                <w14:textFill>
                  <w14:solidFill>
                    <w14:schemeClr w14:val="tx1"/>
                  </w14:solidFill>
                </w14:textFill>
              </w:rPr>
            </w:pPr>
          </w:p>
          <w:p w14:paraId="7851E843">
            <w:pPr>
              <w:adjustRightInd w:val="0"/>
              <w:snapToGrid w:val="0"/>
              <w:spacing w:line="360" w:lineRule="auto"/>
              <w:rPr>
                <w:bCs/>
                <w:spacing w:val="-10"/>
                <w:sz w:val="24"/>
              </w:rPr>
            </w:pPr>
            <w:r>
              <w:rPr>
                <w:rFonts w:hint="eastAsia"/>
                <w:b/>
                <w:spacing w:val="-10"/>
                <w:sz w:val="24"/>
              </w:rPr>
              <w:t>4、固废</w:t>
            </w:r>
          </w:p>
          <w:p w14:paraId="36B8FE24">
            <w:pPr>
              <w:pStyle w:val="75"/>
              <w:snapToGrid/>
              <w:spacing w:before="0" w:after="0" w:line="360" w:lineRule="auto"/>
              <w:ind w:firstLine="0" w:firstLineChars="0"/>
              <w:rPr>
                <w:b/>
                <w:bCs/>
                <w:kern w:val="0"/>
                <w:sz w:val="24"/>
              </w:rPr>
            </w:pPr>
            <w:r>
              <w:rPr>
                <w:rFonts w:hint="eastAsia"/>
                <w:b/>
                <w:bCs/>
                <w:kern w:val="0"/>
                <w:sz w:val="24"/>
              </w:rPr>
              <w:t>4.1</w:t>
            </w:r>
            <w:r>
              <w:rPr>
                <w:b/>
                <w:bCs/>
                <w:kern w:val="0"/>
                <w:sz w:val="24"/>
              </w:rPr>
              <w:t>固体废物产生情况</w:t>
            </w:r>
          </w:p>
          <w:p w14:paraId="71FA78ED">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根据工艺分析，项目营运期固体废物主要是职工办公生活垃圾</w:t>
            </w:r>
            <w:r>
              <w:rPr>
                <w:rFonts w:hint="eastAsia"/>
                <w:color w:val="000000" w:themeColor="text1"/>
                <w:sz w:val="24"/>
                <w14:textFill>
                  <w14:solidFill>
                    <w14:schemeClr w14:val="tx1"/>
                  </w14:solidFill>
                </w14:textFill>
              </w:rPr>
              <w:t>、废</w:t>
            </w:r>
            <w:r>
              <w:rPr>
                <w:color w:val="000000" w:themeColor="text1"/>
                <w:sz w:val="24"/>
                <w14:textFill>
                  <w14:solidFill>
                    <w14:schemeClr w14:val="tx1"/>
                  </w14:solidFill>
                </w14:textFill>
              </w:rPr>
              <w:t>包装</w:t>
            </w:r>
            <w:r>
              <w:rPr>
                <w:rFonts w:hint="eastAsia"/>
                <w:color w:val="000000" w:themeColor="text1"/>
                <w:sz w:val="24"/>
                <w14:textFill>
                  <w14:solidFill>
                    <w14:schemeClr w14:val="tx1"/>
                  </w14:solidFill>
                </w14:textFill>
              </w:rPr>
              <w:t>材料</w:t>
            </w:r>
            <w:r>
              <w:rPr>
                <w:color w:val="000000" w:themeColor="text1"/>
                <w:sz w:val="24"/>
                <w14:textFill>
                  <w14:solidFill>
                    <w14:schemeClr w14:val="tx1"/>
                  </w14:solidFill>
                </w14:textFill>
              </w:rPr>
              <w:t>、生物质燃烧灰渣、</w:t>
            </w:r>
            <w:r>
              <w:rPr>
                <w:rFonts w:hint="eastAsia"/>
                <w:color w:val="000000" w:themeColor="text1"/>
                <w:sz w:val="24"/>
                <w14:textFill>
                  <w14:solidFill>
                    <w14:schemeClr w14:val="tx1"/>
                  </w14:solidFill>
                </w14:textFill>
              </w:rPr>
              <w:t>沉渣</w:t>
            </w:r>
            <w:r>
              <w:rPr>
                <w:color w:val="000000" w:themeColor="text1"/>
                <w:sz w:val="24"/>
                <w14:textFill>
                  <w14:solidFill>
                    <w14:schemeClr w14:val="tx1"/>
                  </w14:solidFill>
                </w14:textFill>
              </w:rPr>
              <w:t>、软水制备废离子交换树脂</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。本次评价对项目产生的固废产生情况进行判定及汇总。</w:t>
            </w:r>
          </w:p>
          <w:p w14:paraId="65CD193D">
            <w:pPr>
              <w:spacing w:line="360" w:lineRule="auto"/>
              <w:ind w:firstLine="480" w:firstLineChars="200"/>
              <w:rPr>
                <w:sz w:val="24"/>
              </w:rPr>
            </w:pPr>
            <w:r>
              <w:rPr>
                <w:sz w:val="24"/>
              </w:rPr>
              <w:t>（1）生活垃圾：本项目员工共计10人，职工生活垃圾产生量按每人每天0.5kg计，年生产</w:t>
            </w:r>
            <w:r>
              <w:rPr>
                <w:rFonts w:hint="eastAsia"/>
                <w:sz w:val="24"/>
              </w:rPr>
              <w:t>3</w:t>
            </w:r>
            <w:r>
              <w:rPr>
                <w:sz w:val="24"/>
              </w:rPr>
              <w:t>00天，则生活垃圾产生量1.</w:t>
            </w:r>
            <w:r>
              <w:rPr>
                <w:rFonts w:hint="eastAsia"/>
                <w:sz w:val="24"/>
              </w:rPr>
              <w:t>5</w:t>
            </w:r>
            <w:r>
              <w:rPr>
                <w:sz w:val="24"/>
              </w:rPr>
              <w:t>t/a。用垃圾桶收集后交由当地环卫部门处置。</w:t>
            </w:r>
          </w:p>
          <w:p w14:paraId="084E3060">
            <w:pPr>
              <w:spacing w:line="360" w:lineRule="auto"/>
              <w:ind w:firstLine="480" w:firstLineChars="200"/>
              <w:rPr>
                <w:bCs/>
                <w:spacing w:val="-10"/>
                <w:sz w:val="24"/>
              </w:rPr>
            </w:pPr>
            <w:r>
              <w:rPr>
                <w:sz w:val="24"/>
              </w:rPr>
              <w:t>（2）</w:t>
            </w:r>
            <w:r>
              <w:rPr>
                <w:rFonts w:hint="eastAsia"/>
                <w:bCs/>
                <w:spacing w:val="-10"/>
                <w:sz w:val="24"/>
              </w:rPr>
              <w:t>灰</w:t>
            </w:r>
            <w:r>
              <w:rPr>
                <w:bCs/>
                <w:spacing w:val="-10"/>
                <w:sz w:val="24"/>
              </w:rPr>
              <w:t>渣：项目</w:t>
            </w:r>
            <w:r>
              <w:rPr>
                <w:rFonts w:hint="eastAsia"/>
                <w:bCs/>
                <w:spacing w:val="-10"/>
                <w:sz w:val="24"/>
              </w:rPr>
              <w:t>生物质颗粒</w:t>
            </w:r>
            <w:r>
              <w:rPr>
                <w:bCs/>
                <w:spacing w:val="-10"/>
                <w:sz w:val="24"/>
              </w:rPr>
              <w:t xml:space="preserve">燃烧产生的灰渣产生量为其用量的 </w:t>
            </w:r>
            <w:r>
              <w:rPr>
                <w:rFonts w:hint="eastAsia"/>
                <w:bCs/>
                <w:spacing w:val="-10"/>
                <w:sz w:val="24"/>
              </w:rPr>
              <w:t>5</w:t>
            </w:r>
            <w:r>
              <w:rPr>
                <w:bCs/>
                <w:spacing w:val="-10"/>
                <w:sz w:val="24"/>
              </w:rPr>
              <w:t>%，则</w:t>
            </w:r>
            <w:r>
              <w:rPr>
                <w:rFonts w:hint="eastAsia"/>
                <w:bCs/>
                <w:spacing w:val="-10"/>
                <w:sz w:val="24"/>
              </w:rPr>
              <w:t>灰</w:t>
            </w:r>
            <w:r>
              <w:rPr>
                <w:bCs/>
                <w:spacing w:val="-10"/>
                <w:sz w:val="24"/>
              </w:rPr>
              <w:t>渣年产生量约为</w:t>
            </w:r>
            <w:r>
              <w:rPr>
                <w:rFonts w:hint="eastAsia"/>
                <w:bCs/>
                <w:spacing w:val="-10"/>
                <w:sz w:val="24"/>
              </w:rPr>
              <w:t>28.2</w:t>
            </w:r>
            <w:r>
              <w:rPr>
                <w:bCs/>
                <w:spacing w:val="-10"/>
                <w:sz w:val="24"/>
              </w:rPr>
              <w:t>t/a，</w:t>
            </w:r>
            <w:r>
              <w:rPr>
                <w:rFonts w:hint="eastAsia"/>
                <w:sz w:val="24"/>
              </w:rPr>
              <w:t>交由一般工业固废处置单位</w:t>
            </w:r>
            <w:r>
              <w:rPr>
                <w:bCs/>
                <w:spacing w:val="-10"/>
                <w:sz w:val="24"/>
              </w:rPr>
              <w:t>。</w:t>
            </w:r>
          </w:p>
          <w:p w14:paraId="3AA285FA">
            <w:pPr>
              <w:spacing w:line="360" w:lineRule="auto"/>
              <w:ind w:firstLine="440" w:firstLineChars="200"/>
              <w:rPr>
                <w:bCs/>
                <w:spacing w:val="-10"/>
                <w:sz w:val="24"/>
              </w:rPr>
            </w:pPr>
            <w:r>
              <w:rPr>
                <w:bCs/>
                <w:spacing w:val="-10"/>
                <w:sz w:val="24"/>
              </w:rPr>
              <w:t>（3）</w:t>
            </w:r>
            <w:r>
              <w:rPr>
                <w:rFonts w:hint="eastAsia"/>
                <w:bCs/>
                <w:spacing w:val="-10"/>
                <w:sz w:val="24"/>
              </w:rPr>
              <w:t>水喷淋</w:t>
            </w:r>
            <w:r>
              <w:rPr>
                <w:bCs/>
                <w:spacing w:val="-10"/>
                <w:sz w:val="24"/>
              </w:rPr>
              <w:t>沉渣：项目</w:t>
            </w:r>
            <w:r>
              <w:rPr>
                <w:rFonts w:hint="eastAsia"/>
                <w:bCs/>
                <w:spacing w:val="-10"/>
                <w:sz w:val="24"/>
              </w:rPr>
              <w:t>燃烧</w:t>
            </w:r>
            <w:r>
              <w:rPr>
                <w:bCs/>
                <w:spacing w:val="-10"/>
                <w:sz w:val="24"/>
              </w:rPr>
              <w:t>废气采用水喷淋处理，沉淀的粉尘的量约为0.</w:t>
            </w:r>
            <w:r>
              <w:rPr>
                <w:rFonts w:hint="eastAsia"/>
                <w:bCs/>
                <w:spacing w:val="-10"/>
                <w:sz w:val="24"/>
              </w:rPr>
              <w:t>26</w:t>
            </w:r>
            <w:r>
              <w:rPr>
                <w:bCs/>
                <w:spacing w:val="-10"/>
                <w:sz w:val="24"/>
              </w:rPr>
              <w:t>t/a，</w:t>
            </w:r>
            <w:r>
              <w:rPr>
                <w:rFonts w:hint="eastAsia"/>
                <w:bCs/>
                <w:spacing w:val="-10"/>
                <w:sz w:val="24"/>
              </w:rPr>
              <w:t>收集</w:t>
            </w:r>
            <w:r>
              <w:rPr>
                <w:bCs/>
                <w:spacing w:val="-10"/>
                <w:sz w:val="24"/>
              </w:rPr>
              <w:t>后</w:t>
            </w:r>
            <w:r>
              <w:rPr>
                <w:rFonts w:hint="eastAsia"/>
                <w:sz w:val="24"/>
              </w:rPr>
              <w:t>交由一般工业固废处置单位</w:t>
            </w:r>
            <w:r>
              <w:rPr>
                <w:bCs/>
                <w:spacing w:val="-10"/>
                <w:sz w:val="24"/>
              </w:rPr>
              <w:t>。</w:t>
            </w:r>
          </w:p>
          <w:p w14:paraId="568F1713">
            <w:pPr>
              <w:spacing w:line="360" w:lineRule="auto"/>
              <w:ind w:firstLine="480" w:firstLineChars="200"/>
              <w:rPr>
                <w:sz w:val="24"/>
              </w:rPr>
            </w:pPr>
            <w:r>
              <w:rPr>
                <w:sz w:val="24"/>
              </w:rPr>
              <w:t>（</w:t>
            </w:r>
            <w:r>
              <w:rPr>
                <w:rFonts w:hint="eastAsia"/>
                <w:sz w:val="24"/>
              </w:rPr>
              <w:t>4</w:t>
            </w:r>
            <w:r>
              <w:rPr>
                <w:sz w:val="24"/>
              </w:rPr>
              <w:t>）</w:t>
            </w:r>
            <w:r>
              <w:rPr>
                <w:rFonts w:hint="eastAsia"/>
                <w:sz w:val="24"/>
              </w:rPr>
              <w:t>沉淀池沉渣</w:t>
            </w:r>
            <w:r>
              <w:rPr>
                <w:sz w:val="24"/>
              </w:rPr>
              <w:t>：</w:t>
            </w:r>
            <w:r>
              <w:rPr>
                <w:rFonts w:hint="eastAsia"/>
                <w:sz w:val="24"/>
              </w:rPr>
              <w:t>本项目沉淀池产生沉渣，沉淀池沉渣产生量约为0.17t/a，收集后交由一般工业固废处置单位。</w:t>
            </w:r>
          </w:p>
          <w:p w14:paraId="34666A16">
            <w:pPr>
              <w:spacing w:line="360" w:lineRule="auto"/>
              <w:ind w:firstLine="480" w:firstLineChars="200"/>
              <w:rPr>
                <w:sz w:val="24"/>
              </w:rPr>
            </w:pPr>
            <w:r>
              <w:rPr>
                <w:sz w:val="24"/>
              </w:rPr>
              <w:t>（</w:t>
            </w:r>
            <w:r>
              <w:rPr>
                <w:rFonts w:hint="eastAsia"/>
                <w:sz w:val="24"/>
              </w:rPr>
              <w:t>5</w:t>
            </w:r>
            <w:r>
              <w:rPr>
                <w:sz w:val="24"/>
              </w:rPr>
              <w:t>）废包装材料：项目运营期间所产生的废包装材料约为 0.</w:t>
            </w:r>
            <w:r>
              <w:rPr>
                <w:rFonts w:hint="eastAsia"/>
                <w:sz w:val="24"/>
              </w:rPr>
              <w:t>8</w:t>
            </w:r>
            <w:r>
              <w:rPr>
                <w:sz w:val="24"/>
              </w:rPr>
              <w:t>t/a，厂内收集，</w:t>
            </w:r>
            <w:r>
              <w:rPr>
                <w:rFonts w:hint="eastAsia"/>
                <w:sz w:val="24"/>
              </w:rPr>
              <w:t>交由一般工业固废处置单位</w:t>
            </w:r>
            <w:r>
              <w:rPr>
                <w:sz w:val="24"/>
              </w:rPr>
              <w:t>。</w:t>
            </w:r>
          </w:p>
          <w:p w14:paraId="58009A58">
            <w:pPr>
              <w:spacing w:line="360" w:lineRule="auto"/>
              <w:ind w:firstLine="480" w:firstLineChars="200"/>
              <w:rPr>
                <w:sz w:val="24"/>
              </w:rPr>
            </w:pPr>
            <w:r>
              <w:rPr>
                <w:sz w:val="24"/>
              </w:rPr>
              <w:t>（</w:t>
            </w:r>
            <w:r>
              <w:rPr>
                <w:rFonts w:hint="eastAsia"/>
                <w:sz w:val="24"/>
              </w:rPr>
              <w:t>6</w:t>
            </w:r>
            <w:r>
              <w:rPr>
                <w:sz w:val="24"/>
              </w:rPr>
              <w:t>）</w:t>
            </w:r>
            <w:r>
              <w:rPr>
                <w:color w:val="000000" w:themeColor="text1"/>
                <w:sz w:val="24"/>
                <w14:textFill>
                  <w14:solidFill>
                    <w14:schemeClr w14:val="tx1"/>
                  </w14:solidFill>
                </w14:textFill>
              </w:rPr>
              <w:t>废离子交换树脂</w:t>
            </w:r>
            <w:r>
              <w:rPr>
                <w:sz w:val="24"/>
              </w:rPr>
              <w:t>：本项目软水制备过程中会产生废弃的离子交换树脂。根据建设单位提供的资料，软水制备设施效率为85%，软水制备设备</w:t>
            </w:r>
            <w:r>
              <w:rPr>
                <w:rFonts w:hint="eastAsia"/>
                <w:sz w:val="24"/>
              </w:rPr>
              <w:t>每</w:t>
            </w:r>
            <w:r>
              <w:rPr>
                <w:sz w:val="24"/>
              </w:rPr>
              <w:t>年更换一次离子交换树脂，废弃的离子交换树脂产生量约15kg，则软水制备废离子交换树脂产生量约为 0.</w:t>
            </w:r>
            <w:r>
              <w:rPr>
                <w:rFonts w:hint="eastAsia"/>
                <w:sz w:val="24"/>
              </w:rPr>
              <w:t>01</w:t>
            </w:r>
            <w:r>
              <w:rPr>
                <w:sz w:val="24"/>
              </w:rPr>
              <w:t>5t/a，废离子交换树脂由厂家进行更换后带走进行综合利用。</w:t>
            </w:r>
          </w:p>
          <w:p w14:paraId="41A91FCB">
            <w:pPr>
              <w:spacing w:line="360" w:lineRule="auto"/>
              <w:ind w:firstLine="480" w:firstLineChars="200"/>
              <w:rPr>
                <w:sz w:val="24"/>
              </w:rPr>
            </w:pPr>
            <w:r>
              <w:rPr>
                <w:sz w:val="24"/>
              </w:rPr>
              <w:t>根据</w:t>
            </w:r>
            <w:r>
              <w:rPr>
                <w:spacing w:val="-1"/>
                <w:sz w:val="24"/>
                <w:szCs w:val="32"/>
              </w:rPr>
              <w:t>《固体废物分类与代码目录》（公告2024年第4号）</w:t>
            </w:r>
            <w:r>
              <w:rPr>
                <w:rFonts w:hint="eastAsia"/>
                <w:sz w:val="24"/>
              </w:rPr>
              <w:t>、</w:t>
            </w:r>
            <w:r>
              <w:rPr>
                <w:sz w:val="24"/>
              </w:rPr>
              <w:t>《固体废物鉴别</w:t>
            </w:r>
            <w:r>
              <w:rPr>
                <w:rFonts w:hint="eastAsia"/>
                <w:sz w:val="24"/>
              </w:rPr>
              <w:t>标准 通则</w:t>
            </w:r>
            <w:r>
              <w:rPr>
                <w:sz w:val="24"/>
              </w:rPr>
              <w:t>》</w:t>
            </w:r>
            <w:r>
              <w:rPr>
                <w:rFonts w:hint="eastAsia"/>
                <w:sz w:val="24"/>
              </w:rPr>
              <w:t>（GB34330-2017）</w:t>
            </w:r>
            <w:r>
              <w:rPr>
                <w:sz w:val="24"/>
              </w:rPr>
              <w:t>和《国家危险废物名录</w:t>
            </w:r>
            <w:r>
              <w:rPr>
                <w:rFonts w:hint="eastAsia"/>
                <w:sz w:val="24"/>
              </w:rPr>
              <w:t>（</w:t>
            </w:r>
            <w:r>
              <w:rPr>
                <w:sz w:val="24"/>
              </w:rPr>
              <w:t>202</w:t>
            </w:r>
            <w:r>
              <w:rPr>
                <w:rFonts w:hint="eastAsia"/>
                <w:sz w:val="24"/>
              </w:rPr>
              <w:t>5</w:t>
            </w:r>
            <w:r>
              <w:rPr>
                <w:sz w:val="24"/>
              </w:rPr>
              <w:t>年</w:t>
            </w:r>
            <w:r>
              <w:rPr>
                <w:rFonts w:hint="eastAsia"/>
                <w:sz w:val="24"/>
              </w:rPr>
              <w:t>）</w:t>
            </w:r>
            <w:r>
              <w:rPr>
                <w:sz w:val="24"/>
              </w:rPr>
              <w:t xml:space="preserve">》等相关文件进行固体废物及危险废物的判定。 </w:t>
            </w:r>
          </w:p>
          <w:p w14:paraId="3A1DD677">
            <w:pPr>
              <w:spacing w:line="360" w:lineRule="auto"/>
              <w:ind w:firstLine="480" w:firstLineChars="200"/>
              <w:rPr>
                <w:szCs w:val="21"/>
              </w:rPr>
            </w:pPr>
            <w:r>
              <w:rPr>
                <w:sz w:val="24"/>
              </w:rPr>
              <w:t>根据本项目生产工艺及《</w:t>
            </w:r>
            <w:r>
              <w:rPr>
                <w:rStyle w:val="76"/>
                <w:sz w:val="24"/>
                <w:shd w:val="clear" w:color="auto" w:fill="FFFFFF"/>
              </w:rPr>
              <w:t> </w:t>
            </w:r>
            <w:r>
              <w:fldChar w:fldCharType="begin"/>
            </w:r>
            <w:r>
              <w:instrText xml:space="preserve"> HYPERLINK "http://121.40.58.14/vdocument/base/docbaseview.jsp?id=f9a8ba8e5fe78d940160210187211b9a" \t "_blank" \o "固体废物鉴别标准 通则(GB 34330—2017)" </w:instrText>
            </w:r>
            <w:r>
              <w:fldChar w:fldCharType="separate"/>
            </w:r>
            <w:r>
              <w:rPr>
                <w:sz w:val="24"/>
              </w:rPr>
              <w:t>固体废物鉴别标准 通则</w:t>
            </w:r>
            <w:r>
              <w:rPr>
                <w:sz w:val="24"/>
              </w:rPr>
              <w:fldChar w:fldCharType="end"/>
            </w:r>
            <w:r>
              <w:rPr>
                <w:sz w:val="24"/>
              </w:rPr>
              <w:t>》（GB 34330-2017）的规定，本项目生产过程中副产物的产生情况及属性判定见表</w:t>
            </w:r>
            <w:r>
              <w:rPr>
                <w:rFonts w:hint="eastAsia"/>
                <w:sz w:val="24"/>
              </w:rPr>
              <w:t>4-19</w:t>
            </w:r>
            <w:r>
              <w:rPr>
                <w:szCs w:val="21"/>
              </w:rPr>
              <w:t>。</w:t>
            </w:r>
          </w:p>
          <w:p w14:paraId="25B970AB">
            <w:pPr>
              <w:spacing w:line="360" w:lineRule="auto"/>
              <w:jc w:val="center"/>
              <w:rPr>
                <w:b/>
                <w:szCs w:val="21"/>
              </w:rPr>
            </w:pPr>
            <w:r>
              <w:rPr>
                <w:b/>
                <w:szCs w:val="21"/>
              </w:rPr>
              <w:t>表</w:t>
            </w:r>
            <w:r>
              <w:rPr>
                <w:rFonts w:hint="eastAsia"/>
                <w:b/>
                <w:szCs w:val="21"/>
              </w:rPr>
              <w:t>4-19</w:t>
            </w:r>
            <w:r>
              <w:rPr>
                <w:b/>
                <w:szCs w:val="21"/>
              </w:rPr>
              <w:t xml:space="preserve"> 本项目</w:t>
            </w:r>
            <w:r>
              <w:rPr>
                <w:rFonts w:hint="eastAsia"/>
                <w:b/>
                <w:szCs w:val="21"/>
              </w:rPr>
              <w:t>固体废物</w:t>
            </w:r>
            <w:r>
              <w:rPr>
                <w:b/>
                <w:szCs w:val="21"/>
              </w:rPr>
              <w:t>产生情况汇总表</w:t>
            </w:r>
          </w:p>
          <w:tbl>
            <w:tblPr>
              <w:tblStyle w:val="26"/>
              <w:tblW w:w="77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998"/>
              <w:gridCol w:w="851"/>
              <w:gridCol w:w="708"/>
              <w:gridCol w:w="1134"/>
              <w:gridCol w:w="851"/>
              <w:gridCol w:w="668"/>
              <w:gridCol w:w="616"/>
              <w:gridCol w:w="1321"/>
            </w:tblGrid>
            <w:tr w14:paraId="6AE79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40" w:hRule="atLeast"/>
                <w:jc w:val="center"/>
              </w:trPr>
              <w:tc>
                <w:tcPr>
                  <w:tcW w:w="575" w:type="dxa"/>
                  <w:vMerge w:val="restart"/>
                  <w:vAlign w:val="center"/>
                </w:tcPr>
                <w:p w14:paraId="56241701">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998" w:type="dxa"/>
                  <w:vMerge w:val="restart"/>
                  <w:vAlign w:val="center"/>
                </w:tcPr>
                <w:p w14:paraId="419354C2">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851" w:type="dxa"/>
                  <w:vMerge w:val="restart"/>
                  <w:vAlign w:val="center"/>
                </w:tcPr>
                <w:p w14:paraId="4C2776AF">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w:t>
                  </w:r>
                </w:p>
                <w:p w14:paraId="2100FA1B">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工序</w:t>
                  </w:r>
                </w:p>
              </w:tc>
              <w:tc>
                <w:tcPr>
                  <w:tcW w:w="708" w:type="dxa"/>
                  <w:vMerge w:val="restart"/>
                  <w:vAlign w:val="center"/>
                </w:tcPr>
                <w:p w14:paraId="3D87B22E">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形态</w:t>
                  </w:r>
                </w:p>
              </w:tc>
              <w:tc>
                <w:tcPr>
                  <w:tcW w:w="1134" w:type="dxa"/>
                  <w:vMerge w:val="restart"/>
                  <w:vAlign w:val="center"/>
                </w:tcPr>
                <w:p w14:paraId="19CB566C">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主要成分</w:t>
                  </w:r>
                </w:p>
              </w:tc>
              <w:tc>
                <w:tcPr>
                  <w:tcW w:w="851" w:type="dxa"/>
                  <w:vMerge w:val="restart"/>
                  <w:tcBorders>
                    <w:right w:val="single" w:color="auto" w:sz="4" w:space="0"/>
                  </w:tcBorders>
                  <w:vAlign w:val="center"/>
                </w:tcPr>
                <w:p w14:paraId="28BF1A31">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产生量(t/a)</w:t>
                  </w:r>
                </w:p>
              </w:tc>
              <w:tc>
                <w:tcPr>
                  <w:tcW w:w="2605" w:type="dxa"/>
                  <w:gridSpan w:val="3"/>
                  <w:vAlign w:val="center"/>
                </w:tcPr>
                <w:p w14:paraId="465CA30A">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种类判断*</w:t>
                  </w:r>
                </w:p>
              </w:tc>
            </w:tr>
            <w:tr w14:paraId="2AE2F4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Merge w:val="continue"/>
                  <w:vAlign w:val="center"/>
                </w:tcPr>
                <w:p w14:paraId="5289CD83">
                  <w:pPr>
                    <w:widowControl/>
                    <w:autoSpaceDE w:val="0"/>
                    <w:autoSpaceDN w:val="0"/>
                    <w:adjustRightInd w:val="0"/>
                    <w:spacing w:line="240" w:lineRule="exact"/>
                    <w:jc w:val="center"/>
                    <w:rPr>
                      <w:color w:val="000000" w:themeColor="text1"/>
                      <w:szCs w:val="21"/>
                      <w14:textFill>
                        <w14:solidFill>
                          <w14:schemeClr w14:val="tx1"/>
                        </w14:solidFill>
                      </w14:textFill>
                    </w:rPr>
                  </w:pPr>
                </w:p>
              </w:tc>
              <w:tc>
                <w:tcPr>
                  <w:tcW w:w="998" w:type="dxa"/>
                  <w:vMerge w:val="continue"/>
                  <w:vAlign w:val="center"/>
                </w:tcPr>
                <w:p w14:paraId="0B9E0C42">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851" w:type="dxa"/>
                  <w:vMerge w:val="continue"/>
                  <w:vAlign w:val="center"/>
                </w:tcPr>
                <w:p w14:paraId="49490882">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708" w:type="dxa"/>
                  <w:vMerge w:val="continue"/>
                  <w:vAlign w:val="center"/>
                </w:tcPr>
                <w:p w14:paraId="11D8367A">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1134" w:type="dxa"/>
                  <w:vMerge w:val="continue"/>
                  <w:vAlign w:val="center"/>
                </w:tcPr>
                <w:p w14:paraId="2EAE923B">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851" w:type="dxa"/>
                  <w:vMerge w:val="continue"/>
                  <w:tcBorders>
                    <w:right w:val="single" w:color="auto" w:sz="4" w:space="0"/>
                  </w:tcBorders>
                  <w:vAlign w:val="center"/>
                </w:tcPr>
                <w:p w14:paraId="7A2CA5D7">
                  <w:pPr>
                    <w:widowControl/>
                    <w:autoSpaceDE w:val="0"/>
                    <w:autoSpaceDN w:val="0"/>
                    <w:adjustRightInd w:val="0"/>
                    <w:spacing w:line="240" w:lineRule="exact"/>
                    <w:jc w:val="center"/>
                    <w:rPr>
                      <w:b/>
                      <w:color w:val="000000" w:themeColor="text1"/>
                      <w:szCs w:val="21"/>
                      <w14:textFill>
                        <w14:solidFill>
                          <w14:schemeClr w14:val="tx1"/>
                        </w14:solidFill>
                      </w14:textFill>
                    </w:rPr>
                  </w:pPr>
                </w:p>
              </w:tc>
              <w:tc>
                <w:tcPr>
                  <w:tcW w:w="668" w:type="dxa"/>
                  <w:vAlign w:val="center"/>
                </w:tcPr>
                <w:p w14:paraId="1DE32317">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w:t>
                  </w:r>
                </w:p>
                <w:p w14:paraId="2DC5F81B">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废物</w:t>
                  </w:r>
                </w:p>
              </w:tc>
              <w:tc>
                <w:tcPr>
                  <w:tcW w:w="616" w:type="dxa"/>
                  <w:vAlign w:val="center"/>
                </w:tcPr>
                <w:p w14:paraId="1ECBF9FA">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副产</w:t>
                  </w:r>
                </w:p>
                <w:p w14:paraId="1241C151">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物</w:t>
                  </w:r>
                </w:p>
              </w:tc>
              <w:tc>
                <w:tcPr>
                  <w:tcW w:w="1321" w:type="dxa"/>
                  <w:vAlign w:val="center"/>
                </w:tcPr>
                <w:p w14:paraId="7FA1FD90">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判定</w:t>
                  </w:r>
                </w:p>
                <w:p w14:paraId="048985E9">
                  <w:pPr>
                    <w:widowControl/>
                    <w:autoSpaceDE w:val="0"/>
                    <w:autoSpaceDN w:val="0"/>
                    <w:adjustRightIn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依据</w:t>
                  </w:r>
                </w:p>
              </w:tc>
            </w:tr>
            <w:tr w14:paraId="69BD6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Align w:val="center"/>
                </w:tcPr>
                <w:p w14:paraId="5FBFC123">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98" w:type="dxa"/>
                  <w:vAlign w:val="center"/>
                </w:tcPr>
                <w:p w14:paraId="5A614FC7">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灰渣</w:t>
                  </w:r>
                </w:p>
              </w:tc>
              <w:tc>
                <w:tcPr>
                  <w:tcW w:w="851" w:type="dxa"/>
                  <w:vAlign w:val="center"/>
                </w:tcPr>
                <w:p w14:paraId="623E6CFE">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机加工</w:t>
                  </w:r>
                </w:p>
              </w:tc>
              <w:tc>
                <w:tcPr>
                  <w:tcW w:w="708" w:type="dxa"/>
                  <w:vAlign w:val="center"/>
                </w:tcPr>
                <w:p w14:paraId="0FE8351A">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tc>
              <w:tc>
                <w:tcPr>
                  <w:tcW w:w="1134" w:type="dxa"/>
                  <w:vAlign w:val="center"/>
                </w:tcPr>
                <w:p w14:paraId="5A49DE57">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灰渣</w:t>
                  </w:r>
                </w:p>
              </w:tc>
              <w:tc>
                <w:tcPr>
                  <w:tcW w:w="851" w:type="dxa"/>
                  <w:tcBorders>
                    <w:right w:val="single" w:color="auto" w:sz="4" w:space="0"/>
                  </w:tcBorders>
                  <w:vAlign w:val="center"/>
                </w:tcPr>
                <w:p w14:paraId="5EE39CC6">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bCs/>
                      <w:spacing w:val="-10"/>
                      <w:szCs w:val="21"/>
                    </w:rPr>
                    <w:t>28.2</w:t>
                  </w:r>
                </w:p>
              </w:tc>
              <w:tc>
                <w:tcPr>
                  <w:tcW w:w="668" w:type="dxa"/>
                  <w:vAlign w:val="center"/>
                </w:tcPr>
                <w:p w14:paraId="5D024AB8">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3BF9592C">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restart"/>
                  <w:vAlign w:val="center"/>
                </w:tcPr>
                <w:p w14:paraId="67DECF23">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《固体废物鉴别标准 通则（GB34330-2017）》</w:t>
                  </w:r>
                </w:p>
              </w:tc>
            </w:tr>
            <w:tr w14:paraId="7C304D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Align w:val="center"/>
                </w:tcPr>
                <w:p w14:paraId="237D5968">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998" w:type="dxa"/>
                  <w:vAlign w:val="center"/>
                </w:tcPr>
                <w:p w14:paraId="1ADBBC3B">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废包装材料</w:t>
                  </w:r>
                </w:p>
              </w:tc>
              <w:tc>
                <w:tcPr>
                  <w:tcW w:w="851" w:type="dxa"/>
                  <w:vAlign w:val="center"/>
                </w:tcPr>
                <w:p w14:paraId="7AD0E7EA">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w:t>
                  </w:r>
                </w:p>
              </w:tc>
              <w:tc>
                <w:tcPr>
                  <w:tcW w:w="708" w:type="dxa"/>
                  <w:vAlign w:val="center"/>
                </w:tcPr>
                <w:p w14:paraId="3B5DFCF6">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tc>
              <w:tc>
                <w:tcPr>
                  <w:tcW w:w="1134" w:type="dxa"/>
                  <w:vAlign w:val="center"/>
                </w:tcPr>
                <w:p w14:paraId="1FBE3413">
                  <w:pPr>
                    <w:widowControl/>
                    <w:autoSpaceDE w:val="0"/>
                    <w:autoSpaceDN w:val="0"/>
                    <w:adjustRightInd w:val="0"/>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纸箱、塑料</w:t>
                  </w:r>
                </w:p>
              </w:tc>
              <w:tc>
                <w:tcPr>
                  <w:tcW w:w="851" w:type="dxa"/>
                  <w:tcBorders>
                    <w:right w:val="single" w:color="auto" w:sz="4" w:space="0"/>
                  </w:tcBorders>
                  <w:vAlign w:val="center"/>
                </w:tcPr>
                <w:p w14:paraId="5EE0740C">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8</w:t>
                  </w:r>
                </w:p>
              </w:tc>
              <w:tc>
                <w:tcPr>
                  <w:tcW w:w="668" w:type="dxa"/>
                  <w:vAlign w:val="center"/>
                </w:tcPr>
                <w:p w14:paraId="63D0E492">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5FDDAAAD">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55E98F6E">
                  <w:pPr>
                    <w:widowControl/>
                    <w:autoSpaceDE w:val="0"/>
                    <w:autoSpaceDN w:val="0"/>
                    <w:adjustRightInd w:val="0"/>
                    <w:spacing w:line="240" w:lineRule="exact"/>
                    <w:jc w:val="center"/>
                    <w:rPr>
                      <w:color w:val="000000" w:themeColor="text1"/>
                      <w:szCs w:val="21"/>
                      <w14:textFill>
                        <w14:solidFill>
                          <w14:schemeClr w14:val="tx1"/>
                        </w14:solidFill>
                      </w14:textFill>
                    </w:rPr>
                  </w:pPr>
                </w:p>
              </w:tc>
            </w:tr>
            <w:tr w14:paraId="57DDE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40" w:hRule="atLeast"/>
                <w:jc w:val="center"/>
              </w:trPr>
              <w:tc>
                <w:tcPr>
                  <w:tcW w:w="575" w:type="dxa"/>
                  <w:vAlign w:val="center"/>
                </w:tcPr>
                <w:p w14:paraId="642C0938">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998" w:type="dxa"/>
                  <w:vAlign w:val="center"/>
                </w:tcPr>
                <w:p w14:paraId="086A995E">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废离子交换树脂</w:t>
                  </w:r>
                </w:p>
              </w:tc>
              <w:tc>
                <w:tcPr>
                  <w:tcW w:w="851" w:type="dxa"/>
                  <w:vAlign w:val="center"/>
                </w:tcPr>
                <w:p w14:paraId="7C8A4D76">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废气处理</w:t>
                  </w:r>
                </w:p>
              </w:tc>
              <w:tc>
                <w:tcPr>
                  <w:tcW w:w="708" w:type="dxa"/>
                  <w:vAlign w:val="center"/>
                </w:tcPr>
                <w:p w14:paraId="60CAAF69">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tc>
              <w:tc>
                <w:tcPr>
                  <w:tcW w:w="1134" w:type="dxa"/>
                  <w:vAlign w:val="center"/>
                </w:tcPr>
                <w:p w14:paraId="5AB83F9C">
                  <w:pPr>
                    <w:widowControl/>
                    <w:autoSpaceDE w:val="0"/>
                    <w:autoSpaceDN w:val="0"/>
                    <w:adjustRightInd w:val="0"/>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废树脂</w:t>
                  </w:r>
                </w:p>
              </w:tc>
              <w:tc>
                <w:tcPr>
                  <w:tcW w:w="851" w:type="dxa"/>
                  <w:tcBorders>
                    <w:right w:val="single" w:color="auto" w:sz="4" w:space="0"/>
                  </w:tcBorders>
                  <w:vAlign w:val="center"/>
                </w:tcPr>
                <w:p w14:paraId="696D3629">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c>
                <w:tcPr>
                  <w:tcW w:w="668" w:type="dxa"/>
                  <w:vAlign w:val="center"/>
                </w:tcPr>
                <w:p w14:paraId="1DC3B1B7">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778585C1">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586939DE">
                  <w:pPr>
                    <w:widowControl/>
                    <w:autoSpaceDE w:val="0"/>
                    <w:autoSpaceDN w:val="0"/>
                    <w:adjustRightInd w:val="0"/>
                    <w:spacing w:line="240" w:lineRule="exact"/>
                    <w:jc w:val="center"/>
                    <w:rPr>
                      <w:color w:val="000000" w:themeColor="text1"/>
                      <w:szCs w:val="21"/>
                      <w14:textFill>
                        <w14:solidFill>
                          <w14:schemeClr w14:val="tx1"/>
                        </w14:solidFill>
                      </w14:textFill>
                    </w:rPr>
                  </w:pPr>
                </w:p>
              </w:tc>
            </w:tr>
            <w:tr w14:paraId="28424C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40" w:hRule="atLeast"/>
                <w:jc w:val="center"/>
              </w:trPr>
              <w:tc>
                <w:tcPr>
                  <w:tcW w:w="575" w:type="dxa"/>
                  <w:vAlign w:val="center"/>
                </w:tcPr>
                <w:p w14:paraId="7685575E">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998" w:type="dxa"/>
                  <w:vAlign w:val="center"/>
                </w:tcPr>
                <w:p w14:paraId="7475B6BE">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水喷淋沉渣</w:t>
                  </w:r>
                </w:p>
              </w:tc>
              <w:tc>
                <w:tcPr>
                  <w:tcW w:w="851" w:type="dxa"/>
                  <w:vAlign w:val="center"/>
                </w:tcPr>
                <w:p w14:paraId="62F09221">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维修</w:t>
                  </w:r>
                </w:p>
              </w:tc>
              <w:tc>
                <w:tcPr>
                  <w:tcW w:w="708" w:type="dxa"/>
                  <w:vAlign w:val="center"/>
                </w:tcPr>
                <w:p w14:paraId="4222E69D">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w:t>
                  </w:r>
                </w:p>
              </w:tc>
              <w:tc>
                <w:tcPr>
                  <w:tcW w:w="1134" w:type="dxa"/>
                  <w:vAlign w:val="center"/>
                </w:tcPr>
                <w:p w14:paraId="4FF5DAB8">
                  <w:pPr>
                    <w:widowControl/>
                    <w:autoSpaceDE w:val="0"/>
                    <w:autoSpaceDN w:val="0"/>
                    <w:adjustRightInd w:val="0"/>
                    <w:spacing w:line="2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沉渣</w:t>
                  </w:r>
                </w:p>
              </w:tc>
              <w:tc>
                <w:tcPr>
                  <w:tcW w:w="851" w:type="dxa"/>
                  <w:tcBorders>
                    <w:right w:val="single" w:color="auto" w:sz="4" w:space="0"/>
                  </w:tcBorders>
                  <w:vAlign w:val="center"/>
                </w:tcPr>
                <w:p w14:paraId="25D49BD6">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26</w:t>
                  </w:r>
                </w:p>
              </w:tc>
              <w:tc>
                <w:tcPr>
                  <w:tcW w:w="668" w:type="dxa"/>
                  <w:vAlign w:val="center"/>
                </w:tcPr>
                <w:p w14:paraId="686B3629">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74099F6E">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30362550">
                  <w:pPr>
                    <w:widowControl/>
                    <w:autoSpaceDE w:val="0"/>
                    <w:autoSpaceDN w:val="0"/>
                    <w:adjustRightInd w:val="0"/>
                    <w:spacing w:line="240" w:lineRule="exact"/>
                    <w:jc w:val="center"/>
                    <w:rPr>
                      <w:color w:val="000000" w:themeColor="text1"/>
                      <w:szCs w:val="21"/>
                      <w14:textFill>
                        <w14:solidFill>
                          <w14:schemeClr w14:val="tx1"/>
                        </w14:solidFill>
                      </w14:textFill>
                    </w:rPr>
                  </w:pPr>
                </w:p>
              </w:tc>
            </w:tr>
            <w:tr w14:paraId="255A66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5" w:type="dxa"/>
                  <w:vAlign w:val="center"/>
                </w:tcPr>
                <w:p w14:paraId="5E8A1869">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998" w:type="dxa"/>
                  <w:vAlign w:val="center"/>
                </w:tcPr>
                <w:p w14:paraId="72D75BEB">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沉淀池沉渣</w:t>
                  </w:r>
                </w:p>
              </w:tc>
              <w:tc>
                <w:tcPr>
                  <w:tcW w:w="851" w:type="dxa"/>
                  <w:vAlign w:val="center"/>
                </w:tcPr>
                <w:p w14:paraId="4AEE362A">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检测</w:t>
                  </w:r>
                </w:p>
              </w:tc>
              <w:tc>
                <w:tcPr>
                  <w:tcW w:w="708" w:type="dxa"/>
                  <w:vAlign w:val="center"/>
                </w:tcPr>
                <w:p w14:paraId="2FA0C366">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w:t>
                  </w:r>
                </w:p>
              </w:tc>
              <w:tc>
                <w:tcPr>
                  <w:tcW w:w="1134" w:type="dxa"/>
                  <w:vAlign w:val="center"/>
                </w:tcPr>
                <w:p w14:paraId="4574E73D">
                  <w:pPr>
                    <w:widowControl/>
                    <w:autoSpaceDE w:val="0"/>
                    <w:autoSpaceDN w:val="0"/>
                    <w:adjustRightInd w:val="0"/>
                    <w:spacing w:line="2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沉渣</w:t>
                  </w:r>
                </w:p>
              </w:tc>
              <w:tc>
                <w:tcPr>
                  <w:tcW w:w="851" w:type="dxa"/>
                  <w:tcBorders>
                    <w:right w:val="single" w:color="auto" w:sz="4" w:space="0"/>
                  </w:tcBorders>
                  <w:vAlign w:val="center"/>
                </w:tcPr>
                <w:p w14:paraId="30D7D811">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0.17</w:t>
                  </w:r>
                </w:p>
              </w:tc>
              <w:tc>
                <w:tcPr>
                  <w:tcW w:w="668" w:type="dxa"/>
                  <w:vAlign w:val="center"/>
                </w:tcPr>
                <w:p w14:paraId="6388D3E6">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13360296">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1A0DFAC7">
                  <w:pPr>
                    <w:widowControl/>
                    <w:autoSpaceDE w:val="0"/>
                    <w:autoSpaceDN w:val="0"/>
                    <w:adjustRightInd w:val="0"/>
                    <w:spacing w:line="240" w:lineRule="exact"/>
                    <w:jc w:val="center"/>
                    <w:rPr>
                      <w:color w:val="000000" w:themeColor="text1"/>
                      <w:szCs w:val="21"/>
                      <w14:textFill>
                        <w14:solidFill>
                          <w14:schemeClr w14:val="tx1"/>
                        </w14:solidFill>
                      </w14:textFill>
                    </w:rPr>
                  </w:pPr>
                </w:p>
              </w:tc>
            </w:tr>
            <w:tr w14:paraId="46A32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40" w:hRule="atLeast"/>
                <w:jc w:val="center"/>
              </w:trPr>
              <w:tc>
                <w:tcPr>
                  <w:tcW w:w="575" w:type="dxa"/>
                  <w:vAlign w:val="center"/>
                </w:tcPr>
                <w:p w14:paraId="79CF9690">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998" w:type="dxa"/>
                  <w:vAlign w:val="center"/>
                </w:tcPr>
                <w:p w14:paraId="2BCFFB83">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851" w:type="dxa"/>
                  <w:vAlign w:val="center"/>
                </w:tcPr>
                <w:p w14:paraId="64F0AB53">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职工生活</w:t>
                  </w:r>
                </w:p>
              </w:tc>
              <w:tc>
                <w:tcPr>
                  <w:tcW w:w="708" w:type="dxa"/>
                  <w:vAlign w:val="center"/>
                </w:tcPr>
                <w:p w14:paraId="7FE98E14">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tc>
              <w:tc>
                <w:tcPr>
                  <w:tcW w:w="1134" w:type="dxa"/>
                  <w:vAlign w:val="center"/>
                </w:tcPr>
                <w:p w14:paraId="3DFC89EE">
                  <w:pPr>
                    <w:widowControl/>
                    <w:autoSpaceDE w:val="0"/>
                    <w:autoSpaceDN w:val="0"/>
                    <w:adjustRightInd w:val="0"/>
                    <w:spacing w:line="2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果皮纸屑</w:t>
                  </w:r>
                </w:p>
              </w:tc>
              <w:tc>
                <w:tcPr>
                  <w:tcW w:w="851" w:type="dxa"/>
                  <w:tcBorders>
                    <w:right w:val="single" w:color="auto" w:sz="4" w:space="0"/>
                  </w:tcBorders>
                  <w:vAlign w:val="center"/>
                </w:tcPr>
                <w:p w14:paraId="1C444242">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p>
              </w:tc>
              <w:tc>
                <w:tcPr>
                  <w:tcW w:w="668" w:type="dxa"/>
                  <w:vAlign w:val="center"/>
                </w:tcPr>
                <w:p w14:paraId="01AEACCE">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16" w:type="dxa"/>
                  <w:vAlign w:val="center"/>
                </w:tcPr>
                <w:p w14:paraId="2528119C">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1" w:type="dxa"/>
                  <w:vMerge w:val="continue"/>
                  <w:vAlign w:val="center"/>
                </w:tcPr>
                <w:p w14:paraId="0D385F0D">
                  <w:pPr>
                    <w:widowControl/>
                    <w:autoSpaceDE w:val="0"/>
                    <w:autoSpaceDN w:val="0"/>
                    <w:adjustRightInd w:val="0"/>
                    <w:spacing w:line="240" w:lineRule="exact"/>
                    <w:jc w:val="center"/>
                    <w:rPr>
                      <w:color w:val="000000" w:themeColor="text1"/>
                      <w:szCs w:val="21"/>
                      <w14:textFill>
                        <w14:solidFill>
                          <w14:schemeClr w14:val="tx1"/>
                        </w14:solidFill>
                      </w14:textFill>
                    </w:rPr>
                  </w:pPr>
                </w:p>
              </w:tc>
            </w:tr>
          </w:tbl>
          <w:p w14:paraId="7BA44461">
            <w:pPr>
              <w:spacing w:line="360" w:lineRule="auto"/>
              <w:ind w:firstLine="480"/>
              <w:rPr>
                <w:bCs/>
                <w:szCs w:val="21"/>
              </w:rPr>
            </w:pPr>
          </w:p>
          <w:p w14:paraId="67E02EAD">
            <w:pPr>
              <w:spacing w:line="360" w:lineRule="auto"/>
              <w:ind w:firstLine="480"/>
              <w:rPr>
                <w:bCs/>
                <w:sz w:val="24"/>
              </w:rPr>
            </w:pPr>
            <w:r>
              <w:rPr>
                <w:bCs/>
                <w:sz w:val="24"/>
              </w:rPr>
              <w:t>本项目营运期各项固废产生情况见表</w:t>
            </w:r>
            <w:r>
              <w:rPr>
                <w:rFonts w:hint="eastAsia"/>
                <w:bCs/>
                <w:sz w:val="24"/>
              </w:rPr>
              <w:t>4-</w:t>
            </w:r>
            <w:r>
              <w:rPr>
                <w:bCs/>
                <w:sz w:val="24"/>
              </w:rPr>
              <w:t>2</w:t>
            </w:r>
            <w:r>
              <w:rPr>
                <w:rFonts w:hint="eastAsia"/>
                <w:bCs/>
                <w:sz w:val="24"/>
              </w:rPr>
              <w:t>0</w:t>
            </w:r>
            <w:r>
              <w:rPr>
                <w:bCs/>
                <w:sz w:val="24"/>
              </w:rPr>
              <w:t>，固废产生和处置情况见表</w:t>
            </w:r>
            <w:r>
              <w:rPr>
                <w:rFonts w:hint="eastAsia"/>
                <w:bCs/>
                <w:sz w:val="24"/>
              </w:rPr>
              <w:t>4-</w:t>
            </w:r>
            <w:r>
              <w:rPr>
                <w:bCs/>
                <w:sz w:val="24"/>
              </w:rPr>
              <w:t>2</w:t>
            </w:r>
            <w:r>
              <w:rPr>
                <w:rFonts w:hint="eastAsia"/>
                <w:bCs/>
                <w:sz w:val="24"/>
              </w:rPr>
              <w:t>1</w:t>
            </w:r>
            <w:r>
              <w:rPr>
                <w:bCs/>
                <w:sz w:val="24"/>
              </w:rPr>
              <w:t>。</w:t>
            </w:r>
          </w:p>
          <w:p w14:paraId="1E6BA35A">
            <w:pPr>
              <w:spacing w:line="360" w:lineRule="auto"/>
              <w:jc w:val="center"/>
              <w:rPr>
                <w:b/>
                <w:szCs w:val="21"/>
              </w:rPr>
            </w:pPr>
            <w:r>
              <w:rPr>
                <w:b/>
                <w:szCs w:val="21"/>
              </w:rPr>
              <w:t>表</w:t>
            </w:r>
            <w:r>
              <w:rPr>
                <w:rFonts w:hint="eastAsia"/>
                <w:b/>
                <w:szCs w:val="21"/>
              </w:rPr>
              <w:t>4-</w:t>
            </w:r>
            <w:r>
              <w:rPr>
                <w:b/>
                <w:szCs w:val="21"/>
              </w:rPr>
              <w:t>2</w:t>
            </w:r>
            <w:r>
              <w:rPr>
                <w:rFonts w:hint="eastAsia"/>
                <w:b/>
                <w:szCs w:val="21"/>
              </w:rPr>
              <w:t>0</w:t>
            </w:r>
            <w:r>
              <w:rPr>
                <w:b/>
                <w:szCs w:val="21"/>
              </w:rPr>
              <w:t xml:space="preserve"> 营运期固体废物分析结果汇总表</w:t>
            </w:r>
          </w:p>
          <w:tbl>
            <w:tblPr>
              <w:tblStyle w:val="26"/>
              <w:tblW w:w="79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39"/>
              <w:gridCol w:w="1428"/>
              <w:gridCol w:w="1550"/>
              <w:gridCol w:w="1244"/>
              <w:gridCol w:w="932"/>
              <w:gridCol w:w="1070"/>
              <w:gridCol w:w="1074"/>
            </w:tblGrid>
            <w:tr w14:paraId="37D37C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22667AE1">
                  <w:pPr>
                    <w:pStyle w:val="21"/>
                    <w:widowControl/>
                    <w:autoSpaceDE w:val="0"/>
                    <w:autoSpaceDN w:val="0"/>
                    <w:adjustRightInd w:val="0"/>
                    <w:spacing w:line="240" w:lineRule="exact"/>
                    <w:ind w:left="0" w:firstLine="0" w:firstLineChars="0"/>
                    <w:jc w:val="center"/>
                    <w:rPr>
                      <w:b/>
                      <w:szCs w:val="21"/>
                    </w:rPr>
                  </w:pPr>
                  <w:r>
                    <w:rPr>
                      <w:b/>
                      <w:szCs w:val="21"/>
                    </w:rPr>
                    <w:t>序号</w:t>
                  </w:r>
                </w:p>
              </w:tc>
              <w:tc>
                <w:tcPr>
                  <w:tcW w:w="1428" w:type="dxa"/>
                  <w:vAlign w:val="center"/>
                </w:tcPr>
                <w:p w14:paraId="5084D2A5">
                  <w:pPr>
                    <w:pStyle w:val="21"/>
                    <w:widowControl/>
                    <w:autoSpaceDE w:val="0"/>
                    <w:autoSpaceDN w:val="0"/>
                    <w:adjustRightInd w:val="0"/>
                    <w:spacing w:line="240" w:lineRule="exact"/>
                    <w:ind w:left="0" w:firstLine="0" w:firstLineChars="0"/>
                    <w:jc w:val="center"/>
                    <w:rPr>
                      <w:b/>
                      <w:szCs w:val="21"/>
                    </w:rPr>
                  </w:pPr>
                  <w:r>
                    <w:rPr>
                      <w:b/>
                      <w:szCs w:val="21"/>
                    </w:rPr>
                    <w:t>固废名称</w:t>
                  </w:r>
                </w:p>
              </w:tc>
              <w:tc>
                <w:tcPr>
                  <w:tcW w:w="1550" w:type="dxa"/>
                  <w:vAlign w:val="center"/>
                </w:tcPr>
                <w:p w14:paraId="1291D3AB">
                  <w:pPr>
                    <w:pStyle w:val="21"/>
                    <w:widowControl/>
                    <w:autoSpaceDE w:val="0"/>
                    <w:autoSpaceDN w:val="0"/>
                    <w:adjustRightInd w:val="0"/>
                    <w:spacing w:line="240" w:lineRule="exact"/>
                    <w:ind w:left="0" w:firstLine="0" w:firstLineChars="0"/>
                    <w:jc w:val="center"/>
                    <w:rPr>
                      <w:b/>
                      <w:szCs w:val="21"/>
                    </w:rPr>
                  </w:pPr>
                  <w:r>
                    <w:rPr>
                      <w:b/>
                      <w:szCs w:val="21"/>
                    </w:rPr>
                    <w:t>属性（危废、一般固废或待鉴别）</w:t>
                  </w:r>
                </w:p>
              </w:tc>
              <w:tc>
                <w:tcPr>
                  <w:tcW w:w="1244" w:type="dxa"/>
                  <w:vAlign w:val="center"/>
                </w:tcPr>
                <w:p w14:paraId="7F7204C9">
                  <w:pPr>
                    <w:pStyle w:val="21"/>
                    <w:widowControl/>
                    <w:autoSpaceDE w:val="0"/>
                    <w:autoSpaceDN w:val="0"/>
                    <w:adjustRightInd w:val="0"/>
                    <w:spacing w:line="240" w:lineRule="exact"/>
                    <w:ind w:left="0" w:firstLine="0" w:firstLineChars="0"/>
                    <w:jc w:val="center"/>
                    <w:rPr>
                      <w:b/>
                      <w:szCs w:val="21"/>
                    </w:rPr>
                  </w:pPr>
                  <w:r>
                    <w:rPr>
                      <w:b/>
                      <w:szCs w:val="21"/>
                    </w:rPr>
                    <w:t>危险特性鉴别方法</w:t>
                  </w:r>
                </w:p>
              </w:tc>
              <w:tc>
                <w:tcPr>
                  <w:tcW w:w="932" w:type="dxa"/>
                  <w:vAlign w:val="center"/>
                </w:tcPr>
                <w:p w14:paraId="542E7FAA">
                  <w:pPr>
                    <w:pStyle w:val="21"/>
                    <w:widowControl/>
                    <w:autoSpaceDE w:val="0"/>
                    <w:autoSpaceDN w:val="0"/>
                    <w:adjustRightInd w:val="0"/>
                    <w:spacing w:line="240" w:lineRule="exact"/>
                    <w:ind w:left="0" w:firstLine="0" w:firstLineChars="0"/>
                    <w:jc w:val="center"/>
                    <w:rPr>
                      <w:b/>
                      <w:szCs w:val="21"/>
                    </w:rPr>
                  </w:pPr>
                  <w:r>
                    <w:rPr>
                      <w:b/>
                      <w:szCs w:val="21"/>
                    </w:rPr>
                    <w:t>危险特性</w:t>
                  </w:r>
                </w:p>
              </w:tc>
              <w:tc>
                <w:tcPr>
                  <w:tcW w:w="1070" w:type="dxa"/>
                  <w:vAlign w:val="center"/>
                </w:tcPr>
                <w:p w14:paraId="16E48549">
                  <w:pPr>
                    <w:pStyle w:val="21"/>
                    <w:widowControl/>
                    <w:autoSpaceDE w:val="0"/>
                    <w:autoSpaceDN w:val="0"/>
                    <w:adjustRightInd w:val="0"/>
                    <w:spacing w:line="240" w:lineRule="exact"/>
                    <w:ind w:left="0" w:firstLine="0" w:firstLineChars="0"/>
                    <w:jc w:val="center"/>
                    <w:rPr>
                      <w:b/>
                      <w:szCs w:val="21"/>
                    </w:rPr>
                  </w:pPr>
                  <w:r>
                    <w:rPr>
                      <w:b/>
                      <w:szCs w:val="21"/>
                    </w:rPr>
                    <w:t>废物类别</w:t>
                  </w:r>
                </w:p>
              </w:tc>
              <w:tc>
                <w:tcPr>
                  <w:tcW w:w="1074" w:type="dxa"/>
                  <w:vAlign w:val="center"/>
                </w:tcPr>
                <w:p w14:paraId="57DA03E8">
                  <w:pPr>
                    <w:pStyle w:val="21"/>
                    <w:widowControl/>
                    <w:autoSpaceDE w:val="0"/>
                    <w:autoSpaceDN w:val="0"/>
                    <w:adjustRightInd w:val="0"/>
                    <w:spacing w:line="240" w:lineRule="exact"/>
                    <w:ind w:left="0" w:firstLine="0" w:firstLineChars="0"/>
                    <w:jc w:val="center"/>
                    <w:rPr>
                      <w:b/>
                      <w:szCs w:val="21"/>
                    </w:rPr>
                  </w:pPr>
                  <w:r>
                    <w:rPr>
                      <w:b/>
                      <w:szCs w:val="21"/>
                    </w:rPr>
                    <w:t>废物</w:t>
                  </w:r>
                </w:p>
                <w:p w14:paraId="61D4B292">
                  <w:pPr>
                    <w:pStyle w:val="21"/>
                    <w:widowControl/>
                    <w:autoSpaceDE w:val="0"/>
                    <w:autoSpaceDN w:val="0"/>
                    <w:adjustRightInd w:val="0"/>
                    <w:spacing w:line="240" w:lineRule="exact"/>
                    <w:ind w:left="0" w:firstLine="0" w:firstLineChars="0"/>
                    <w:jc w:val="center"/>
                    <w:rPr>
                      <w:b/>
                      <w:szCs w:val="21"/>
                    </w:rPr>
                  </w:pPr>
                  <w:r>
                    <w:rPr>
                      <w:b/>
                      <w:szCs w:val="21"/>
                    </w:rPr>
                    <w:t>代码</w:t>
                  </w:r>
                </w:p>
              </w:tc>
            </w:tr>
            <w:tr w14:paraId="114B9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475594EE">
                  <w:pPr>
                    <w:widowControl/>
                    <w:autoSpaceDE w:val="0"/>
                    <w:autoSpaceDN w:val="0"/>
                    <w:adjustRightInd w:val="0"/>
                    <w:spacing w:line="240" w:lineRule="exact"/>
                    <w:jc w:val="center"/>
                    <w:rPr>
                      <w:szCs w:val="21"/>
                    </w:rPr>
                  </w:pPr>
                  <w:r>
                    <w:rPr>
                      <w:szCs w:val="21"/>
                    </w:rPr>
                    <w:t>1</w:t>
                  </w:r>
                </w:p>
              </w:tc>
              <w:tc>
                <w:tcPr>
                  <w:tcW w:w="1428" w:type="dxa"/>
                  <w:vAlign w:val="center"/>
                </w:tcPr>
                <w:p w14:paraId="393F5650">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灰渣</w:t>
                  </w:r>
                </w:p>
              </w:tc>
              <w:tc>
                <w:tcPr>
                  <w:tcW w:w="1550" w:type="dxa"/>
                  <w:vAlign w:val="center"/>
                </w:tcPr>
                <w:p w14:paraId="4DDF0B76">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restart"/>
                  <w:vAlign w:val="center"/>
                </w:tcPr>
                <w:p w14:paraId="00C783E4">
                  <w:pPr>
                    <w:pStyle w:val="21"/>
                    <w:widowControl/>
                    <w:autoSpaceDE w:val="0"/>
                    <w:autoSpaceDN w:val="0"/>
                    <w:adjustRightInd w:val="0"/>
                    <w:spacing w:line="240" w:lineRule="exact"/>
                    <w:ind w:left="0" w:firstLine="0" w:firstLineChars="0"/>
                    <w:jc w:val="center"/>
                    <w:rPr>
                      <w:szCs w:val="21"/>
                    </w:rPr>
                  </w:pPr>
                  <w:r>
                    <w:rPr>
                      <w:szCs w:val="21"/>
                    </w:rPr>
                    <w:t>依据《国家危废名录》（20</w:t>
                  </w:r>
                  <w:r>
                    <w:rPr>
                      <w:rFonts w:hint="eastAsia"/>
                      <w:szCs w:val="21"/>
                    </w:rPr>
                    <w:t>25</w:t>
                  </w:r>
                  <w:r>
                    <w:rPr>
                      <w:szCs w:val="21"/>
                    </w:rPr>
                    <w:t>）</w:t>
                  </w:r>
                </w:p>
                <w:p w14:paraId="011B6307">
                  <w:pPr>
                    <w:pStyle w:val="21"/>
                    <w:widowControl/>
                    <w:autoSpaceDE w:val="0"/>
                    <w:autoSpaceDN w:val="0"/>
                    <w:adjustRightInd w:val="0"/>
                    <w:spacing w:line="240" w:lineRule="exact"/>
                    <w:ind w:left="0" w:firstLine="0" w:firstLineChars="0"/>
                    <w:jc w:val="center"/>
                    <w:rPr>
                      <w:szCs w:val="21"/>
                    </w:rPr>
                  </w:pPr>
                </w:p>
                <w:p w14:paraId="12B2A291">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6A135B4B">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03A229CC">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7F2A354C">
                  <w:pPr>
                    <w:pStyle w:val="21"/>
                    <w:widowControl/>
                    <w:autoSpaceDE w:val="0"/>
                    <w:autoSpaceDN w:val="0"/>
                    <w:adjustRightInd w:val="0"/>
                    <w:spacing w:line="240" w:lineRule="exact"/>
                    <w:ind w:left="0" w:firstLine="0" w:firstLineChars="0"/>
                    <w:jc w:val="center"/>
                    <w:rPr>
                      <w:szCs w:val="21"/>
                    </w:rPr>
                  </w:pPr>
                  <w:r>
                    <w:rPr>
                      <w:szCs w:val="21"/>
                    </w:rPr>
                    <w:t>/</w:t>
                  </w:r>
                </w:p>
              </w:tc>
            </w:tr>
            <w:tr w14:paraId="4CC71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40" w:hRule="atLeast"/>
                <w:jc w:val="center"/>
              </w:trPr>
              <w:tc>
                <w:tcPr>
                  <w:tcW w:w="639" w:type="dxa"/>
                  <w:vAlign w:val="center"/>
                </w:tcPr>
                <w:p w14:paraId="1C9FE117">
                  <w:pPr>
                    <w:widowControl/>
                    <w:autoSpaceDE w:val="0"/>
                    <w:autoSpaceDN w:val="0"/>
                    <w:adjustRightInd w:val="0"/>
                    <w:spacing w:line="240" w:lineRule="exact"/>
                    <w:jc w:val="center"/>
                    <w:rPr>
                      <w:szCs w:val="21"/>
                    </w:rPr>
                  </w:pPr>
                  <w:r>
                    <w:rPr>
                      <w:rFonts w:hint="eastAsia"/>
                      <w:szCs w:val="21"/>
                    </w:rPr>
                    <w:t>2</w:t>
                  </w:r>
                </w:p>
              </w:tc>
              <w:tc>
                <w:tcPr>
                  <w:tcW w:w="1428" w:type="dxa"/>
                  <w:vAlign w:val="center"/>
                </w:tcPr>
                <w:p w14:paraId="3C8AED66">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废包装材料</w:t>
                  </w:r>
                </w:p>
              </w:tc>
              <w:tc>
                <w:tcPr>
                  <w:tcW w:w="1550" w:type="dxa"/>
                  <w:vAlign w:val="center"/>
                </w:tcPr>
                <w:p w14:paraId="38C224D1">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continue"/>
                  <w:vAlign w:val="center"/>
                </w:tcPr>
                <w:p w14:paraId="0B0B39B3">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48B13E5A">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52B1D09F">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0A9D3A02">
                  <w:pPr>
                    <w:pStyle w:val="21"/>
                    <w:widowControl/>
                    <w:autoSpaceDE w:val="0"/>
                    <w:autoSpaceDN w:val="0"/>
                    <w:adjustRightInd w:val="0"/>
                    <w:spacing w:line="240" w:lineRule="exact"/>
                    <w:ind w:left="0" w:firstLine="0" w:firstLineChars="0"/>
                    <w:jc w:val="center"/>
                    <w:rPr>
                      <w:szCs w:val="21"/>
                    </w:rPr>
                  </w:pPr>
                  <w:r>
                    <w:rPr>
                      <w:szCs w:val="21"/>
                    </w:rPr>
                    <w:t>/</w:t>
                  </w:r>
                </w:p>
              </w:tc>
            </w:tr>
            <w:tr w14:paraId="23608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0C76C20A">
                  <w:pPr>
                    <w:widowControl/>
                    <w:autoSpaceDE w:val="0"/>
                    <w:autoSpaceDN w:val="0"/>
                    <w:adjustRightInd w:val="0"/>
                    <w:spacing w:line="240" w:lineRule="exact"/>
                    <w:jc w:val="center"/>
                    <w:rPr>
                      <w:szCs w:val="21"/>
                    </w:rPr>
                  </w:pPr>
                  <w:r>
                    <w:rPr>
                      <w:rFonts w:hint="eastAsia"/>
                      <w:szCs w:val="21"/>
                    </w:rPr>
                    <w:t>3</w:t>
                  </w:r>
                </w:p>
              </w:tc>
              <w:tc>
                <w:tcPr>
                  <w:tcW w:w="1428" w:type="dxa"/>
                  <w:vAlign w:val="center"/>
                </w:tcPr>
                <w:p w14:paraId="42FEB5E0">
                  <w:pPr>
                    <w:widowControl/>
                    <w:autoSpaceDE w:val="0"/>
                    <w:autoSpaceDN w:val="0"/>
                    <w:adjustRightInd w:val="0"/>
                    <w:spacing w:line="240" w:lineRule="exact"/>
                    <w:jc w:val="center"/>
                    <w:rPr>
                      <w:szCs w:val="21"/>
                    </w:rPr>
                  </w:pPr>
                  <w:r>
                    <w:rPr>
                      <w:color w:val="000000" w:themeColor="text1"/>
                      <w:szCs w:val="21"/>
                      <w14:textFill>
                        <w14:solidFill>
                          <w14:schemeClr w14:val="tx1"/>
                        </w14:solidFill>
                      </w14:textFill>
                    </w:rPr>
                    <w:t>废离子交换树脂</w:t>
                  </w:r>
                </w:p>
              </w:tc>
              <w:tc>
                <w:tcPr>
                  <w:tcW w:w="1550" w:type="dxa"/>
                  <w:vAlign w:val="center"/>
                </w:tcPr>
                <w:p w14:paraId="40942DB6">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continue"/>
                  <w:vAlign w:val="center"/>
                </w:tcPr>
                <w:p w14:paraId="0FAA8912">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1C5924E0">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22E854BB">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46075BFB">
                  <w:pPr>
                    <w:pStyle w:val="21"/>
                    <w:widowControl/>
                    <w:autoSpaceDE w:val="0"/>
                    <w:autoSpaceDN w:val="0"/>
                    <w:adjustRightInd w:val="0"/>
                    <w:spacing w:line="240" w:lineRule="exact"/>
                    <w:ind w:left="0" w:firstLine="0" w:firstLineChars="0"/>
                    <w:jc w:val="center"/>
                    <w:rPr>
                      <w:szCs w:val="21"/>
                    </w:rPr>
                  </w:pPr>
                  <w:r>
                    <w:rPr>
                      <w:szCs w:val="21"/>
                    </w:rPr>
                    <w:t>/</w:t>
                  </w:r>
                </w:p>
              </w:tc>
            </w:tr>
            <w:tr w14:paraId="2518D4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5A8EA188">
                  <w:pPr>
                    <w:widowControl/>
                    <w:autoSpaceDE w:val="0"/>
                    <w:autoSpaceDN w:val="0"/>
                    <w:adjustRightInd w:val="0"/>
                    <w:spacing w:line="240" w:lineRule="exact"/>
                    <w:jc w:val="center"/>
                    <w:rPr>
                      <w:szCs w:val="21"/>
                    </w:rPr>
                  </w:pPr>
                  <w:r>
                    <w:rPr>
                      <w:rFonts w:hint="eastAsia"/>
                      <w:szCs w:val="21"/>
                    </w:rPr>
                    <w:t>4</w:t>
                  </w:r>
                </w:p>
              </w:tc>
              <w:tc>
                <w:tcPr>
                  <w:tcW w:w="1428" w:type="dxa"/>
                  <w:vAlign w:val="center"/>
                </w:tcPr>
                <w:p w14:paraId="2CD7D5FE">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水喷淋沉渣</w:t>
                  </w:r>
                </w:p>
              </w:tc>
              <w:tc>
                <w:tcPr>
                  <w:tcW w:w="1550" w:type="dxa"/>
                  <w:vAlign w:val="center"/>
                </w:tcPr>
                <w:p w14:paraId="6F394737">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continue"/>
                  <w:vAlign w:val="center"/>
                </w:tcPr>
                <w:p w14:paraId="036DEFF0">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2B9A6D7B">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5E66D05D">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295460F8">
                  <w:pPr>
                    <w:pStyle w:val="21"/>
                    <w:widowControl/>
                    <w:autoSpaceDE w:val="0"/>
                    <w:autoSpaceDN w:val="0"/>
                    <w:adjustRightInd w:val="0"/>
                    <w:spacing w:line="240" w:lineRule="exact"/>
                    <w:ind w:left="0" w:firstLine="0" w:firstLineChars="0"/>
                    <w:jc w:val="center"/>
                    <w:rPr>
                      <w:szCs w:val="21"/>
                    </w:rPr>
                  </w:pPr>
                  <w:r>
                    <w:rPr>
                      <w:szCs w:val="21"/>
                    </w:rPr>
                    <w:t>/</w:t>
                  </w:r>
                </w:p>
              </w:tc>
            </w:tr>
            <w:tr w14:paraId="0905BB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5E665DF2">
                  <w:pPr>
                    <w:widowControl/>
                    <w:autoSpaceDE w:val="0"/>
                    <w:autoSpaceDN w:val="0"/>
                    <w:adjustRightInd w:val="0"/>
                    <w:spacing w:line="240" w:lineRule="exact"/>
                    <w:jc w:val="center"/>
                    <w:rPr>
                      <w:szCs w:val="21"/>
                    </w:rPr>
                  </w:pPr>
                  <w:r>
                    <w:rPr>
                      <w:szCs w:val="21"/>
                    </w:rPr>
                    <w:t>5</w:t>
                  </w:r>
                </w:p>
              </w:tc>
              <w:tc>
                <w:tcPr>
                  <w:tcW w:w="1428" w:type="dxa"/>
                  <w:vAlign w:val="center"/>
                </w:tcPr>
                <w:p w14:paraId="182EF392">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沉淀池沉渣</w:t>
                  </w:r>
                </w:p>
              </w:tc>
              <w:tc>
                <w:tcPr>
                  <w:tcW w:w="1550" w:type="dxa"/>
                  <w:vAlign w:val="center"/>
                </w:tcPr>
                <w:p w14:paraId="5C42D5AB">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continue"/>
                  <w:vAlign w:val="center"/>
                </w:tcPr>
                <w:p w14:paraId="0B0BF2B7">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646B180A">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7B86355C">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66BA02AE">
                  <w:pPr>
                    <w:pStyle w:val="21"/>
                    <w:widowControl/>
                    <w:autoSpaceDE w:val="0"/>
                    <w:autoSpaceDN w:val="0"/>
                    <w:adjustRightInd w:val="0"/>
                    <w:spacing w:line="240" w:lineRule="exact"/>
                    <w:ind w:left="0" w:firstLine="0" w:firstLineChars="0"/>
                    <w:jc w:val="center"/>
                    <w:rPr>
                      <w:szCs w:val="21"/>
                    </w:rPr>
                  </w:pPr>
                  <w:r>
                    <w:rPr>
                      <w:szCs w:val="21"/>
                    </w:rPr>
                    <w:t>/</w:t>
                  </w:r>
                </w:p>
              </w:tc>
            </w:tr>
            <w:tr w14:paraId="6C472B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39" w:type="dxa"/>
                  <w:vAlign w:val="center"/>
                </w:tcPr>
                <w:p w14:paraId="486A0CB5">
                  <w:pPr>
                    <w:widowControl/>
                    <w:autoSpaceDE w:val="0"/>
                    <w:autoSpaceDN w:val="0"/>
                    <w:adjustRightInd w:val="0"/>
                    <w:spacing w:line="240" w:lineRule="exact"/>
                    <w:jc w:val="center"/>
                    <w:rPr>
                      <w:szCs w:val="21"/>
                    </w:rPr>
                  </w:pPr>
                  <w:r>
                    <w:rPr>
                      <w:szCs w:val="21"/>
                    </w:rPr>
                    <w:t>6</w:t>
                  </w:r>
                </w:p>
              </w:tc>
              <w:tc>
                <w:tcPr>
                  <w:tcW w:w="1428" w:type="dxa"/>
                  <w:vAlign w:val="center"/>
                </w:tcPr>
                <w:p w14:paraId="27764962">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生活垃圾</w:t>
                  </w:r>
                </w:p>
              </w:tc>
              <w:tc>
                <w:tcPr>
                  <w:tcW w:w="1550" w:type="dxa"/>
                  <w:vAlign w:val="center"/>
                </w:tcPr>
                <w:p w14:paraId="7FE9EEF8">
                  <w:pPr>
                    <w:pStyle w:val="21"/>
                    <w:widowControl/>
                    <w:autoSpaceDE w:val="0"/>
                    <w:autoSpaceDN w:val="0"/>
                    <w:adjustRightInd w:val="0"/>
                    <w:spacing w:line="240" w:lineRule="exact"/>
                    <w:ind w:left="0" w:firstLine="0" w:firstLineChars="0"/>
                    <w:jc w:val="center"/>
                    <w:rPr>
                      <w:szCs w:val="21"/>
                    </w:rPr>
                  </w:pPr>
                  <w:r>
                    <w:rPr>
                      <w:szCs w:val="21"/>
                    </w:rPr>
                    <w:t>一般固废</w:t>
                  </w:r>
                </w:p>
              </w:tc>
              <w:tc>
                <w:tcPr>
                  <w:tcW w:w="1244" w:type="dxa"/>
                  <w:vMerge w:val="continue"/>
                  <w:vAlign w:val="center"/>
                </w:tcPr>
                <w:p w14:paraId="4C818D0A">
                  <w:pPr>
                    <w:pStyle w:val="21"/>
                    <w:widowControl/>
                    <w:autoSpaceDE w:val="0"/>
                    <w:autoSpaceDN w:val="0"/>
                    <w:adjustRightInd w:val="0"/>
                    <w:spacing w:line="240" w:lineRule="exact"/>
                    <w:ind w:left="0" w:firstLine="0" w:firstLineChars="0"/>
                    <w:jc w:val="center"/>
                    <w:rPr>
                      <w:szCs w:val="21"/>
                    </w:rPr>
                  </w:pPr>
                </w:p>
              </w:tc>
              <w:tc>
                <w:tcPr>
                  <w:tcW w:w="932" w:type="dxa"/>
                  <w:vAlign w:val="center"/>
                </w:tcPr>
                <w:p w14:paraId="210C96AC">
                  <w:pPr>
                    <w:pStyle w:val="21"/>
                    <w:widowControl/>
                    <w:autoSpaceDE w:val="0"/>
                    <w:autoSpaceDN w:val="0"/>
                    <w:adjustRightInd w:val="0"/>
                    <w:spacing w:line="240" w:lineRule="exact"/>
                    <w:ind w:left="0" w:firstLine="0" w:firstLineChars="0"/>
                    <w:jc w:val="center"/>
                    <w:rPr>
                      <w:szCs w:val="21"/>
                    </w:rPr>
                  </w:pPr>
                  <w:r>
                    <w:rPr>
                      <w:szCs w:val="21"/>
                    </w:rPr>
                    <w:t>/</w:t>
                  </w:r>
                </w:p>
              </w:tc>
              <w:tc>
                <w:tcPr>
                  <w:tcW w:w="1070" w:type="dxa"/>
                  <w:vAlign w:val="center"/>
                </w:tcPr>
                <w:p w14:paraId="7AFCF662">
                  <w:pPr>
                    <w:pStyle w:val="21"/>
                    <w:widowControl/>
                    <w:autoSpaceDE w:val="0"/>
                    <w:autoSpaceDN w:val="0"/>
                    <w:adjustRightInd w:val="0"/>
                    <w:spacing w:line="240" w:lineRule="exact"/>
                    <w:ind w:left="0" w:firstLine="0" w:firstLineChars="0"/>
                    <w:jc w:val="center"/>
                    <w:rPr>
                      <w:szCs w:val="21"/>
                    </w:rPr>
                  </w:pPr>
                  <w:r>
                    <w:rPr>
                      <w:szCs w:val="21"/>
                    </w:rPr>
                    <w:t>/</w:t>
                  </w:r>
                </w:p>
              </w:tc>
              <w:tc>
                <w:tcPr>
                  <w:tcW w:w="1074" w:type="dxa"/>
                  <w:vAlign w:val="center"/>
                </w:tcPr>
                <w:p w14:paraId="55850CC1">
                  <w:pPr>
                    <w:pStyle w:val="21"/>
                    <w:widowControl/>
                    <w:autoSpaceDE w:val="0"/>
                    <w:autoSpaceDN w:val="0"/>
                    <w:adjustRightInd w:val="0"/>
                    <w:spacing w:line="240" w:lineRule="exact"/>
                    <w:ind w:left="0" w:firstLine="0" w:firstLineChars="0"/>
                    <w:jc w:val="center"/>
                    <w:rPr>
                      <w:szCs w:val="21"/>
                    </w:rPr>
                  </w:pPr>
                  <w:r>
                    <w:rPr>
                      <w:szCs w:val="21"/>
                    </w:rPr>
                    <w:t>/</w:t>
                  </w:r>
                </w:p>
              </w:tc>
            </w:tr>
          </w:tbl>
          <w:p w14:paraId="08BB0D85">
            <w:pPr>
              <w:spacing w:line="360" w:lineRule="auto"/>
              <w:jc w:val="center"/>
              <w:rPr>
                <w:b/>
                <w:szCs w:val="21"/>
              </w:rPr>
            </w:pPr>
          </w:p>
          <w:p w14:paraId="0B025254">
            <w:pPr>
              <w:spacing w:line="360" w:lineRule="auto"/>
              <w:jc w:val="center"/>
              <w:rPr>
                <w:b/>
                <w:szCs w:val="21"/>
              </w:rPr>
            </w:pPr>
            <w:r>
              <w:rPr>
                <w:b/>
                <w:szCs w:val="21"/>
              </w:rPr>
              <w:t>表</w:t>
            </w:r>
            <w:r>
              <w:rPr>
                <w:rFonts w:hint="eastAsia"/>
                <w:b/>
                <w:szCs w:val="21"/>
              </w:rPr>
              <w:t>4-</w:t>
            </w:r>
            <w:r>
              <w:rPr>
                <w:b/>
                <w:szCs w:val="21"/>
              </w:rPr>
              <w:t>2</w:t>
            </w:r>
            <w:r>
              <w:rPr>
                <w:rFonts w:hint="eastAsia"/>
                <w:b/>
                <w:szCs w:val="21"/>
              </w:rPr>
              <w:t>1</w:t>
            </w:r>
            <w:r>
              <w:rPr>
                <w:b/>
                <w:szCs w:val="21"/>
              </w:rPr>
              <w:t xml:space="preserve">   固废产生与处置情况一览表</w:t>
            </w:r>
          </w:p>
          <w:tbl>
            <w:tblPr>
              <w:tblStyle w:val="26"/>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07"/>
              <w:gridCol w:w="1141"/>
              <w:gridCol w:w="900"/>
              <w:gridCol w:w="1288"/>
              <w:gridCol w:w="848"/>
              <w:gridCol w:w="1925"/>
            </w:tblGrid>
            <w:tr w14:paraId="41BAF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Merge w:val="restart"/>
                  <w:vAlign w:val="center"/>
                </w:tcPr>
                <w:p w14:paraId="731D1E07">
                  <w:pPr>
                    <w:pStyle w:val="21"/>
                    <w:widowControl/>
                    <w:autoSpaceDE w:val="0"/>
                    <w:autoSpaceDN w:val="0"/>
                    <w:adjustRightInd w:val="0"/>
                    <w:spacing w:line="240" w:lineRule="exact"/>
                    <w:ind w:left="0" w:firstLine="0" w:firstLineChars="0"/>
                    <w:jc w:val="center"/>
                    <w:rPr>
                      <w:b/>
                      <w:szCs w:val="21"/>
                    </w:rPr>
                  </w:pPr>
                  <w:r>
                    <w:rPr>
                      <w:b/>
                      <w:szCs w:val="21"/>
                    </w:rPr>
                    <w:t>序号</w:t>
                  </w:r>
                </w:p>
              </w:tc>
              <w:tc>
                <w:tcPr>
                  <w:tcW w:w="1207" w:type="dxa"/>
                  <w:vMerge w:val="restart"/>
                  <w:vAlign w:val="center"/>
                </w:tcPr>
                <w:p w14:paraId="3F15F79E">
                  <w:pPr>
                    <w:pStyle w:val="21"/>
                    <w:widowControl/>
                    <w:autoSpaceDE w:val="0"/>
                    <w:autoSpaceDN w:val="0"/>
                    <w:adjustRightInd w:val="0"/>
                    <w:spacing w:line="240" w:lineRule="exact"/>
                    <w:ind w:left="0" w:firstLine="0" w:firstLineChars="0"/>
                    <w:jc w:val="center"/>
                    <w:rPr>
                      <w:b/>
                      <w:szCs w:val="21"/>
                    </w:rPr>
                  </w:pPr>
                  <w:r>
                    <w:rPr>
                      <w:b/>
                      <w:szCs w:val="21"/>
                    </w:rPr>
                    <w:t>固废名称</w:t>
                  </w:r>
                </w:p>
              </w:tc>
              <w:tc>
                <w:tcPr>
                  <w:tcW w:w="1141" w:type="dxa"/>
                  <w:vMerge w:val="restart"/>
                  <w:vAlign w:val="center"/>
                </w:tcPr>
                <w:p w14:paraId="48C932A7">
                  <w:pPr>
                    <w:pStyle w:val="21"/>
                    <w:widowControl/>
                    <w:autoSpaceDE w:val="0"/>
                    <w:autoSpaceDN w:val="0"/>
                    <w:adjustRightInd w:val="0"/>
                    <w:spacing w:line="240" w:lineRule="exact"/>
                    <w:ind w:left="0" w:firstLine="0" w:firstLineChars="0"/>
                    <w:jc w:val="center"/>
                    <w:rPr>
                      <w:b/>
                      <w:szCs w:val="21"/>
                    </w:rPr>
                  </w:pPr>
                  <w:r>
                    <w:rPr>
                      <w:b/>
                      <w:szCs w:val="21"/>
                    </w:rPr>
                    <w:t>产生环节</w:t>
                  </w:r>
                </w:p>
              </w:tc>
              <w:tc>
                <w:tcPr>
                  <w:tcW w:w="2188" w:type="dxa"/>
                  <w:gridSpan w:val="2"/>
                  <w:vAlign w:val="center"/>
                </w:tcPr>
                <w:p w14:paraId="69A90ABB">
                  <w:pPr>
                    <w:pStyle w:val="21"/>
                    <w:widowControl/>
                    <w:autoSpaceDE w:val="0"/>
                    <w:autoSpaceDN w:val="0"/>
                    <w:adjustRightInd w:val="0"/>
                    <w:spacing w:line="240" w:lineRule="exact"/>
                    <w:ind w:left="0" w:firstLine="0" w:firstLineChars="0"/>
                    <w:jc w:val="center"/>
                    <w:rPr>
                      <w:b/>
                      <w:szCs w:val="21"/>
                    </w:rPr>
                  </w:pPr>
                  <w:r>
                    <w:rPr>
                      <w:b/>
                      <w:szCs w:val="21"/>
                    </w:rPr>
                    <w:t>废物代号</w:t>
                  </w:r>
                </w:p>
              </w:tc>
              <w:tc>
                <w:tcPr>
                  <w:tcW w:w="848" w:type="dxa"/>
                  <w:vMerge w:val="restart"/>
                  <w:vAlign w:val="center"/>
                </w:tcPr>
                <w:p w14:paraId="150D8E83">
                  <w:pPr>
                    <w:pStyle w:val="21"/>
                    <w:widowControl/>
                    <w:autoSpaceDE w:val="0"/>
                    <w:autoSpaceDN w:val="0"/>
                    <w:adjustRightInd w:val="0"/>
                    <w:spacing w:line="240" w:lineRule="exact"/>
                    <w:ind w:left="0" w:firstLine="0" w:firstLineChars="0"/>
                    <w:jc w:val="center"/>
                    <w:rPr>
                      <w:b/>
                      <w:szCs w:val="21"/>
                    </w:rPr>
                  </w:pPr>
                  <w:r>
                    <w:rPr>
                      <w:b/>
                      <w:szCs w:val="21"/>
                    </w:rPr>
                    <w:t>产生量(t/a)</w:t>
                  </w:r>
                </w:p>
              </w:tc>
              <w:tc>
                <w:tcPr>
                  <w:tcW w:w="1925" w:type="dxa"/>
                  <w:vMerge w:val="restart"/>
                  <w:vAlign w:val="center"/>
                </w:tcPr>
                <w:p w14:paraId="4421049E">
                  <w:pPr>
                    <w:pStyle w:val="21"/>
                    <w:widowControl/>
                    <w:autoSpaceDE w:val="0"/>
                    <w:autoSpaceDN w:val="0"/>
                    <w:adjustRightInd w:val="0"/>
                    <w:spacing w:line="240" w:lineRule="exact"/>
                    <w:ind w:left="0" w:firstLine="0" w:firstLineChars="0"/>
                    <w:jc w:val="center"/>
                    <w:rPr>
                      <w:b/>
                      <w:szCs w:val="21"/>
                    </w:rPr>
                  </w:pPr>
                  <w:r>
                    <w:rPr>
                      <w:b/>
                      <w:szCs w:val="21"/>
                    </w:rPr>
                    <w:t>处置方式</w:t>
                  </w:r>
                </w:p>
              </w:tc>
            </w:tr>
            <w:tr w14:paraId="71059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28" w:type="dxa"/>
                  <w:vMerge w:val="continue"/>
                  <w:vAlign w:val="center"/>
                </w:tcPr>
                <w:p w14:paraId="3BB2B6F0">
                  <w:pPr>
                    <w:pStyle w:val="21"/>
                    <w:widowControl/>
                    <w:autoSpaceDE w:val="0"/>
                    <w:autoSpaceDN w:val="0"/>
                    <w:adjustRightInd w:val="0"/>
                    <w:spacing w:line="240" w:lineRule="exact"/>
                    <w:ind w:left="0" w:firstLine="0" w:firstLineChars="0"/>
                    <w:jc w:val="center"/>
                    <w:rPr>
                      <w:b/>
                      <w:szCs w:val="21"/>
                    </w:rPr>
                  </w:pPr>
                </w:p>
              </w:tc>
              <w:tc>
                <w:tcPr>
                  <w:tcW w:w="1207" w:type="dxa"/>
                  <w:vMerge w:val="continue"/>
                  <w:vAlign w:val="center"/>
                </w:tcPr>
                <w:p w14:paraId="5220F013">
                  <w:pPr>
                    <w:pStyle w:val="21"/>
                    <w:widowControl/>
                    <w:autoSpaceDE w:val="0"/>
                    <w:autoSpaceDN w:val="0"/>
                    <w:adjustRightInd w:val="0"/>
                    <w:spacing w:line="240" w:lineRule="exact"/>
                    <w:ind w:left="0" w:firstLine="0" w:firstLineChars="0"/>
                    <w:jc w:val="center"/>
                    <w:rPr>
                      <w:b/>
                      <w:szCs w:val="21"/>
                    </w:rPr>
                  </w:pPr>
                </w:p>
              </w:tc>
              <w:tc>
                <w:tcPr>
                  <w:tcW w:w="1141" w:type="dxa"/>
                  <w:vMerge w:val="continue"/>
                  <w:vAlign w:val="center"/>
                </w:tcPr>
                <w:p w14:paraId="54A6EF67">
                  <w:pPr>
                    <w:pStyle w:val="21"/>
                    <w:widowControl/>
                    <w:autoSpaceDE w:val="0"/>
                    <w:autoSpaceDN w:val="0"/>
                    <w:adjustRightInd w:val="0"/>
                    <w:spacing w:line="240" w:lineRule="exact"/>
                    <w:ind w:left="0" w:firstLine="0" w:firstLineChars="0"/>
                    <w:jc w:val="center"/>
                    <w:rPr>
                      <w:b/>
                      <w:szCs w:val="21"/>
                    </w:rPr>
                  </w:pPr>
                </w:p>
              </w:tc>
              <w:tc>
                <w:tcPr>
                  <w:tcW w:w="900" w:type="dxa"/>
                  <w:vAlign w:val="center"/>
                </w:tcPr>
                <w:p w14:paraId="233B2ED7">
                  <w:pPr>
                    <w:pStyle w:val="21"/>
                    <w:widowControl/>
                    <w:autoSpaceDE w:val="0"/>
                    <w:autoSpaceDN w:val="0"/>
                    <w:adjustRightInd w:val="0"/>
                    <w:spacing w:line="240" w:lineRule="exact"/>
                    <w:ind w:left="0" w:firstLine="0" w:firstLineChars="0"/>
                    <w:jc w:val="center"/>
                    <w:rPr>
                      <w:b/>
                      <w:szCs w:val="21"/>
                    </w:rPr>
                  </w:pPr>
                  <w:r>
                    <w:rPr>
                      <w:b/>
                      <w:szCs w:val="21"/>
                    </w:rPr>
                    <w:t>类别</w:t>
                  </w:r>
                </w:p>
              </w:tc>
              <w:tc>
                <w:tcPr>
                  <w:tcW w:w="1288" w:type="dxa"/>
                  <w:vAlign w:val="center"/>
                </w:tcPr>
                <w:p w14:paraId="3080C194">
                  <w:pPr>
                    <w:pStyle w:val="21"/>
                    <w:widowControl/>
                    <w:autoSpaceDE w:val="0"/>
                    <w:autoSpaceDN w:val="0"/>
                    <w:adjustRightInd w:val="0"/>
                    <w:spacing w:line="240" w:lineRule="exact"/>
                    <w:ind w:left="0" w:firstLine="0" w:firstLineChars="0"/>
                    <w:jc w:val="center"/>
                    <w:rPr>
                      <w:b/>
                      <w:szCs w:val="21"/>
                    </w:rPr>
                  </w:pPr>
                  <w:r>
                    <w:rPr>
                      <w:b/>
                      <w:szCs w:val="21"/>
                    </w:rPr>
                    <w:t>废物代码</w:t>
                  </w:r>
                </w:p>
              </w:tc>
              <w:tc>
                <w:tcPr>
                  <w:tcW w:w="848" w:type="dxa"/>
                  <w:vMerge w:val="continue"/>
                  <w:vAlign w:val="center"/>
                </w:tcPr>
                <w:p w14:paraId="568F0B94">
                  <w:pPr>
                    <w:pStyle w:val="21"/>
                    <w:widowControl/>
                    <w:autoSpaceDE w:val="0"/>
                    <w:autoSpaceDN w:val="0"/>
                    <w:adjustRightInd w:val="0"/>
                    <w:spacing w:line="240" w:lineRule="exact"/>
                    <w:ind w:left="0" w:firstLine="0" w:firstLineChars="0"/>
                    <w:jc w:val="center"/>
                    <w:rPr>
                      <w:szCs w:val="21"/>
                    </w:rPr>
                  </w:pPr>
                </w:p>
              </w:tc>
              <w:tc>
                <w:tcPr>
                  <w:tcW w:w="1925" w:type="dxa"/>
                  <w:vMerge w:val="continue"/>
                  <w:vAlign w:val="center"/>
                </w:tcPr>
                <w:p w14:paraId="48BC0B2D">
                  <w:pPr>
                    <w:pStyle w:val="21"/>
                    <w:widowControl/>
                    <w:autoSpaceDE w:val="0"/>
                    <w:autoSpaceDN w:val="0"/>
                    <w:adjustRightInd w:val="0"/>
                    <w:spacing w:line="240" w:lineRule="exact"/>
                    <w:ind w:left="0" w:firstLine="0" w:firstLineChars="0"/>
                    <w:jc w:val="center"/>
                    <w:rPr>
                      <w:szCs w:val="21"/>
                    </w:rPr>
                  </w:pPr>
                </w:p>
              </w:tc>
            </w:tr>
            <w:tr w14:paraId="5FB21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7DC266E6">
                  <w:pPr>
                    <w:widowControl/>
                    <w:autoSpaceDE w:val="0"/>
                    <w:autoSpaceDN w:val="0"/>
                    <w:adjustRightInd w:val="0"/>
                    <w:spacing w:line="240" w:lineRule="exact"/>
                    <w:jc w:val="center"/>
                    <w:rPr>
                      <w:szCs w:val="21"/>
                    </w:rPr>
                  </w:pPr>
                  <w:r>
                    <w:rPr>
                      <w:szCs w:val="21"/>
                    </w:rPr>
                    <w:t>1</w:t>
                  </w:r>
                </w:p>
              </w:tc>
              <w:tc>
                <w:tcPr>
                  <w:tcW w:w="1207" w:type="dxa"/>
                  <w:vAlign w:val="center"/>
                </w:tcPr>
                <w:p w14:paraId="25F29126">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灰渣</w:t>
                  </w:r>
                </w:p>
              </w:tc>
              <w:tc>
                <w:tcPr>
                  <w:tcW w:w="1141" w:type="dxa"/>
                  <w:vAlign w:val="center"/>
                </w:tcPr>
                <w:p w14:paraId="65B72190">
                  <w:pPr>
                    <w:widowControl/>
                    <w:autoSpaceDE w:val="0"/>
                    <w:autoSpaceDN w:val="0"/>
                    <w:adjustRightInd w:val="0"/>
                    <w:spacing w:line="240" w:lineRule="exact"/>
                    <w:jc w:val="center"/>
                    <w:rPr>
                      <w:szCs w:val="21"/>
                    </w:rPr>
                  </w:pPr>
                  <w:r>
                    <w:rPr>
                      <w:rFonts w:hint="eastAsia"/>
                      <w:szCs w:val="21"/>
                    </w:rPr>
                    <w:t>蒸汽发生器</w:t>
                  </w:r>
                </w:p>
              </w:tc>
              <w:tc>
                <w:tcPr>
                  <w:tcW w:w="900" w:type="dxa"/>
                  <w:vAlign w:val="center"/>
                </w:tcPr>
                <w:p w14:paraId="3D8F8B72">
                  <w:pPr>
                    <w:pStyle w:val="21"/>
                    <w:widowControl/>
                    <w:autoSpaceDE w:val="0"/>
                    <w:autoSpaceDN w:val="0"/>
                    <w:adjustRightInd w:val="0"/>
                    <w:spacing w:line="240" w:lineRule="exact"/>
                    <w:ind w:left="0" w:firstLine="0" w:firstLineChars="0"/>
                    <w:jc w:val="center"/>
                    <w:rPr>
                      <w:szCs w:val="21"/>
                    </w:rPr>
                  </w:pPr>
                  <w:r>
                    <w:rPr>
                      <w:rFonts w:hint="eastAsia"/>
                      <w:szCs w:val="21"/>
                    </w:rPr>
                    <w:t>S17</w:t>
                  </w:r>
                </w:p>
              </w:tc>
              <w:tc>
                <w:tcPr>
                  <w:tcW w:w="1288" w:type="dxa"/>
                  <w:vAlign w:val="center"/>
                </w:tcPr>
                <w:p w14:paraId="46E5711A">
                  <w:pPr>
                    <w:pStyle w:val="21"/>
                    <w:widowControl/>
                    <w:autoSpaceDE w:val="0"/>
                    <w:autoSpaceDN w:val="0"/>
                    <w:adjustRightInd w:val="0"/>
                    <w:spacing w:line="240" w:lineRule="exact"/>
                    <w:ind w:left="0" w:firstLine="0" w:firstLineChars="0"/>
                    <w:jc w:val="center"/>
                    <w:rPr>
                      <w:color w:val="000000"/>
                      <w:szCs w:val="21"/>
                    </w:rPr>
                  </w:pPr>
                  <w:r>
                    <w:rPr>
                      <w:rFonts w:hint="eastAsia"/>
                      <w:szCs w:val="21"/>
                    </w:rPr>
                    <w:t>900-006-S17</w:t>
                  </w:r>
                </w:p>
              </w:tc>
              <w:tc>
                <w:tcPr>
                  <w:tcW w:w="848" w:type="dxa"/>
                  <w:vAlign w:val="center"/>
                </w:tcPr>
                <w:p w14:paraId="6B30C05E">
                  <w:pPr>
                    <w:pStyle w:val="21"/>
                    <w:widowControl/>
                    <w:autoSpaceDE w:val="0"/>
                    <w:autoSpaceDN w:val="0"/>
                    <w:adjustRightInd w:val="0"/>
                    <w:spacing w:line="240" w:lineRule="exact"/>
                    <w:ind w:left="0" w:firstLine="0" w:firstLineChars="0"/>
                    <w:jc w:val="center"/>
                    <w:rPr>
                      <w:color w:val="FF0000"/>
                      <w:szCs w:val="21"/>
                    </w:rPr>
                  </w:pPr>
                  <w:r>
                    <w:rPr>
                      <w:rFonts w:hint="eastAsia"/>
                      <w:bCs/>
                      <w:spacing w:val="-10"/>
                      <w:szCs w:val="21"/>
                    </w:rPr>
                    <w:t>28.2</w:t>
                  </w:r>
                </w:p>
              </w:tc>
              <w:tc>
                <w:tcPr>
                  <w:tcW w:w="1925" w:type="dxa"/>
                  <w:vAlign w:val="center"/>
                </w:tcPr>
                <w:p w14:paraId="4850D2C1">
                  <w:pPr>
                    <w:pStyle w:val="21"/>
                    <w:widowControl/>
                    <w:autoSpaceDE w:val="0"/>
                    <w:autoSpaceDN w:val="0"/>
                    <w:adjustRightInd w:val="0"/>
                    <w:spacing w:line="240" w:lineRule="exact"/>
                    <w:ind w:left="0" w:firstLine="0" w:firstLineChars="0"/>
                    <w:jc w:val="center"/>
                    <w:rPr>
                      <w:szCs w:val="21"/>
                    </w:rPr>
                  </w:pPr>
                  <w:r>
                    <w:rPr>
                      <w:rFonts w:hint="eastAsia"/>
                      <w:szCs w:val="21"/>
                    </w:rPr>
                    <w:t>一般工业固废处置单位</w:t>
                  </w:r>
                </w:p>
              </w:tc>
            </w:tr>
            <w:tr w14:paraId="5F60F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4D8250A8">
                  <w:pPr>
                    <w:widowControl/>
                    <w:autoSpaceDE w:val="0"/>
                    <w:autoSpaceDN w:val="0"/>
                    <w:adjustRightInd w:val="0"/>
                    <w:spacing w:line="240" w:lineRule="exact"/>
                    <w:jc w:val="center"/>
                    <w:rPr>
                      <w:szCs w:val="21"/>
                    </w:rPr>
                  </w:pPr>
                  <w:r>
                    <w:rPr>
                      <w:rFonts w:hint="eastAsia"/>
                      <w:szCs w:val="21"/>
                    </w:rPr>
                    <w:t>2</w:t>
                  </w:r>
                </w:p>
              </w:tc>
              <w:tc>
                <w:tcPr>
                  <w:tcW w:w="1207" w:type="dxa"/>
                  <w:vAlign w:val="center"/>
                </w:tcPr>
                <w:p w14:paraId="1B5D1B85">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废包装材料</w:t>
                  </w:r>
                </w:p>
              </w:tc>
              <w:tc>
                <w:tcPr>
                  <w:tcW w:w="1141" w:type="dxa"/>
                  <w:vAlign w:val="center"/>
                </w:tcPr>
                <w:p w14:paraId="5DF572AA">
                  <w:pPr>
                    <w:widowControl/>
                    <w:autoSpaceDE w:val="0"/>
                    <w:autoSpaceDN w:val="0"/>
                    <w:adjustRightInd w:val="0"/>
                    <w:spacing w:line="240" w:lineRule="exact"/>
                    <w:jc w:val="center"/>
                    <w:rPr>
                      <w:szCs w:val="21"/>
                    </w:rPr>
                  </w:pPr>
                  <w:r>
                    <w:rPr>
                      <w:rFonts w:hint="eastAsia"/>
                      <w:szCs w:val="21"/>
                    </w:rPr>
                    <w:t>原料</w:t>
                  </w:r>
                </w:p>
              </w:tc>
              <w:tc>
                <w:tcPr>
                  <w:tcW w:w="900" w:type="dxa"/>
                  <w:vAlign w:val="center"/>
                </w:tcPr>
                <w:p w14:paraId="2C3CCA30">
                  <w:pPr>
                    <w:pStyle w:val="21"/>
                    <w:widowControl/>
                    <w:autoSpaceDE w:val="0"/>
                    <w:autoSpaceDN w:val="0"/>
                    <w:adjustRightInd w:val="0"/>
                    <w:spacing w:line="240" w:lineRule="exact"/>
                    <w:ind w:left="0" w:firstLine="0" w:firstLineChars="0"/>
                    <w:jc w:val="center"/>
                    <w:rPr>
                      <w:szCs w:val="21"/>
                    </w:rPr>
                  </w:pPr>
                  <w:r>
                    <w:rPr>
                      <w:rFonts w:hint="eastAsia"/>
                      <w:szCs w:val="21"/>
                    </w:rPr>
                    <w:t>S17</w:t>
                  </w:r>
                </w:p>
              </w:tc>
              <w:tc>
                <w:tcPr>
                  <w:tcW w:w="1288" w:type="dxa"/>
                  <w:vAlign w:val="center"/>
                </w:tcPr>
                <w:p w14:paraId="33255287">
                  <w:pPr>
                    <w:pStyle w:val="21"/>
                    <w:widowControl/>
                    <w:autoSpaceDE w:val="0"/>
                    <w:autoSpaceDN w:val="0"/>
                    <w:adjustRightInd w:val="0"/>
                    <w:spacing w:line="240" w:lineRule="exact"/>
                    <w:ind w:left="0" w:firstLine="0" w:firstLineChars="0"/>
                    <w:jc w:val="center"/>
                    <w:rPr>
                      <w:color w:val="000000"/>
                      <w:szCs w:val="21"/>
                    </w:rPr>
                  </w:pPr>
                  <w:r>
                    <w:rPr>
                      <w:rFonts w:hint="eastAsia"/>
                      <w:szCs w:val="21"/>
                    </w:rPr>
                    <w:t>900-003-S17</w:t>
                  </w:r>
                </w:p>
              </w:tc>
              <w:tc>
                <w:tcPr>
                  <w:tcW w:w="848" w:type="dxa"/>
                  <w:vAlign w:val="center"/>
                </w:tcPr>
                <w:p w14:paraId="39DBDCA3">
                  <w:pPr>
                    <w:pStyle w:val="21"/>
                    <w:widowControl/>
                    <w:autoSpaceDE w:val="0"/>
                    <w:autoSpaceDN w:val="0"/>
                    <w:adjustRightInd w:val="0"/>
                    <w:spacing w:line="240" w:lineRule="exact"/>
                    <w:ind w:left="0" w:firstLine="0" w:firstLineChars="0"/>
                    <w:jc w:val="center"/>
                    <w:rPr>
                      <w:color w:val="FF0000"/>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8</w:t>
                  </w:r>
                </w:p>
              </w:tc>
              <w:tc>
                <w:tcPr>
                  <w:tcW w:w="1925" w:type="dxa"/>
                  <w:vAlign w:val="center"/>
                </w:tcPr>
                <w:p w14:paraId="42AC19A7">
                  <w:pPr>
                    <w:pStyle w:val="21"/>
                    <w:widowControl/>
                    <w:autoSpaceDE w:val="0"/>
                    <w:autoSpaceDN w:val="0"/>
                    <w:adjustRightInd w:val="0"/>
                    <w:spacing w:line="240" w:lineRule="exact"/>
                    <w:ind w:left="0" w:firstLine="0" w:firstLineChars="0"/>
                    <w:jc w:val="center"/>
                    <w:rPr>
                      <w:szCs w:val="21"/>
                    </w:rPr>
                  </w:pPr>
                  <w:r>
                    <w:rPr>
                      <w:rFonts w:hint="eastAsia"/>
                      <w:szCs w:val="21"/>
                    </w:rPr>
                    <w:t>一般工业固废处置单位</w:t>
                  </w:r>
                </w:p>
              </w:tc>
            </w:tr>
            <w:tr w14:paraId="751AA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26EDBFEF">
                  <w:pPr>
                    <w:widowControl/>
                    <w:autoSpaceDE w:val="0"/>
                    <w:autoSpaceDN w:val="0"/>
                    <w:adjustRightInd w:val="0"/>
                    <w:spacing w:line="240" w:lineRule="exact"/>
                    <w:jc w:val="center"/>
                    <w:rPr>
                      <w:szCs w:val="21"/>
                    </w:rPr>
                  </w:pPr>
                  <w:r>
                    <w:rPr>
                      <w:szCs w:val="21"/>
                    </w:rPr>
                    <w:t>3</w:t>
                  </w:r>
                </w:p>
              </w:tc>
              <w:tc>
                <w:tcPr>
                  <w:tcW w:w="1207" w:type="dxa"/>
                  <w:vAlign w:val="center"/>
                </w:tcPr>
                <w:p w14:paraId="09E8F624">
                  <w:pPr>
                    <w:widowControl/>
                    <w:autoSpaceDE w:val="0"/>
                    <w:autoSpaceDN w:val="0"/>
                    <w:adjustRightIn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废离子交换树脂</w:t>
                  </w:r>
                </w:p>
              </w:tc>
              <w:tc>
                <w:tcPr>
                  <w:tcW w:w="1141" w:type="dxa"/>
                  <w:vAlign w:val="center"/>
                </w:tcPr>
                <w:p w14:paraId="49376D0A">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纯水制备</w:t>
                  </w:r>
                </w:p>
              </w:tc>
              <w:tc>
                <w:tcPr>
                  <w:tcW w:w="900" w:type="dxa"/>
                  <w:vAlign w:val="center"/>
                </w:tcPr>
                <w:p w14:paraId="6E5EE7AE">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szCs w:val="21"/>
                    </w:rPr>
                    <w:t>S64</w:t>
                  </w:r>
                </w:p>
              </w:tc>
              <w:tc>
                <w:tcPr>
                  <w:tcW w:w="1288" w:type="dxa"/>
                  <w:vAlign w:val="center"/>
                </w:tcPr>
                <w:p w14:paraId="49EAF040">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rFonts w:hint="eastAsia"/>
                      <w:szCs w:val="21"/>
                    </w:rPr>
                    <w:t>900-008-S64</w:t>
                  </w:r>
                </w:p>
              </w:tc>
              <w:tc>
                <w:tcPr>
                  <w:tcW w:w="848" w:type="dxa"/>
                  <w:vAlign w:val="center"/>
                </w:tcPr>
                <w:p w14:paraId="550FB2C5">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0.015</w:t>
                  </w:r>
                </w:p>
              </w:tc>
              <w:tc>
                <w:tcPr>
                  <w:tcW w:w="1925" w:type="dxa"/>
                  <w:vAlign w:val="center"/>
                </w:tcPr>
                <w:p w14:paraId="564A2281">
                  <w:pPr>
                    <w:pStyle w:val="21"/>
                    <w:widowControl/>
                    <w:autoSpaceDE w:val="0"/>
                    <w:autoSpaceDN w:val="0"/>
                    <w:adjustRightInd w:val="0"/>
                    <w:spacing w:line="240" w:lineRule="exact"/>
                    <w:ind w:left="0" w:firstLine="0" w:firstLineChars="0"/>
                    <w:jc w:val="center"/>
                    <w:rPr>
                      <w:szCs w:val="21"/>
                    </w:rPr>
                  </w:pPr>
                  <w:r>
                    <w:rPr>
                      <w:rFonts w:hint="eastAsia"/>
                      <w:szCs w:val="21"/>
                    </w:rPr>
                    <w:t>原厂家回收</w:t>
                  </w:r>
                </w:p>
              </w:tc>
            </w:tr>
            <w:tr w14:paraId="44534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1E2641E5">
                  <w:pPr>
                    <w:widowControl/>
                    <w:autoSpaceDE w:val="0"/>
                    <w:autoSpaceDN w:val="0"/>
                    <w:adjustRightInd w:val="0"/>
                    <w:spacing w:line="240" w:lineRule="exact"/>
                    <w:jc w:val="center"/>
                    <w:rPr>
                      <w:szCs w:val="21"/>
                    </w:rPr>
                  </w:pPr>
                  <w:r>
                    <w:rPr>
                      <w:rFonts w:hint="eastAsia"/>
                      <w:szCs w:val="21"/>
                    </w:rPr>
                    <w:t>4</w:t>
                  </w:r>
                </w:p>
              </w:tc>
              <w:tc>
                <w:tcPr>
                  <w:tcW w:w="1207" w:type="dxa"/>
                  <w:vAlign w:val="center"/>
                </w:tcPr>
                <w:p w14:paraId="3CBAA484">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水喷淋沉渣</w:t>
                  </w:r>
                </w:p>
              </w:tc>
              <w:tc>
                <w:tcPr>
                  <w:tcW w:w="1141" w:type="dxa"/>
                  <w:vAlign w:val="center"/>
                </w:tcPr>
                <w:p w14:paraId="5F4629E1">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水喷淋</w:t>
                  </w:r>
                </w:p>
              </w:tc>
              <w:tc>
                <w:tcPr>
                  <w:tcW w:w="900" w:type="dxa"/>
                  <w:vAlign w:val="center"/>
                </w:tcPr>
                <w:p w14:paraId="21C172FC">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szCs w:val="21"/>
                    </w:rPr>
                    <w:t>S17</w:t>
                  </w:r>
                </w:p>
              </w:tc>
              <w:tc>
                <w:tcPr>
                  <w:tcW w:w="1288" w:type="dxa"/>
                  <w:vAlign w:val="center"/>
                </w:tcPr>
                <w:p w14:paraId="1564E3A6">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rFonts w:hint="eastAsia"/>
                      <w:szCs w:val="21"/>
                    </w:rPr>
                    <w:t>900-008-S17</w:t>
                  </w:r>
                </w:p>
              </w:tc>
              <w:tc>
                <w:tcPr>
                  <w:tcW w:w="848" w:type="dxa"/>
                  <w:vAlign w:val="center"/>
                </w:tcPr>
                <w:p w14:paraId="5A7E1053">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26</w:t>
                  </w:r>
                </w:p>
              </w:tc>
              <w:tc>
                <w:tcPr>
                  <w:tcW w:w="1925" w:type="dxa"/>
                  <w:vAlign w:val="center"/>
                </w:tcPr>
                <w:p w14:paraId="314522C2">
                  <w:pPr>
                    <w:pStyle w:val="21"/>
                    <w:widowControl/>
                    <w:autoSpaceDE w:val="0"/>
                    <w:autoSpaceDN w:val="0"/>
                    <w:adjustRightInd w:val="0"/>
                    <w:spacing w:line="240" w:lineRule="exact"/>
                    <w:ind w:left="0" w:firstLine="0" w:firstLineChars="0"/>
                    <w:jc w:val="center"/>
                    <w:rPr>
                      <w:szCs w:val="21"/>
                    </w:rPr>
                  </w:pPr>
                  <w:r>
                    <w:rPr>
                      <w:rFonts w:hint="eastAsia"/>
                      <w:szCs w:val="21"/>
                    </w:rPr>
                    <w:t>一般工业固废处置单位</w:t>
                  </w:r>
                </w:p>
              </w:tc>
            </w:tr>
            <w:tr w14:paraId="3E048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16291EE0">
                  <w:pPr>
                    <w:widowControl/>
                    <w:autoSpaceDE w:val="0"/>
                    <w:autoSpaceDN w:val="0"/>
                    <w:adjustRightInd w:val="0"/>
                    <w:spacing w:line="240" w:lineRule="exact"/>
                    <w:jc w:val="center"/>
                    <w:rPr>
                      <w:szCs w:val="21"/>
                    </w:rPr>
                  </w:pPr>
                  <w:r>
                    <w:rPr>
                      <w:szCs w:val="21"/>
                    </w:rPr>
                    <w:t>5</w:t>
                  </w:r>
                </w:p>
              </w:tc>
              <w:tc>
                <w:tcPr>
                  <w:tcW w:w="1207" w:type="dxa"/>
                  <w:vAlign w:val="center"/>
                </w:tcPr>
                <w:p w14:paraId="42922767">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沉淀池沉渣</w:t>
                  </w:r>
                </w:p>
              </w:tc>
              <w:tc>
                <w:tcPr>
                  <w:tcW w:w="1141" w:type="dxa"/>
                  <w:vAlign w:val="center"/>
                </w:tcPr>
                <w:p w14:paraId="7BFE84D0">
                  <w:pPr>
                    <w:widowControl/>
                    <w:autoSpaceDE w:val="0"/>
                    <w:autoSpaceDN w:val="0"/>
                    <w:adjustRightIn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沉淀池</w:t>
                  </w:r>
                </w:p>
              </w:tc>
              <w:tc>
                <w:tcPr>
                  <w:tcW w:w="900" w:type="dxa"/>
                  <w:vAlign w:val="center"/>
                </w:tcPr>
                <w:p w14:paraId="6E3A1D11">
                  <w:pPr>
                    <w:pStyle w:val="21"/>
                    <w:widowControl/>
                    <w:autoSpaceDE w:val="0"/>
                    <w:autoSpaceDN w:val="0"/>
                    <w:adjustRightInd w:val="0"/>
                    <w:spacing w:line="240" w:lineRule="exact"/>
                    <w:ind w:left="0" w:firstLine="0" w:firstLineChars="0"/>
                    <w:jc w:val="center"/>
                    <w:rPr>
                      <w:color w:val="000000" w:themeColor="text1"/>
                      <w:szCs w:val="21"/>
                      <w14:textFill>
                        <w14:solidFill>
                          <w14:schemeClr w14:val="tx1"/>
                        </w14:solidFill>
                      </w14:textFill>
                    </w:rPr>
                  </w:pPr>
                  <w:r>
                    <w:rPr>
                      <w:rFonts w:hint="eastAsia"/>
                      <w:szCs w:val="21"/>
                    </w:rPr>
                    <w:t>S17</w:t>
                  </w:r>
                </w:p>
              </w:tc>
              <w:tc>
                <w:tcPr>
                  <w:tcW w:w="1288" w:type="dxa"/>
                  <w:vAlign w:val="center"/>
                </w:tcPr>
                <w:p w14:paraId="4679F89B">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rFonts w:hint="eastAsia"/>
                      <w:szCs w:val="21"/>
                    </w:rPr>
                    <w:t>900-008-S17</w:t>
                  </w:r>
                </w:p>
              </w:tc>
              <w:tc>
                <w:tcPr>
                  <w:tcW w:w="848" w:type="dxa"/>
                  <w:vAlign w:val="center"/>
                </w:tcPr>
                <w:p w14:paraId="50432DA5">
                  <w:pPr>
                    <w:pStyle w:val="21"/>
                    <w:widowControl/>
                    <w:autoSpaceDE w:val="0"/>
                    <w:autoSpaceDN w:val="0"/>
                    <w:adjustRightInd w:val="0"/>
                    <w:spacing w:line="240" w:lineRule="exact"/>
                    <w:ind w:left="0" w:firstLine="0" w:firstLineChars="0"/>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0.17</w:t>
                  </w:r>
                </w:p>
              </w:tc>
              <w:tc>
                <w:tcPr>
                  <w:tcW w:w="1925" w:type="dxa"/>
                  <w:vAlign w:val="center"/>
                </w:tcPr>
                <w:p w14:paraId="3C3AFCE4">
                  <w:pPr>
                    <w:pStyle w:val="21"/>
                    <w:widowControl/>
                    <w:autoSpaceDE w:val="0"/>
                    <w:autoSpaceDN w:val="0"/>
                    <w:adjustRightInd w:val="0"/>
                    <w:spacing w:line="240" w:lineRule="exact"/>
                    <w:ind w:left="0" w:firstLine="0" w:firstLineChars="0"/>
                    <w:jc w:val="center"/>
                    <w:rPr>
                      <w:szCs w:val="21"/>
                    </w:rPr>
                  </w:pPr>
                  <w:r>
                    <w:rPr>
                      <w:rFonts w:hint="eastAsia"/>
                      <w:szCs w:val="21"/>
                    </w:rPr>
                    <w:t>一般工业固废处置单位</w:t>
                  </w:r>
                </w:p>
              </w:tc>
            </w:tr>
            <w:tr w14:paraId="4FF33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dxa"/>
                  <w:vAlign w:val="center"/>
                </w:tcPr>
                <w:p w14:paraId="19A448E8">
                  <w:pPr>
                    <w:widowControl/>
                    <w:autoSpaceDE w:val="0"/>
                    <w:autoSpaceDN w:val="0"/>
                    <w:adjustRightInd w:val="0"/>
                    <w:spacing w:line="240" w:lineRule="exact"/>
                    <w:jc w:val="center"/>
                    <w:rPr>
                      <w:szCs w:val="21"/>
                    </w:rPr>
                  </w:pPr>
                  <w:r>
                    <w:rPr>
                      <w:szCs w:val="21"/>
                    </w:rPr>
                    <w:t>6</w:t>
                  </w:r>
                </w:p>
              </w:tc>
              <w:tc>
                <w:tcPr>
                  <w:tcW w:w="1207" w:type="dxa"/>
                  <w:vAlign w:val="center"/>
                </w:tcPr>
                <w:p w14:paraId="4E8D9E8F">
                  <w:pPr>
                    <w:widowControl/>
                    <w:autoSpaceDE w:val="0"/>
                    <w:autoSpaceDN w:val="0"/>
                    <w:adjustRightInd w:val="0"/>
                    <w:spacing w:line="240" w:lineRule="exact"/>
                    <w:jc w:val="center"/>
                    <w:rPr>
                      <w:szCs w:val="21"/>
                    </w:rPr>
                  </w:pPr>
                  <w:r>
                    <w:rPr>
                      <w:rFonts w:hint="eastAsia"/>
                      <w:color w:val="000000" w:themeColor="text1"/>
                      <w:szCs w:val="21"/>
                      <w14:textFill>
                        <w14:solidFill>
                          <w14:schemeClr w14:val="tx1"/>
                        </w14:solidFill>
                      </w14:textFill>
                    </w:rPr>
                    <w:t>生活垃圾</w:t>
                  </w:r>
                </w:p>
              </w:tc>
              <w:tc>
                <w:tcPr>
                  <w:tcW w:w="1141" w:type="dxa"/>
                  <w:vAlign w:val="center"/>
                </w:tcPr>
                <w:p w14:paraId="2A08A938">
                  <w:pPr>
                    <w:widowControl/>
                    <w:autoSpaceDE w:val="0"/>
                    <w:autoSpaceDN w:val="0"/>
                    <w:adjustRightInd w:val="0"/>
                    <w:spacing w:line="240" w:lineRule="exact"/>
                    <w:jc w:val="center"/>
                    <w:rPr>
                      <w:szCs w:val="21"/>
                    </w:rPr>
                  </w:pPr>
                  <w:r>
                    <w:rPr>
                      <w:rFonts w:hint="eastAsia"/>
                      <w:szCs w:val="21"/>
                    </w:rPr>
                    <w:t>员工生活</w:t>
                  </w:r>
                </w:p>
              </w:tc>
              <w:tc>
                <w:tcPr>
                  <w:tcW w:w="900" w:type="dxa"/>
                  <w:vAlign w:val="center"/>
                </w:tcPr>
                <w:p w14:paraId="295097F2">
                  <w:pPr>
                    <w:pStyle w:val="21"/>
                    <w:widowControl/>
                    <w:autoSpaceDE w:val="0"/>
                    <w:autoSpaceDN w:val="0"/>
                    <w:adjustRightInd w:val="0"/>
                    <w:spacing w:line="240" w:lineRule="exact"/>
                    <w:ind w:left="0" w:firstLine="0" w:firstLineChars="0"/>
                    <w:jc w:val="center"/>
                    <w:rPr>
                      <w:szCs w:val="21"/>
                    </w:rPr>
                  </w:pPr>
                  <w:r>
                    <w:rPr>
                      <w:rFonts w:hint="eastAsia"/>
                      <w:szCs w:val="21"/>
                    </w:rPr>
                    <w:t>S64</w:t>
                  </w:r>
                </w:p>
              </w:tc>
              <w:tc>
                <w:tcPr>
                  <w:tcW w:w="1288" w:type="dxa"/>
                </w:tcPr>
                <w:p w14:paraId="13E1E726">
                  <w:pPr>
                    <w:pStyle w:val="21"/>
                    <w:widowControl/>
                    <w:autoSpaceDE w:val="0"/>
                    <w:autoSpaceDN w:val="0"/>
                    <w:adjustRightInd w:val="0"/>
                    <w:spacing w:line="240" w:lineRule="exact"/>
                    <w:ind w:left="0" w:firstLine="0" w:firstLineChars="0"/>
                    <w:jc w:val="center"/>
                    <w:rPr>
                      <w:color w:val="000000"/>
                      <w:szCs w:val="21"/>
                    </w:rPr>
                  </w:pPr>
                  <w:r>
                    <w:rPr>
                      <w:rFonts w:hint="eastAsia"/>
                      <w:szCs w:val="21"/>
                    </w:rPr>
                    <w:t>900-099-S64</w:t>
                  </w:r>
                </w:p>
              </w:tc>
              <w:tc>
                <w:tcPr>
                  <w:tcW w:w="848" w:type="dxa"/>
                  <w:vAlign w:val="center"/>
                </w:tcPr>
                <w:p w14:paraId="5C6D542D">
                  <w:pPr>
                    <w:pStyle w:val="21"/>
                    <w:widowControl/>
                    <w:autoSpaceDE w:val="0"/>
                    <w:autoSpaceDN w:val="0"/>
                    <w:adjustRightInd w:val="0"/>
                    <w:spacing w:line="240" w:lineRule="exact"/>
                    <w:ind w:left="0" w:firstLine="0" w:firstLineChars="0"/>
                    <w:jc w:val="center"/>
                    <w:rPr>
                      <w:color w:val="000000"/>
                      <w:szCs w:val="21"/>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p>
              </w:tc>
              <w:tc>
                <w:tcPr>
                  <w:tcW w:w="1925" w:type="dxa"/>
                  <w:vAlign w:val="center"/>
                </w:tcPr>
                <w:p w14:paraId="6943251A">
                  <w:pPr>
                    <w:pStyle w:val="21"/>
                    <w:widowControl/>
                    <w:autoSpaceDE w:val="0"/>
                    <w:autoSpaceDN w:val="0"/>
                    <w:adjustRightInd w:val="0"/>
                    <w:spacing w:line="240" w:lineRule="exact"/>
                    <w:ind w:left="0" w:firstLine="0" w:firstLineChars="0"/>
                    <w:jc w:val="center"/>
                    <w:rPr>
                      <w:szCs w:val="21"/>
                    </w:rPr>
                  </w:pPr>
                  <w:r>
                    <w:rPr>
                      <w:rFonts w:hint="eastAsia"/>
                      <w:szCs w:val="21"/>
                    </w:rPr>
                    <w:t>环卫部门处置</w:t>
                  </w:r>
                </w:p>
              </w:tc>
            </w:tr>
          </w:tbl>
          <w:p w14:paraId="4420D741">
            <w:pPr>
              <w:jc w:val="center"/>
              <w:rPr>
                <w:b/>
                <w:szCs w:val="21"/>
              </w:rPr>
            </w:pPr>
          </w:p>
          <w:p w14:paraId="721E5F5D">
            <w:pPr>
              <w:jc w:val="center"/>
              <w:rPr>
                <w:b/>
                <w:szCs w:val="21"/>
              </w:rPr>
            </w:pPr>
          </w:p>
          <w:p w14:paraId="4657AA23">
            <w:pPr>
              <w:pStyle w:val="32"/>
              <w:spacing w:line="360" w:lineRule="auto"/>
              <w:rPr>
                <w:rFonts w:ascii="Times New Roman"/>
                <w:b/>
                <w:color w:val="auto"/>
              </w:rPr>
            </w:pPr>
            <w:r>
              <w:rPr>
                <w:rFonts w:hint="eastAsia" w:ascii="Times New Roman"/>
                <w:b/>
                <w:color w:val="auto"/>
              </w:rPr>
              <w:t>4.2</w:t>
            </w:r>
            <w:r>
              <w:rPr>
                <w:rFonts w:ascii="Times New Roman"/>
                <w:b/>
                <w:color w:val="auto"/>
              </w:rPr>
              <w:t>一般工业固废影响分析</w:t>
            </w:r>
          </w:p>
          <w:p w14:paraId="2C26DB9B">
            <w:pPr>
              <w:spacing w:line="360" w:lineRule="auto"/>
              <w:ind w:firstLine="480"/>
              <w:rPr>
                <w:b/>
                <w:sz w:val="24"/>
              </w:rPr>
            </w:pPr>
            <w:r>
              <w:rPr>
                <w:bCs/>
                <w:sz w:val="24"/>
              </w:rPr>
              <w:t>本项目一般固体废弃物均采取合理措施处理，不会对周围环境造成影响。</w:t>
            </w:r>
          </w:p>
          <w:p w14:paraId="69C38972">
            <w:pPr>
              <w:spacing w:line="360" w:lineRule="auto"/>
              <w:ind w:firstLine="480" w:firstLineChars="200"/>
              <w:rPr>
                <w:kern w:val="0"/>
                <w:sz w:val="24"/>
              </w:rPr>
            </w:pPr>
            <w:r>
              <w:rPr>
                <w:kern w:val="0"/>
                <w:sz w:val="24"/>
              </w:rPr>
              <w:t>本项目拟在</w:t>
            </w:r>
            <w:r>
              <w:rPr>
                <w:rFonts w:hint="eastAsia"/>
                <w:kern w:val="0"/>
                <w:sz w:val="24"/>
              </w:rPr>
              <w:t>锅炉房内</w:t>
            </w:r>
            <w:r>
              <w:rPr>
                <w:kern w:val="0"/>
                <w:sz w:val="24"/>
              </w:rPr>
              <w:t>设置1间一般固废堆放点（</w:t>
            </w:r>
            <w:r>
              <w:rPr>
                <w:rFonts w:hint="eastAsia"/>
                <w:kern w:val="0"/>
                <w:sz w:val="24"/>
              </w:rPr>
              <w:t>1</w:t>
            </w:r>
            <w:r>
              <w:rPr>
                <w:kern w:val="0"/>
                <w:sz w:val="24"/>
              </w:rPr>
              <w:t>0m</w:t>
            </w:r>
            <w:r>
              <w:rPr>
                <w:kern w:val="0"/>
                <w:sz w:val="24"/>
                <w:vertAlign w:val="superscript"/>
              </w:rPr>
              <w:t>2</w:t>
            </w:r>
            <w:r>
              <w:rPr>
                <w:kern w:val="0"/>
                <w:sz w:val="24"/>
              </w:rPr>
              <w:t>）。一般工业固废仓库存放应执行</w:t>
            </w:r>
            <w:r>
              <w:fldChar w:fldCharType="begin"/>
            </w:r>
            <w:r>
              <w:instrText xml:space="preserve"> HYPERLINK "http://www.baidu.com/link?url=kNbvpICV8UEYTvnvyIImAvsXldHeDu26i0laF8deFKT7-tVKAkdAKgBdSvj3vTU9yEukCRJSfOogZleVIh_4a7rVTEy1wKYfD0tx6c6USxa7bap1O0jmTumeNfEGPu4P" \t "_blank" </w:instrText>
            </w:r>
            <w:r>
              <w:fldChar w:fldCharType="separate"/>
            </w:r>
            <w:r>
              <w:rPr>
                <w:kern w:val="0"/>
                <w:sz w:val="24"/>
              </w:rPr>
              <w:t>《一般工业固体废物贮存和填埋污染控制标准》</w:t>
            </w:r>
            <w:r>
              <w:rPr>
                <w:kern w:val="0"/>
                <w:sz w:val="24"/>
              </w:rPr>
              <w:fldChar w:fldCharType="end"/>
            </w:r>
            <w:r>
              <w:rPr>
                <w:kern w:val="0"/>
                <w:sz w:val="24"/>
              </w:rPr>
              <w:t>（GB18599-2020）中有关规定。</w:t>
            </w:r>
          </w:p>
          <w:p w14:paraId="0D7CC6D7">
            <w:pPr>
              <w:spacing w:line="360" w:lineRule="auto"/>
              <w:ind w:firstLine="480" w:firstLineChars="200"/>
              <w:rPr>
                <w:kern w:val="0"/>
                <w:sz w:val="24"/>
                <w:lang w:bidi="ar"/>
              </w:rPr>
            </w:pPr>
            <w:r>
              <w:rPr>
                <w:kern w:val="0"/>
                <w:sz w:val="24"/>
                <w:lang w:bidi="ar"/>
              </w:rPr>
              <w:t>1）一般工业固废</w:t>
            </w:r>
            <w:r>
              <w:rPr>
                <w:rFonts w:hint="eastAsia"/>
                <w:kern w:val="0"/>
                <w:sz w:val="24"/>
                <w:lang w:bidi="ar"/>
              </w:rPr>
              <w:t>间</w:t>
            </w:r>
            <w:r>
              <w:rPr>
                <w:kern w:val="0"/>
                <w:sz w:val="24"/>
                <w:lang w:bidi="ar"/>
              </w:rPr>
              <w:t xml:space="preserve">贮存要求： </w:t>
            </w:r>
          </w:p>
          <w:p w14:paraId="06E4D337">
            <w:pPr>
              <w:spacing w:line="360" w:lineRule="auto"/>
              <w:ind w:firstLine="480" w:firstLineChars="200"/>
              <w:rPr>
                <w:kern w:val="0"/>
                <w:sz w:val="24"/>
                <w:lang w:bidi="ar"/>
              </w:rPr>
            </w:pPr>
            <w:r>
              <w:rPr>
                <w:kern w:val="0"/>
                <w:sz w:val="24"/>
                <w:lang w:bidi="ar"/>
              </w:rPr>
              <w:t>首先进行分类，然后对可再次利用的固废进行综合利用，不可再次利用的可作为资源外售。严禁乱堆乱放和随便倾倒。堆场应做水泥地面和围挡，设置防渗、防雨、防风吹措施，并设置标牌。一般固废在运输过程中要防止散落地面，以免产生二次污染。一般固废要遵循资源化、无害化的方式进行处理。</w:t>
            </w:r>
          </w:p>
          <w:p w14:paraId="68EB79C6">
            <w:pPr>
              <w:spacing w:line="360" w:lineRule="auto"/>
              <w:ind w:firstLine="480" w:firstLineChars="200"/>
              <w:rPr>
                <w:sz w:val="24"/>
                <w:lang w:bidi="ar"/>
              </w:rPr>
            </w:pPr>
            <w:r>
              <w:rPr>
                <w:sz w:val="24"/>
                <w:lang w:bidi="ar"/>
              </w:rPr>
              <w:t>综上，本项目固体废物均得到合理处理处置，因此固废处置措施是可行的，对周边环境影响较小。</w:t>
            </w:r>
          </w:p>
          <w:p w14:paraId="4ADF05B9">
            <w:pPr>
              <w:pStyle w:val="62"/>
              <w:adjustRightInd/>
              <w:snapToGrid/>
              <w:spacing w:line="360" w:lineRule="auto"/>
              <w:ind w:firstLine="480" w:firstLineChars="200"/>
              <w:jc w:val="both"/>
              <w:rPr>
                <w:kern w:val="0"/>
                <w:lang w:bidi="ar"/>
              </w:rPr>
            </w:pPr>
          </w:p>
          <w:p w14:paraId="1759C6E1">
            <w:pPr>
              <w:pStyle w:val="32"/>
              <w:spacing w:line="360" w:lineRule="auto"/>
              <w:rPr>
                <w:rFonts w:ascii="Times New Roman" w:cs="Times New Roman"/>
              </w:rPr>
            </w:pPr>
            <w:r>
              <w:rPr>
                <w:rFonts w:ascii="Times New Roman" w:cs="Times New Roman"/>
                <w:b/>
                <w:bCs/>
              </w:rPr>
              <w:t>5</w:t>
            </w:r>
            <w:r>
              <w:rPr>
                <w:rFonts w:hint="eastAsia" w:ascii="Times New Roman" w:cs="Times New Roman"/>
                <w:b/>
                <w:bCs/>
              </w:rPr>
              <w:t>、</w:t>
            </w:r>
            <w:r>
              <w:rPr>
                <w:b/>
                <w:color w:val="000000" w:themeColor="text1"/>
                <w:spacing w:val="-10"/>
                <w14:textFill>
                  <w14:solidFill>
                    <w14:schemeClr w14:val="tx1"/>
                  </w14:solidFill>
                </w14:textFill>
              </w:rPr>
              <w:t>土壤及地下水</w:t>
            </w:r>
            <w:r>
              <w:rPr>
                <w:rFonts w:ascii="Times New Roman" w:cs="Times New Roman"/>
                <w:b/>
                <w:bCs/>
              </w:rPr>
              <w:t>环境</w:t>
            </w:r>
            <w:r>
              <w:rPr>
                <w:rFonts w:hint="eastAsia" w:ascii="Times New Roman" w:cs="Times New Roman"/>
                <w:b/>
                <w:bCs/>
              </w:rPr>
              <w:t>影响分析</w:t>
            </w:r>
          </w:p>
          <w:p w14:paraId="24C0FB42">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厂区实行“雨污分流、清污分流”排水系统，本</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生活污水经化粪池处理后排入衡山国祯水处理有限公司进一步处理；生产废水经二级沉淀池预处理后排入衡山国祯水处理有限公司进一步处理；一般固废间按相关要求修建，不会对地下水环境产生影响。</w:t>
            </w:r>
          </w:p>
          <w:p w14:paraId="1A73D584">
            <w:pPr>
              <w:autoSpaceDE w:val="0"/>
              <w:autoSpaceDN w:val="0"/>
              <w:spacing w:line="360" w:lineRule="auto"/>
              <w:rPr>
                <w:b/>
                <w:bCs/>
                <w:color w:val="000000"/>
                <w:kern w:val="0"/>
                <w:sz w:val="24"/>
              </w:rPr>
            </w:pPr>
            <w:r>
              <w:rPr>
                <w:rFonts w:hint="eastAsia"/>
                <w:b/>
                <w:bCs/>
                <w:color w:val="000000"/>
                <w:kern w:val="0"/>
                <w:sz w:val="24"/>
              </w:rPr>
              <w:t>5</w:t>
            </w:r>
            <w:r>
              <w:rPr>
                <w:b/>
                <w:bCs/>
                <w:color w:val="000000"/>
                <w:kern w:val="0"/>
                <w:sz w:val="24"/>
              </w:rPr>
              <w:t>.1</w:t>
            </w:r>
            <w:r>
              <w:rPr>
                <w:rFonts w:hint="eastAsia"/>
                <w:b/>
                <w:bCs/>
                <w:color w:val="000000"/>
                <w:kern w:val="0"/>
                <w:sz w:val="24"/>
              </w:rPr>
              <w:t xml:space="preserve"> </w:t>
            </w:r>
            <w:r>
              <w:rPr>
                <w:b/>
                <w:color w:val="000000" w:themeColor="text1"/>
                <w:spacing w:val="-10"/>
                <w:sz w:val="24"/>
                <w14:textFill>
                  <w14:solidFill>
                    <w14:schemeClr w14:val="tx1"/>
                  </w14:solidFill>
                </w14:textFill>
              </w:rPr>
              <w:t>土壤</w:t>
            </w:r>
            <w:r>
              <w:rPr>
                <w:rFonts w:hint="eastAsia"/>
                <w:b/>
                <w:color w:val="000000" w:themeColor="text1"/>
                <w:spacing w:val="-10"/>
                <w:sz w:val="24"/>
                <w14:textFill>
                  <w14:solidFill>
                    <w14:schemeClr w14:val="tx1"/>
                  </w14:solidFill>
                </w14:textFill>
              </w:rPr>
              <w:t>、</w:t>
            </w:r>
            <w:r>
              <w:rPr>
                <w:b/>
                <w:color w:val="000000" w:themeColor="text1"/>
                <w:spacing w:val="-10"/>
                <w:sz w:val="24"/>
                <w14:textFill>
                  <w14:solidFill>
                    <w14:schemeClr w14:val="tx1"/>
                  </w14:solidFill>
                </w14:textFill>
              </w:rPr>
              <w:t>地下水</w:t>
            </w:r>
            <w:r>
              <w:rPr>
                <w:rFonts w:hint="eastAsia"/>
                <w:b/>
                <w:bCs/>
                <w:color w:val="000000"/>
                <w:kern w:val="0"/>
                <w:sz w:val="24"/>
              </w:rPr>
              <w:t>的污染途径</w:t>
            </w:r>
          </w:p>
          <w:p w14:paraId="68D2E7D1">
            <w:pPr>
              <w:adjustRightInd w:val="0"/>
              <w:snapToGrid w:val="0"/>
              <w:spacing w:line="360" w:lineRule="auto"/>
              <w:ind w:firstLine="480" w:firstLineChars="200"/>
              <w:rPr>
                <w:color w:val="000000"/>
                <w:sz w:val="24"/>
              </w:rPr>
            </w:pPr>
            <w:r>
              <w:rPr>
                <w:color w:val="000000"/>
                <w:sz w:val="24"/>
              </w:rPr>
              <w:t>本项目的水污染物进入地下水的主要途径有：</w:t>
            </w:r>
          </w:p>
          <w:p w14:paraId="7E1425F9">
            <w:pPr>
              <w:adjustRightInd w:val="0"/>
              <w:snapToGrid w:val="0"/>
              <w:spacing w:line="360" w:lineRule="auto"/>
              <w:ind w:firstLine="480" w:firstLineChars="200"/>
              <w:rPr>
                <w:color w:val="000000"/>
                <w:sz w:val="24"/>
              </w:rPr>
            </w:pPr>
            <w:r>
              <w:rPr>
                <w:color w:val="000000"/>
                <w:sz w:val="24"/>
              </w:rPr>
              <w:t>1、污水处理系统池体构筑物及污水输送管道等底部的防渗层破裂、粘接缝不够密封或污水管道破裂等原因造成污染物的渗透，从而造成污染地下水。这种污染途径发生的可能性较小，但一旦发生，不容易发现，造成的污染和影响较大。</w:t>
            </w:r>
          </w:p>
          <w:p w14:paraId="6601B49F">
            <w:pPr>
              <w:adjustRightInd w:val="0"/>
              <w:snapToGrid w:val="0"/>
              <w:spacing w:line="360" w:lineRule="auto"/>
              <w:ind w:firstLine="480" w:firstLineChars="200"/>
              <w:rPr>
                <w:color w:val="000000"/>
                <w:sz w:val="24"/>
              </w:rPr>
            </w:pPr>
            <w:r>
              <w:rPr>
                <w:color w:val="000000"/>
                <w:sz w:val="24"/>
              </w:rPr>
              <w:t>2、原辅材料管理不善，造成容器破裂</w:t>
            </w:r>
            <w:r>
              <w:rPr>
                <w:rFonts w:hint="eastAsia"/>
                <w:color w:val="000000"/>
                <w:sz w:val="24"/>
              </w:rPr>
              <w:t>泄漏</w:t>
            </w:r>
            <w:r>
              <w:rPr>
                <w:color w:val="000000"/>
                <w:sz w:val="24"/>
              </w:rPr>
              <w:t>或随处倾倒，造成其下渗污染地下水。</w:t>
            </w:r>
          </w:p>
          <w:p w14:paraId="6A7B18A4">
            <w:pPr>
              <w:autoSpaceDE w:val="0"/>
              <w:autoSpaceDN w:val="0"/>
              <w:spacing w:line="360" w:lineRule="auto"/>
              <w:ind w:firstLine="480" w:firstLineChars="200"/>
              <w:rPr>
                <w:color w:val="000000"/>
                <w:kern w:val="0"/>
                <w:sz w:val="24"/>
              </w:rPr>
            </w:pPr>
            <w:r>
              <w:rPr>
                <w:color w:val="000000"/>
                <w:sz w:val="24"/>
              </w:rPr>
              <w:t>3、</w:t>
            </w:r>
            <w:r>
              <w:rPr>
                <w:rFonts w:hint="eastAsia"/>
                <w:color w:val="000000"/>
                <w:sz w:val="24"/>
              </w:rPr>
              <w:t>一般固废</w:t>
            </w:r>
            <w:r>
              <w:rPr>
                <w:color w:val="000000"/>
                <w:sz w:val="24"/>
              </w:rPr>
              <w:t>储存或处理不当</w:t>
            </w:r>
            <w:r>
              <w:rPr>
                <w:rFonts w:hint="eastAsia"/>
                <w:color w:val="000000"/>
                <w:sz w:val="24"/>
              </w:rPr>
              <w:t>一般固废间</w:t>
            </w:r>
            <w:r>
              <w:rPr>
                <w:color w:val="000000"/>
                <w:sz w:val="24"/>
              </w:rPr>
              <w:t>各类</w:t>
            </w:r>
            <w:r>
              <w:rPr>
                <w:rFonts w:hint="eastAsia"/>
                <w:color w:val="000000"/>
                <w:sz w:val="24"/>
              </w:rPr>
              <w:t>固废</w:t>
            </w:r>
            <w:r>
              <w:rPr>
                <w:color w:val="000000"/>
                <w:sz w:val="24"/>
              </w:rPr>
              <w:t>措施不满足要求，将造成</w:t>
            </w:r>
            <w:r>
              <w:rPr>
                <w:rFonts w:hint="eastAsia"/>
                <w:color w:val="000000"/>
                <w:sz w:val="24"/>
              </w:rPr>
              <w:t>一般固废</w:t>
            </w:r>
            <w:r>
              <w:rPr>
                <w:color w:val="000000"/>
                <w:sz w:val="24"/>
              </w:rPr>
              <w:t>泄漏，进而污染地下水</w:t>
            </w:r>
            <w:r>
              <w:rPr>
                <w:rFonts w:hint="eastAsia"/>
                <w:color w:val="000000"/>
                <w:sz w:val="24"/>
              </w:rPr>
              <w:t>。</w:t>
            </w:r>
          </w:p>
          <w:p w14:paraId="0F6D4677">
            <w:pPr>
              <w:autoSpaceDE w:val="0"/>
              <w:autoSpaceDN w:val="0"/>
              <w:spacing w:line="360" w:lineRule="auto"/>
              <w:rPr>
                <w:b/>
                <w:bCs/>
                <w:color w:val="000000"/>
                <w:kern w:val="0"/>
                <w:sz w:val="24"/>
              </w:rPr>
            </w:pPr>
            <w:r>
              <w:rPr>
                <w:rFonts w:hint="eastAsia"/>
                <w:b/>
                <w:bCs/>
                <w:color w:val="000000"/>
                <w:kern w:val="0"/>
                <w:sz w:val="24"/>
              </w:rPr>
              <w:t>5</w:t>
            </w:r>
            <w:r>
              <w:rPr>
                <w:b/>
                <w:bCs/>
                <w:color w:val="000000"/>
                <w:kern w:val="0"/>
                <w:sz w:val="24"/>
              </w:rPr>
              <w:t>.2</w:t>
            </w:r>
            <w:r>
              <w:rPr>
                <w:rFonts w:hint="eastAsia"/>
                <w:b/>
                <w:bCs/>
                <w:color w:val="000000"/>
                <w:kern w:val="0"/>
                <w:sz w:val="24"/>
              </w:rPr>
              <w:t xml:space="preserve"> </w:t>
            </w:r>
            <w:r>
              <w:rPr>
                <w:b/>
                <w:bCs/>
                <w:color w:val="000000" w:themeColor="text1"/>
                <w:sz w:val="24"/>
                <w14:textFill>
                  <w14:solidFill>
                    <w14:schemeClr w14:val="tx1"/>
                  </w14:solidFill>
                </w14:textFill>
              </w:rPr>
              <w:t>防治措施分析</w:t>
            </w:r>
          </w:p>
          <w:p w14:paraId="565A22FC">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1）源头控制</w:t>
            </w:r>
          </w:p>
          <w:p w14:paraId="5AFD0BC4">
            <w:pPr>
              <w:pStyle w:val="86"/>
              <w:adjustRightInd w:val="0"/>
              <w:snapToGrid w:val="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为保护土壤及地下水环境，应采取措施从源头上控制对土壤及地下水的污染，从设计、管理中防止和减少污染物料的跑、冒、滴、漏而采取的各种措施，主要措施如下：</w:t>
            </w:r>
          </w:p>
          <w:p w14:paraId="38B93F76">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①严格按照国家相关规范要求，对</w:t>
            </w:r>
            <w:r>
              <w:rPr>
                <w:rFonts w:hint="eastAsia" w:ascii="Times New Roman" w:hAnsi="Times New Roman"/>
                <w:bCs/>
                <w:color w:val="000000" w:themeColor="text1"/>
                <w:kern w:val="2"/>
                <w:szCs w:val="24"/>
                <w14:textFill>
                  <w14:solidFill>
                    <w14:schemeClr w14:val="tx1"/>
                  </w14:solidFill>
                </w14:textFill>
              </w:rPr>
              <w:t>污水处理设施</w:t>
            </w:r>
            <w:r>
              <w:rPr>
                <w:rFonts w:ascii="Times New Roman" w:hAnsi="Times New Roman"/>
                <w:bCs/>
                <w:color w:val="000000" w:themeColor="text1"/>
                <w:kern w:val="2"/>
                <w:szCs w:val="24"/>
                <w14:textFill>
                  <w14:solidFill>
                    <w14:schemeClr w14:val="tx1"/>
                  </w14:solidFill>
                </w14:textFill>
              </w:rPr>
              <w:t>等采取相应措施，以防止和降低污染物料的跑、冒、滴、漏，将污染物泄漏的环境风险事故降到最低程度。</w:t>
            </w:r>
          </w:p>
          <w:p w14:paraId="35C462DE">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②管线、沟槽等尽量采取“可视化”原则，即尽可能地上敷设和放置，做到污 染物“早发现、早处置” ，以减少由于埋地泄漏而可能造成的地下水及土壤污染。 物质采用明管或架空管道输送，根据输送物质不同，采用不同类型的管道，管道 内外均采用防腐处理，另建设控制站、截污阀、排污阀、流量、压力等监测仪，并定期对管道进行压力检漏。</w:t>
            </w:r>
          </w:p>
          <w:p w14:paraId="4A119FB0">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③</w:t>
            </w:r>
            <w:r>
              <w:rPr>
                <w:rFonts w:hint="eastAsia" w:ascii="Times New Roman" w:hAnsi="Times New Roman"/>
                <w:bCs/>
                <w:color w:val="000000" w:themeColor="text1"/>
                <w:kern w:val="2"/>
                <w:szCs w:val="24"/>
                <w14:textFill>
                  <w14:solidFill>
                    <w14:schemeClr w14:val="tx1"/>
                  </w14:solidFill>
                </w14:textFill>
              </w:rPr>
              <w:t>化粪池</w:t>
            </w:r>
            <w:r>
              <w:rPr>
                <w:rFonts w:ascii="Times New Roman" w:hAnsi="Times New Roman"/>
                <w:bCs/>
                <w:color w:val="000000" w:themeColor="text1"/>
                <w:kern w:val="2"/>
                <w:szCs w:val="24"/>
                <w14:textFill>
                  <w14:solidFill>
                    <w14:schemeClr w14:val="tx1"/>
                  </w14:solidFill>
                </w14:textFill>
              </w:rPr>
              <w:t>等按照国家相关规范要求，采取重点防渗漏措施。</w:t>
            </w:r>
          </w:p>
          <w:p w14:paraId="2127EFE4">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④严格固体废物管理，做好防风、防雨等措施，不接触外界降水，不产生淋滤液，严防污染物泄漏到地下水及土壤。</w:t>
            </w:r>
          </w:p>
          <w:p w14:paraId="142AC636">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2）分区防渗</w:t>
            </w:r>
          </w:p>
          <w:p w14:paraId="4802CAED">
            <w:pPr>
              <w:pStyle w:val="24"/>
              <w:spacing w:before="0" w:beforeAutospacing="0" w:after="0" w:afterAutospacing="0" w:line="360" w:lineRule="auto"/>
              <w:ind w:firstLine="480" w:firstLineChars="200"/>
              <w:jc w:val="both"/>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根据《环境影响评价技术导则</w:t>
            </w:r>
            <w:r>
              <w:rPr>
                <w:rFonts w:hint="eastAsia" w:ascii="Times New Roman" w:hAnsi="Times New Roman"/>
                <w:bCs/>
                <w:color w:val="000000" w:themeColor="text1"/>
                <w:kern w:val="2"/>
                <w:szCs w:val="24"/>
                <w14:textFill>
                  <w14:solidFill>
                    <w14:schemeClr w14:val="tx1"/>
                  </w14:solidFill>
                </w14:textFill>
              </w:rPr>
              <w:t xml:space="preserve">  </w:t>
            </w:r>
            <w:r>
              <w:rPr>
                <w:rFonts w:ascii="Times New Roman" w:hAnsi="Times New Roman"/>
                <w:bCs/>
                <w:color w:val="000000" w:themeColor="text1"/>
                <w:kern w:val="2"/>
                <w:szCs w:val="24"/>
                <w14:textFill>
                  <w14:solidFill>
                    <w14:schemeClr w14:val="tx1"/>
                  </w14:solidFill>
                </w14:textFill>
              </w:rPr>
              <w:t>地下水环境》（HJ610-2016）中“ 11.2.2 分区防控措施”要求，本项目根据导则中表 5 、表 6 、表 7 等分区防渗技术要求，本项目划分为重点防渗区、一般防渗区和简单防渗区，具体如下：</w:t>
            </w:r>
          </w:p>
          <w:p w14:paraId="7231B842">
            <w:pPr>
              <w:spacing w:line="360" w:lineRule="auto"/>
              <w:ind w:firstLine="561" w:firstLineChars="234"/>
              <w:rPr>
                <w:color w:val="000000"/>
                <w:sz w:val="24"/>
              </w:rPr>
            </w:pPr>
            <w:r>
              <w:rPr>
                <w:color w:val="000000"/>
                <w:sz w:val="24"/>
              </w:rPr>
              <w:t>重点防渗区：重点防渗区为</w:t>
            </w:r>
            <w:r>
              <w:rPr>
                <w:rFonts w:hint="eastAsia"/>
                <w:color w:val="000000"/>
                <w:kern w:val="0"/>
                <w:sz w:val="24"/>
              </w:rPr>
              <w:t>污水处理设施</w:t>
            </w:r>
            <w:r>
              <w:rPr>
                <w:color w:val="000000"/>
                <w:sz w:val="24"/>
              </w:rPr>
              <w:t>，根据工程地下水污染特点，采取相应的防渗措施。</w:t>
            </w:r>
          </w:p>
          <w:p w14:paraId="7876A985">
            <w:pPr>
              <w:tabs>
                <w:tab w:val="left" w:pos="2895"/>
              </w:tabs>
              <w:adjustRightInd w:val="0"/>
              <w:spacing w:line="360" w:lineRule="auto"/>
              <w:ind w:firstLine="480" w:firstLineChars="200"/>
              <w:textAlignment w:val="baseline"/>
              <w:rPr>
                <w:color w:val="000000"/>
                <w:sz w:val="24"/>
              </w:rPr>
            </w:pPr>
            <w:r>
              <w:rPr>
                <w:color w:val="000000"/>
                <w:sz w:val="24"/>
              </w:rPr>
              <w:t>一般防渗区：本项目</w:t>
            </w:r>
            <w:r>
              <w:rPr>
                <w:rFonts w:hint="eastAsia"/>
                <w:color w:val="000000"/>
                <w:sz w:val="24"/>
              </w:rPr>
              <w:t>锅炉房、生产区域</w:t>
            </w:r>
            <w:r>
              <w:rPr>
                <w:color w:val="000000"/>
                <w:sz w:val="24"/>
              </w:rPr>
              <w:t>等采用一般防渗，该防渗区地面采用抗渗混凝土结构，之后加强防渗措施的日常维护，达到应有的防渗效果。</w:t>
            </w:r>
          </w:p>
          <w:p w14:paraId="7B5250F8">
            <w:pPr>
              <w:tabs>
                <w:tab w:val="left" w:pos="2895"/>
              </w:tabs>
              <w:adjustRightInd w:val="0"/>
              <w:spacing w:line="360" w:lineRule="auto"/>
              <w:ind w:firstLine="480" w:firstLineChars="200"/>
              <w:textAlignment w:val="baseline"/>
              <w:rPr>
                <w:color w:val="000000"/>
                <w:sz w:val="24"/>
              </w:rPr>
            </w:pPr>
            <w:r>
              <w:rPr>
                <w:color w:val="000000"/>
                <w:sz w:val="24"/>
              </w:rPr>
              <w:t>简单防渗区：本项目办公室为简单防渗区，仅需进行一般地面硬化。</w:t>
            </w:r>
          </w:p>
          <w:p w14:paraId="350520F7">
            <w:pPr>
              <w:adjustRightInd w:val="0"/>
              <w:snapToGrid w:val="0"/>
              <w:jc w:val="center"/>
              <w:rPr>
                <w:b/>
                <w:color w:val="000000" w:themeColor="text1"/>
                <w14:textFill>
                  <w14:solidFill>
                    <w14:schemeClr w14:val="tx1"/>
                  </w14:solidFill>
                </w14:textFill>
              </w:rPr>
            </w:pPr>
            <w:r>
              <w:rPr>
                <w:b/>
                <w:color w:val="000000" w:themeColor="text1"/>
                <w14:textFill>
                  <w14:solidFill>
                    <w14:schemeClr w14:val="tx1"/>
                  </w14:solidFill>
                </w14:textFill>
              </w:rPr>
              <w:t>表4-2</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 xml:space="preserve">  项目分区防渗一览表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73"/>
              <w:gridCol w:w="1572"/>
              <w:gridCol w:w="3927"/>
            </w:tblGrid>
            <w:tr w14:paraId="3A5D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Mar>
                    <w:left w:w="0" w:type="dxa"/>
                    <w:right w:w="0" w:type="dxa"/>
                  </w:tcMar>
                  <w:vAlign w:val="center"/>
                </w:tcPr>
                <w:p w14:paraId="20CE681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分类</w:t>
                  </w:r>
                </w:p>
              </w:tc>
              <w:tc>
                <w:tcPr>
                  <w:tcW w:w="984" w:type="pct"/>
                  <w:tcMar>
                    <w:left w:w="0" w:type="dxa"/>
                    <w:right w:w="0" w:type="dxa"/>
                  </w:tcMar>
                  <w:vAlign w:val="center"/>
                </w:tcPr>
                <w:p w14:paraId="297B20D4">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区域划分</w:t>
                  </w:r>
                </w:p>
              </w:tc>
              <w:tc>
                <w:tcPr>
                  <w:tcW w:w="983" w:type="pct"/>
                  <w:tcMar>
                    <w:left w:w="0" w:type="dxa"/>
                    <w:right w:w="0" w:type="dxa"/>
                  </w:tcMar>
                  <w:vAlign w:val="center"/>
                </w:tcPr>
                <w:p w14:paraId="73A737E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防渗要求</w:t>
                  </w:r>
                </w:p>
              </w:tc>
              <w:tc>
                <w:tcPr>
                  <w:tcW w:w="2456" w:type="pct"/>
                  <w:tcMar>
                    <w:left w:w="0" w:type="dxa"/>
                    <w:right w:w="0" w:type="dxa"/>
                  </w:tcMar>
                  <w:vAlign w:val="center"/>
                </w:tcPr>
                <w:p w14:paraId="7117D541">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防渗措施</w:t>
                  </w:r>
                </w:p>
              </w:tc>
            </w:tr>
            <w:tr w14:paraId="102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7" w:type="pct"/>
                  <w:tcMar>
                    <w:left w:w="0" w:type="dxa"/>
                    <w:right w:w="0" w:type="dxa"/>
                  </w:tcMar>
                  <w:vAlign w:val="center"/>
                </w:tcPr>
                <w:p w14:paraId="21574AF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w:t>
                  </w:r>
                </w:p>
                <w:p w14:paraId="2CE3C8F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防渗区</w:t>
                  </w:r>
                </w:p>
              </w:tc>
              <w:tc>
                <w:tcPr>
                  <w:tcW w:w="984" w:type="pct"/>
                  <w:tcMar>
                    <w:left w:w="0" w:type="dxa"/>
                    <w:right w:w="0" w:type="dxa"/>
                  </w:tcMar>
                  <w:vAlign w:val="center"/>
                </w:tcPr>
                <w:p w14:paraId="39A0658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化粪池</w:t>
                  </w:r>
                </w:p>
              </w:tc>
              <w:tc>
                <w:tcPr>
                  <w:tcW w:w="983" w:type="pct"/>
                  <w:tcMar>
                    <w:left w:w="0" w:type="dxa"/>
                    <w:right w:w="0" w:type="dxa"/>
                  </w:tcMar>
                  <w:vAlign w:val="center"/>
                </w:tcPr>
                <w:p w14:paraId="596474D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渗透系数K≤10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 xml:space="preserve"> cm/s</w:t>
                  </w:r>
                </w:p>
              </w:tc>
              <w:tc>
                <w:tcPr>
                  <w:tcW w:w="2456" w:type="pct"/>
                  <w:tcMar>
                    <w:left w:w="0" w:type="dxa"/>
                    <w:right w:w="0" w:type="dxa"/>
                  </w:tcMar>
                  <w:vAlign w:val="center"/>
                </w:tcPr>
                <w:p w14:paraId="7DE332CB">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满足基础必须防渗，防渗层为至少</w:t>
                  </w:r>
                  <w:r>
                    <w:rPr>
                      <w:color w:val="000000" w:themeColor="text1"/>
                      <w:szCs w:val="21"/>
                      <w14:textFill>
                        <w14:solidFill>
                          <w14:schemeClr w14:val="tx1"/>
                        </w14:solidFill>
                      </w14:textFill>
                    </w:rPr>
                    <w:t>1m</w:t>
                  </w:r>
                  <w:r>
                    <w:rPr>
                      <w:rFonts w:hint="eastAsia"/>
                      <w:color w:val="000000" w:themeColor="text1"/>
                      <w:szCs w:val="21"/>
                      <w14:textFill>
                        <w14:solidFill>
                          <w14:schemeClr w14:val="tx1"/>
                        </w14:solidFill>
                      </w14:textFill>
                    </w:rPr>
                    <w:t>厚粘土层（渗透系数</w:t>
                  </w:r>
                  <w:r>
                    <w:rPr>
                      <w:color w:val="000000" w:themeColor="text1"/>
                      <w:szCs w:val="21"/>
                      <w14:textFill>
                        <w14:solidFill>
                          <w14:schemeClr w14:val="tx1"/>
                        </w14:solidFill>
                      </w14:textFill>
                    </w:rPr>
                    <w:t>K≤10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2mm</w:t>
                  </w:r>
                  <w:r>
                    <w:rPr>
                      <w:rFonts w:hint="eastAsia"/>
                      <w:color w:val="000000" w:themeColor="text1"/>
                      <w:szCs w:val="21"/>
                      <w14:textFill>
                        <w14:solidFill>
                          <w14:schemeClr w14:val="tx1"/>
                        </w14:solidFill>
                      </w14:textFill>
                    </w:rPr>
                    <w:t>厚高密度聚乙烯，或至少</w:t>
                  </w:r>
                  <w:r>
                    <w:rPr>
                      <w:color w:val="000000" w:themeColor="text1"/>
                      <w:szCs w:val="21"/>
                      <w14:textFill>
                        <w14:solidFill>
                          <w14:schemeClr w14:val="tx1"/>
                        </w14:solidFill>
                      </w14:textFill>
                    </w:rPr>
                    <w:t>2mm</w:t>
                  </w:r>
                  <w:r>
                    <w:rPr>
                      <w:rFonts w:hint="eastAsia"/>
                      <w:color w:val="000000" w:themeColor="text1"/>
                      <w:szCs w:val="21"/>
                      <w14:textFill>
                        <w14:solidFill>
                          <w14:schemeClr w14:val="tx1"/>
                        </w14:solidFill>
                      </w14:textFill>
                    </w:rPr>
                    <w:t>厚的其它人工材料，渗透系数</w:t>
                  </w:r>
                  <w:r>
                    <w:rPr>
                      <w:color w:val="000000" w:themeColor="text1"/>
                      <w:szCs w:val="21"/>
                      <w14:textFill>
                        <w14:solidFill>
                          <w14:schemeClr w14:val="tx1"/>
                        </w14:solidFill>
                      </w14:textFill>
                    </w:rPr>
                    <w:t>K≤10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 xml:space="preserve"> cm/s</w:t>
                  </w:r>
                  <w:r>
                    <w:rPr>
                      <w:rFonts w:hint="eastAsia"/>
                      <w:color w:val="000000" w:themeColor="text1"/>
                      <w:szCs w:val="21"/>
                      <w14:textFill>
                        <w14:solidFill>
                          <w14:schemeClr w14:val="tx1"/>
                        </w14:solidFill>
                      </w14:textFill>
                    </w:rPr>
                    <w:t>。</w:t>
                  </w:r>
                </w:p>
              </w:tc>
            </w:tr>
            <w:tr w14:paraId="35A6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Mar>
                    <w:left w:w="0" w:type="dxa"/>
                    <w:right w:w="0" w:type="dxa"/>
                  </w:tcMar>
                  <w:vAlign w:val="center"/>
                </w:tcPr>
                <w:p w14:paraId="4E0E327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w:t>
                  </w:r>
                </w:p>
                <w:p w14:paraId="11B330D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防渗区</w:t>
                  </w:r>
                </w:p>
              </w:tc>
              <w:tc>
                <w:tcPr>
                  <w:tcW w:w="984" w:type="pct"/>
                  <w:tcMar>
                    <w:left w:w="0" w:type="dxa"/>
                    <w:right w:w="0" w:type="dxa"/>
                  </w:tcMar>
                  <w:vAlign w:val="center"/>
                </w:tcPr>
                <w:p w14:paraId="226461C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生产车间、锅炉房</w:t>
                  </w:r>
                </w:p>
              </w:tc>
              <w:tc>
                <w:tcPr>
                  <w:tcW w:w="983" w:type="pct"/>
                  <w:tcMar>
                    <w:left w:w="0" w:type="dxa"/>
                    <w:right w:w="0" w:type="dxa"/>
                  </w:tcMar>
                  <w:vAlign w:val="center"/>
                </w:tcPr>
                <w:p w14:paraId="0007A3F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等效黏土防渗层Mb≥1.5m，K≤10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tc>
              <w:tc>
                <w:tcPr>
                  <w:tcW w:w="2456" w:type="pct"/>
                  <w:tcMar>
                    <w:left w:w="0" w:type="dxa"/>
                    <w:right w:w="0" w:type="dxa"/>
                  </w:tcMar>
                  <w:vAlign w:val="center"/>
                </w:tcPr>
                <w:p w14:paraId="402A6664">
                  <w:pPr>
                    <w:jc w:val="left"/>
                    <w:rPr>
                      <w:color w:val="000000" w:themeColor="text1"/>
                      <w:szCs w:val="21"/>
                      <w14:textFill>
                        <w14:solidFill>
                          <w14:schemeClr w14:val="tx1"/>
                        </w14:solidFill>
                      </w14:textFill>
                    </w:rPr>
                  </w:pPr>
                  <w:r>
                    <w:rPr>
                      <w:rFonts w:hint="eastAsia"/>
                      <w:bCs/>
                      <w:color w:val="000000" w:themeColor="text1"/>
                      <w:kern w:val="24"/>
                      <w:szCs w:val="21"/>
                      <w14:textFill>
                        <w14:solidFill>
                          <w14:schemeClr w14:val="tx1"/>
                        </w14:solidFill>
                      </w14:textFill>
                    </w:rPr>
                    <w:t>采用双层</w:t>
                  </w:r>
                  <w:r>
                    <w:rPr>
                      <w:bCs/>
                      <w:color w:val="000000" w:themeColor="text1"/>
                      <w:kern w:val="24"/>
                      <w:szCs w:val="21"/>
                      <w14:textFill>
                        <w14:solidFill>
                          <w14:schemeClr w14:val="tx1"/>
                        </w14:solidFill>
                      </w14:textFill>
                    </w:rPr>
                    <w:t>厚度不小于1.5mm</w:t>
                  </w:r>
                  <w:r>
                    <w:rPr>
                      <w:rFonts w:hint="eastAsia"/>
                      <w:bCs/>
                      <w:color w:val="000000" w:themeColor="text1"/>
                      <w:kern w:val="24"/>
                      <w:szCs w:val="21"/>
                      <w14:textFill>
                        <w14:solidFill>
                          <w14:schemeClr w14:val="tx1"/>
                        </w14:solidFill>
                      </w14:textFill>
                    </w:rPr>
                    <w:t>的高密度聚乙烯（HDPE）土工膜，厚度不小于0.75m的天然粘土衬层</w:t>
                  </w:r>
                  <w:r>
                    <w:rPr>
                      <w:bCs/>
                      <w:color w:val="000000" w:themeColor="text1"/>
                      <w:kern w:val="24"/>
                      <w:szCs w:val="21"/>
                      <w14:textFill>
                        <w14:solidFill>
                          <w14:schemeClr w14:val="tx1"/>
                        </w14:solidFill>
                      </w14:textFill>
                    </w:rPr>
                    <w:t>。</w:t>
                  </w:r>
                </w:p>
              </w:tc>
            </w:tr>
            <w:tr w14:paraId="6C4E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tcMar>
                    <w:left w:w="0" w:type="dxa"/>
                    <w:right w:w="0" w:type="dxa"/>
                  </w:tcMar>
                  <w:vAlign w:val="center"/>
                </w:tcPr>
                <w:p w14:paraId="5F583BB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简单</w:t>
                  </w:r>
                </w:p>
                <w:p w14:paraId="56F8F85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防渗区</w:t>
                  </w:r>
                </w:p>
              </w:tc>
              <w:tc>
                <w:tcPr>
                  <w:tcW w:w="984" w:type="pct"/>
                  <w:tcMar>
                    <w:left w:w="0" w:type="dxa"/>
                    <w:right w:w="0" w:type="dxa"/>
                  </w:tcMar>
                  <w:vAlign w:val="center"/>
                </w:tcPr>
                <w:p w14:paraId="285BCEF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办公区</w:t>
                  </w:r>
                </w:p>
              </w:tc>
              <w:tc>
                <w:tcPr>
                  <w:tcW w:w="983" w:type="pct"/>
                  <w:tcMar>
                    <w:left w:w="0" w:type="dxa"/>
                    <w:right w:w="0" w:type="dxa"/>
                  </w:tcMar>
                  <w:vAlign w:val="center"/>
                </w:tcPr>
                <w:p w14:paraId="651EA2E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一般地面硬化</w:t>
                  </w:r>
                </w:p>
              </w:tc>
              <w:tc>
                <w:tcPr>
                  <w:tcW w:w="2456" w:type="pct"/>
                  <w:tcMar>
                    <w:left w:w="0" w:type="dxa"/>
                    <w:right w:w="0" w:type="dxa"/>
                  </w:tcMar>
                  <w:vAlign w:val="center"/>
                </w:tcPr>
                <w:p w14:paraId="635C7053">
                  <w:pPr>
                    <w:jc w:val="left"/>
                    <w:rPr>
                      <w:bCs/>
                      <w:color w:val="000000" w:themeColor="text1"/>
                      <w:kern w:val="24"/>
                      <w:szCs w:val="21"/>
                      <w14:textFill>
                        <w14:solidFill>
                          <w14:schemeClr w14:val="tx1"/>
                        </w14:solidFill>
                      </w14:textFill>
                    </w:rPr>
                  </w:pPr>
                  <w:r>
                    <w:rPr>
                      <w:rFonts w:hint="eastAsia"/>
                      <w:color w:val="000000" w:themeColor="text1"/>
                      <w:szCs w:val="21"/>
                      <w14:textFill>
                        <w14:solidFill>
                          <w14:schemeClr w14:val="tx1"/>
                        </w14:solidFill>
                      </w14:textFill>
                    </w:rPr>
                    <w:t>一般地面硬化</w:t>
                  </w:r>
                </w:p>
              </w:tc>
            </w:tr>
          </w:tbl>
          <w:p w14:paraId="0BA3BB97">
            <w:pPr>
              <w:adjustRightInd w:val="0"/>
              <w:spacing w:line="360" w:lineRule="auto"/>
              <w:ind w:firstLine="480" w:firstLineChars="200"/>
              <w:rPr>
                <w:color w:val="000000"/>
                <w:sz w:val="24"/>
              </w:rPr>
            </w:pPr>
            <w:r>
              <w:rPr>
                <w:color w:val="000000"/>
                <w:sz w:val="24"/>
              </w:rPr>
              <w:t>厂区其他区域</w:t>
            </w:r>
            <w:r>
              <w:rPr>
                <w:rFonts w:hint="eastAsia"/>
                <w:color w:val="000000"/>
                <w:sz w:val="24"/>
              </w:rPr>
              <w:t>已</w:t>
            </w:r>
            <w:r>
              <w:rPr>
                <w:color w:val="000000"/>
                <w:sz w:val="24"/>
              </w:rPr>
              <w:t>全部进行混凝土硬化处理。</w:t>
            </w:r>
            <w:r>
              <w:rPr>
                <w:rFonts w:hint="eastAsia"/>
                <w:color w:val="000000"/>
                <w:sz w:val="24"/>
              </w:rPr>
              <w:t>本项目需对</w:t>
            </w:r>
            <w:r>
              <w:rPr>
                <w:rFonts w:hint="eastAsia"/>
                <w:bCs/>
                <w:color w:val="000000"/>
                <w:sz w:val="24"/>
              </w:rPr>
              <w:t>化粪池按</w:t>
            </w:r>
            <w:r>
              <w:rPr>
                <w:bCs/>
                <w:color w:val="000000"/>
                <w:sz w:val="24"/>
              </w:rPr>
              <w:t>重点防渗</w:t>
            </w:r>
            <w:r>
              <w:rPr>
                <w:rFonts w:hint="eastAsia"/>
                <w:bCs/>
                <w:color w:val="000000"/>
                <w:sz w:val="24"/>
              </w:rPr>
              <w:t>要求</w:t>
            </w:r>
            <w:r>
              <w:rPr>
                <w:color w:val="000000"/>
                <w:sz w:val="24"/>
              </w:rPr>
              <w:t>进行防腐、防渗、防雨处理。</w:t>
            </w:r>
          </w:p>
          <w:p w14:paraId="0AAF9361">
            <w:pPr>
              <w:spacing w:line="360" w:lineRule="auto"/>
              <w:ind w:firstLine="480" w:firstLineChars="200"/>
              <w:rPr>
                <w:b/>
                <w:color w:val="000000" w:themeColor="text1"/>
                <w:spacing w:val="-10"/>
                <w:sz w:val="24"/>
                <w14:textFill>
                  <w14:solidFill>
                    <w14:schemeClr w14:val="tx1"/>
                  </w14:solidFill>
                </w14:textFill>
              </w:rPr>
            </w:pPr>
            <w:r>
              <w:rPr>
                <w:color w:val="000000" w:themeColor="text1"/>
                <w:sz w:val="24"/>
                <w14:textFill>
                  <w14:solidFill>
                    <w14:schemeClr w14:val="tx1"/>
                  </w14:solidFill>
                </w14:textFill>
              </w:rPr>
              <w:t>在充分落实以上防渗措施及加强环境管理的前提下，项目建设能够达到保护土壤及地下水环境的目的。</w:t>
            </w:r>
          </w:p>
          <w:p w14:paraId="7416EAB5">
            <w:pPr>
              <w:pStyle w:val="32"/>
              <w:spacing w:line="360" w:lineRule="auto"/>
              <w:rPr>
                <w:rFonts w:ascii="Times New Roman" w:cs="Times New Roman"/>
                <w:b/>
                <w:bCs/>
              </w:rPr>
            </w:pPr>
            <w:r>
              <w:rPr>
                <w:rFonts w:hint="eastAsia" w:ascii="Times New Roman" w:cs="Times New Roman"/>
                <w:b/>
                <w:bCs/>
              </w:rPr>
              <w:t>6、生态环境</w:t>
            </w:r>
          </w:p>
          <w:p w14:paraId="2E371166">
            <w:pPr>
              <w:pStyle w:val="32"/>
              <w:spacing w:line="360" w:lineRule="auto"/>
              <w:ind w:firstLine="480" w:firstLineChars="200"/>
              <w:rPr>
                <w:rFonts w:ascii="Times New Roman" w:cs="Times New Roman"/>
                <w:b/>
                <w:bCs/>
              </w:rPr>
            </w:pPr>
            <w:r>
              <w:rPr>
                <w:rFonts w:hint="eastAsia" w:ascii="Times New Roman" w:cs="Times New Roman"/>
                <w:color w:val="auto"/>
                <w:shd w:val="clear" w:color="auto" w:fill="FFFFFF"/>
              </w:rPr>
              <w:t>本项目位于衡山县开云镇</w:t>
            </w:r>
            <w:r>
              <w:rPr>
                <w:rFonts w:hint="eastAsia"/>
              </w:rPr>
              <w:t>湘衡村八组</w:t>
            </w:r>
            <w:r>
              <w:rPr>
                <w:rFonts w:hint="eastAsia" w:ascii="Times New Roman" w:cs="Times New Roman"/>
                <w:color w:val="auto"/>
                <w:shd w:val="clear" w:color="auto" w:fill="FFFFFF"/>
              </w:rPr>
              <w:t>，项目用地范围无生态环境保护目标。</w:t>
            </w:r>
          </w:p>
          <w:p w14:paraId="11A34269">
            <w:pPr>
              <w:pStyle w:val="32"/>
              <w:spacing w:line="360" w:lineRule="auto"/>
              <w:rPr>
                <w:rFonts w:ascii="Times New Roman" w:cs="Times New Roman"/>
              </w:rPr>
            </w:pPr>
            <w:r>
              <w:rPr>
                <w:rFonts w:hint="eastAsia" w:ascii="Times New Roman" w:cs="Times New Roman"/>
                <w:b/>
                <w:bCs/>
              </w:rPr>
              <w:t>7、</w:t>
            </w:r>
            <w:r>
              <w:rPr>
                <w:rFonts w:ascii="Times New Roman" w:cs="Times New Roman"/>
                <w:b/>
                <w:bCs/>
              </w:rPr>
              <w:t>环境风险</w:t>
            </w:r>
            <w:r>
              <w:rPr>
                <w:rFonts w:hint="eastAsia" w:ascii="Times New Roman" w:cs="Times New Roman"/>
                <w:b/>
                <w:bCs/>
              </w:rPr>
              <w:t>分析</w:t>
            </w:r>
          </w:p>
          <w:p w14:paraId="00B419D9">
            <w:pPr>
              <w:spacing w:line="360" w:lineRule="auto"/>
              <w:ind w:firstLine="480" w:firstLineChars="200"/>
              <w:rPr>
                <w:kern w:val="0"/>
                <w:sz w:val="24"/>
              </w:rPr>
            </w:pPr>
            <w:r>
              <w:rPr>
                <w:kern w:val="0"/>
                <w:sz w:val="24"/>
              </w:rPr>
              <w:t xml:space="preserve">根据《建设项目环境风险评价技术导则》（HJ169-2018）和国家环境保护总局《关于防范环境风险加强环境影响评价管理的通知》，项目实施后环境风险评价的基本内容包括风险调查、环境风险潜势初判、风险识别、风险事故情形分析、风险预测与评价、环境风险管理等。 </w:t>
            </w:r>
          </w:p>
          <w:p w14:paraId="1850406C">
            <w:pPr>
              <w:spacing w:line="360" w:lineRule="auto"/>
              <w:rPr>
                <w:b/>
                <w:bCs/>
                <w:kern w:val="0"/>
                <w:sz w:val="24"/>
              </w:rPr>
            </w:pPr>
            <w:r>
              <w:rPr>
                <w:rFonts w:hint="eastAsia"/>
                <w:b/>
                <w:bCs/>
                <w:kern w:val="0"/>
                <w:sz w:val="24"/>
              </w:rPr>
              <w:t>7</w:t>
            </w:r>
            <w:r>
              <w:rPr>
                <w:b/>
                <w:bCs/>
                <w:kern w:val="0"/>
                <w:sz w:val="24"/>
              </w:rPr>
              <w:t xml:space="preserve">.1 风险调查 </w:t>
            </w:r>
          </w:p>
          <w:p w14:paraId="59C4379D">
            <w:pPr>
              <w:spacing w:line="360" w:lineRule="auto"/>
              <w:ind w:firstLine="480" w:firstLineChars="200"/>
              <w:rPr>
                <w:kern w:val="0"/>
                <w:sz w:val="24"/>
              </w:rPr>
            </w:pPr>
            <w:r>
              <w:rPr>
                <w:rFonts w:hint="eastAsia" w:ascii="宋体" w:hAnsi="宋体" w:cs="宋体"/>
                <w:kern w:val="0"/>
                <w:sz w:val="24"/>
              </w:rPr>
              <w:t>①</w:t>
            </w:r>
            <w:r>
              <w:rPr>
                <w:kern w:val="0"/>
                <w:sz w:val="24"/>
              </w:rPr>
              <w:t xml:space="preserve">风险源调查 </w:t>
            </w:r>
          </w:p>
          <w:p w14:paraId="57967935">
            <w:pPr>
              <w:spacing w:line="360" w:lineRule="auto"/>
              <w:ind w:firstLine="480" w:firstLineChars="200"/>
              <w:rPr>
                <w:kern w:val="0"/>
                <w:sz w:val="24"/>
              </w:rPr>
            </w:pPr>
            <w:r>
              <w:rPr>
                <w:rFonts w:hint="eastAsia"/>
                <w:kern w:val="0"/>
                <w:sz w:val="24"/>
              </w:rPr>
              <w:t>本</w:t>
            </w:r>
            <w:r>
              <w:rPr>
                <w:kern w:val="0"/>
                <w:sz w:val="24"/>
              </w:rPr>
              <w:t>项目</w:t>
            </w:r>
            <w:r>
              <w:rPr>
                <w:rFonts w:hint="eastAsia"/>
                <w:kern w:val="0"/>
                <w:sz w:val="24"/>
              </w:rPr>
              <w:t>所用的原辅材料不涉及</w:t>
            </w:r>
            <w:r>
              <w:rPr>
                <w:kern w:val="0"/>
                <w:sz w:val="24"/>
              </w:rPr>
              <w:t>危险物质。</w:t>
            </w:r>
          </w:p>
          <w:p w14:paraId="0B8592B0">
            <w:pPr>
              <w:pStyle w:val="54"/>
              <w:numPr>
                <w:ilvl w:val="0"/>
                <w:numId w:val="6"/>
              </w:numPr>
              <w:spacing w:line="360" w:lineRule="auto"/>
              <w:ind w:firstLineChars="0"/>
              <w:rPr>
                <w:kern w:val="0"/>
                <w:sz w:val="24"/>
              </w:rPr>
            </w:pPr>
            <w:r>
              <w:rPr>
                <w:kern w:val="0"/>
                <w:sz w:val="24"/>
              </w:rPr>
              <w:t xml:space="preserve">环境敏感目标调查 </w:t>
            </w:r>
          </w:p>
          <w:p w14:paraId="1E592788">
            <w:pPr>
              <w:spacing w:line="360" w:lineRule="auto"/>
              <w:ind w:firstLine="480" w:firstLineChars="200"/>
              <w:rPr>
                <w:kern w:val="0"/>
                <w:sz w:val="24"/>
              </w:rPr>
            </w:pPr>
            <w:r>
              <w:rPr>
                <w:kern w:val="0"/>
                <w:sz w:val="24"/>
              </w:rPr>
              <w:t>拟建项目位于</w:t>
            </w:r>
            <w:r>
              <w:rPr>
                <w:rFonts w:hint="eastAsia"/>
                <w:kern w:val="0"/>
                <w:sz w:val="24"/>
              </w:rPr>
              <w:t>衡山县开云镇</w:t>
            </w:r>
            <w:r>
              <w:rPr>
                <w:rFonts w:hint="eastAsia"/>
                <w:sz w:val="24"/>
              </w:rPr>
              <w:t>湘衡村八组</w:t>
            </w:r>
            <w:r>
              <w:rPr>
                <w:kern w:val="0"/>
                <w:sz w:val="24"/>
              </w:rPr>
              <w:t>，厂区周边区域不属于集中式饮用水源准保护区以及补给径流区，无分散式饮用水水源地，无特殊地下水资源，自来水管网已经覆盖周边区域，周边居民未饮用地下水。</w:t>
            </w:r>
          </w:p>
          <w:p w14:paraId="5D4E4BB8">
            <w:pPr>
              <w:spacing w:line="360" w:lineRule="auto"/>
              <w:rPr>
                <w:b/>
                <w:bCs/>
                <w:kern w:val="0"/>
                <w:sz w:val="24"/>
              </w:rPr>
            </w:pPr>
            <w:r>
              <w:rPr>
                <w:rFonts w:hint="eastAsia"/>
                <w:b/>
                <w:bCs/>
                <w:kern w:val="0"/>
                <w:sz w:val="24"/>
              </w:rPr>
              <w:t>7</w:t>
            </w:r>
            <w:r>
              <w:rPr>
                <w:b/>
                <w:bCs/>
                <w:kern w:val="0"/>
                <w:sz w:val="24"/>
              </w:rPr>
              <w:t xml:space="preserve">.2环境风险潜势初判 </w:t>
            </w:r>
          </w:p>
          <w:p w14:paraId="1FBBBE58">
            <w:pPr>
              <w:spacing w:line="360" w:lineRule="auto"/>
              <w:ind w:firstLine="480" w:firstLineChars="200"/>
              <w:rPr>
                <w:kern w:val="0"/>
                <w:sz w:val="24"/>
              </w:rPr>
            </w:pPr>
            <w:r>
              <w:rPr>
                <w:kern w:val="0"/>
                <w:sz w:val="24"/>
              </w:rPr>
              <w:t xml:space="preserve">（1）p 的分级确定 </w:t>
            </w:r>
          </w:p>
          <w:p w14:paraId="0081EA0C">
            <w:pPr>
              <w:spacing w:line="360" w:lineRule="auto"/>
              <w:ind w:firstLine="480" w:firstLineChars="200"/>
              <w:rPr>
                <w:kern w:val="0"/>
                <w:sz w:val="24"/>
              </w:rPr>
            </w:pPr>
            <w:r>
              <w:rPr>
                <w:kern w:val="0"/>
                <w:sz w:val="24"/>
              </w:rPr>
              <w:t>计算项目涉及的危险物质在厂界的最大储存量与其临界量的比值Q</w:t>
            </w:r>
          </w:p>
          <w:p w14:paraId="12FC8B0E">
            <w:pPr>
              <w:spacing w:line="360" w:lineRule="auto"/>
              <w:ind w:firstLine="480" w:firstLineChars="200"/>
              <w:rPr>
                <w:kern w:val="0"/>
                <w:sz w:val="24"/>
              </w:rPr>
            </w:pPr>
            <w:r>
              <w:rPr>
                <w:kern w:val="0"/>
                <w:sz w:val="24"/>
              </w:rPr>
              <w:t>当只涉及一种危险物质时，计算该物质的总量与其临界量比值，即为Q；</w:t>
            </w:r>
          </w:p>
          <w:p w14:paraId="7D6F5081">
            <w:pPr>
              <w:spacing w:line="360" w:lineRule="auto"/>
              <w:ind w:firstLine="480" w:firstLineChars="200"/>
              <w:rPr>
                <w:kern w:val="0"/>
                <w:sz w:val="24"/>
              </w:rPr>
            </w:pPr>
            <w:r>
              <w:rPr>
                <w:kern w:val="0"/>
                <w:sz w:val="24"/>
              </w:rPr>
              <w:t>当存在多种危险物质时，则按式（C.1）计算物质总量与其临界量比值（Q）：</w:t>
            </w:r>
          </w:p>
          <w:p w14:paraId="327067F4">
            <w:pPr>
              <w:spacing w:line="360" w:lineRule="auto"/>
              <w:jc w:val="center"/>
              <w:rPr>
                <w:b/>
                <w:sz w:val="24"/>
              </w:rPr>
            </w:pPr>
            <w:r>
              <w:rPr>
                <w:b/>
                <w:sz w:val="24"/>
              </w:rPr>
              <w:t>Q=q1/Q1+q2/Q2+q3/Q3+……+qn/Qn</w:t>
            </w:r>
          </w:p>
          <w:p w14:paraId="1D50B9E9">
            <w:pPr>
              <w:spacing w:line="360" w:lineRule="auto"/>
              <w:ind w:firstLine="480" w:firstLineChars="200"/>
              <w:rPr>
                <w:kern w:val="0"/>
                <w:sz w:val="24"/>
              </w:rPr>
            </w:pPr>
            <w:r>
              <w:rPr>
                <w:kern w:val="0"/>
                <w:sz w:val="24"/>
              </w:rPr>
              <w:t>式中：q1，q2，...，qn——每种危险物质的最大存在总量，t；</w:t>
            </w:r>
          </w:p>
          <w:p w14:paraId="3CF8D0F3">
            <w:pPr>
              <w:spacing w:line="360" w:lineRule="auto"/>
              <w:ind w:firstLine="480" w:firstLineChars="200"/>
              <w:rPr>
                <w:kern w:val="0"/>
                <w:sz w:val="24"/>
              </w:rPr>
            </w:pPr>
            <w:r>
              <w:rPr>
                <w:kern w:val="0"/>
                <w:sz w:val="24"/>
              </w:rPr>
              <w:t>Q1，Q2， ...，Qn——每种危险物质的临界量，t。</w:t>
            </w:r>
          </w:p>
          <w:p w14:paraId="3074C1AF">
            <w:pPr>
              <w:spacing w:line="360" w:lineRule="auto"/>
              <w:ind w:firstLine="480" w:firstLineChars="200"/>
              <w:rPr>
                <w:kern w:val="0"/>
                <w:sz w:val="24"/>
              </w:rPr>
            </w:pPr>
            <w:r>
              <w:rPr>
                <w:kern w:val="0"/>
                <w:sz w:val="24"/>
              </w:rPr>
              <w:t>当Q＜1 时，该项目环境风险潜势为Ⅰ。当Q≥1 时，将Q 值划分为：（1）1≤Q＜10；（2）10≤Q＜100；（3）Q≥100。</w:t>
            </w:r>
          </w:p>
          <w:p w14:paraId="77BEA5C5">
            <w:pPr>
              <w:spacing w:line="360" w:lineRule="auto"/>
              <w:ind w:firstLine="480" w:firstLineChars="200"/>
              <w:rPr>
                <w:kern w:val="0"/>
                <w:sz w:val="24"/>
              </w:rPr>
            </w:pPr>
            <w:r>
              <w:rPr>
                <w:color w:val="000000" w:themeColor="text1"/>
                <w:kern w:val="0"/>
                <w:sz w:val="24"/>
                <w14:textFill>
                  <w14:solidFill>
                    <w14:schemeClr w14:val="tx1"/>
                  </w14:solidFill>
                </w14:textFill>
              </w:rPr>
              <w:t>根据《建设项目环境风险评价技术导则》（HJ169－2018），</w:t>
            </w:r>
            <w:r>
              <w:rPr>
                <w:rFonts w:hint="eastAsia"/>
                <w:color w:val="000000" w:themeColor="text1"/>
                <w:kern w:val="0"/>
                <w:sz w:val="24"/>
                <w14:textFill>
                  <w14:solidFill>
                    <w14:schemeClr w14:val="tx1"/>
                  </w14:solidFill>
                </w14:textFill>
              </w:rPr>
              <w:t>本项目生产过程不设计危险物质</w:t>
            </w:r>
            <w:r>
              <w:rPr>
                <w:rFonts w:hint="eastAsia"/>
                <w:kern w:val="0"/>
                <w:sz w:val="24"/>
              </w:rPr>
              <w:t>，</w:t>
            </w:r>
            <w:r>
              <w:rPr>
                <w:kern w:val="0"/>
                <w:sz w:val="24"/>
              </w:rPr>
              <w:t>项目危险物质数量与临界量比值（Q）判定</w:t>
            </w:r>
            <w:r>
              <w:rPr>
                <w:rFonts w:hint="eastAsia"/>
                <w:kern w:val="0"/>
                <w:sz w:val="24"/>
              </w:rPr>
              <w:t>：</w:t>
            </w:r>
          </w:p>
          <w:p w14:paraId="285473CD">
            <w:pPr>
              <w:spacing w:line="360" w:lineRule="auto"/>
              <w:ind w:firstLine="480" w:firstLineChars="200"/>
              <w:rPr>
                <w:kern w:val="0"/>
                <w:sz w:val="24"/>
              </w:rPr>
            </w:pPr>
            <w:r>
              <w:rPr>
                <w:rFonts w:hint="eastAsia"/>
                <w:color w:val="000000" w:themeColor="text1"/>
                <w:kern w:val="0"/>
                <w:sz w:val="24"/>
                <w14:textFill>
                  <w14:solidFill>
                    <w14:schemeClr w14:val="tx1"/>
                  </w14:solidFill>
                </w14:textFill>
              </w:rPr>
              <w:t>本项目不涉及危险物质，</w:t>
            </w:r>
            <w:r>
              <w:rPr>
                <w:color w:val="000000" w:themeColor="text1"/>
                <w:kern w:val="0"/>
                <w:sz w:val="24"/>
                <w14:textFill>
                  <w14:solidFill>
                    <w14:schemeClr w14:val="tx1"/>
                  </w14:solidFill>
                </w14:textFill>
              </w:rPr>
              <w:t>项目危险物质数量与临界量比值Q=</w:t>
            </w:r>
            <w:r>
              <w:rPr>
                <w:rFonts w:hint="eastAsia"/>
                <w:color w:val="000000" w:themeColor="text1"/>
                <w:sz w:val="24"/>
                <w14:textFill>
                  <w14:solidFill>
                    <w14:schemeClr w14:val="tx1"/>
                  </w14:solidFill>
                </w14:textFill>
              </w:rPr>
              <w:t>0</w:t>
            </w:r>
            <w:r>
              <w:rPr>
                <w:color w:val="000000" w:themeColor="text1"/>
                <w:kern w:val="0"/>
                <w:sz w:val="24"/>
                <w14:textFill>
                  <w14:solidFill>
                    <w14:schemeClr w14:val="tx1"/>
                  </w14:solidFill>
                </w14:textFill>
              </w:rPr>
              <w:t>＜1。</w:t>
            </w:r>
          </w:p>
          <w:p w14:paraId="4AEB4767">
            <w:pPr>
              <w:spacing w:line="360" w:lineRule="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B、环境风险潜势初判</w:t>
            </w:r>
          </w:p>
          <w:p w14:paraId="3F1F22A5">
            <w:pPr>
              <w:spacing w:line="360" w:lineRule="auto"/>
              <w:ind w:firstLine="480" w:firstLineChars="200"/>
              <w:rPr>
                <w:color w:val="000000" w:themeColor="text1"/>
                <w:kern w:val="0"/>
                <w:sz w:val="24"/>
                <w:u w:val="single"/>
                <w14:textFill>
                  <w14:solidFill>
                    <w14:schemeClr w14:val="tx1"/>
                  </w14:solidFill>
                </w14:textFill>
              </w:rPr>
            </w:pPr>
            <w:r>
              <w:rPr>
                <w:color w:val="000000" w:themeColor="text1"/>
                <w:kern w:val="0"/>
                <w:sz w:val="24"/>
                <w14:textFill>
                  <w14:solidFill>
                    <w14:schemeClr w14:val="tx1"/>
                  </w14:solidFill>
                </w14:textFill>
              </w:rPr>
              <w:t>根据HJ 169</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2018，当Q＜1 时，该项目环境风险潜势为Ⅰ。本项目Q=</w:t>
            </w:r>
            <w:r>
              <w:rPr>
                <w:rFonts w:hint="eastAsia"/>
                <w:color w:val="000000" w:themeColor="text1"/>
                <w:sz w:val="24"/>
                <w14:textFill>
                  <w14:solidFill>
                    <w14:schemeClr w14:val="tx1"/>
                  </w14:solidFill>
                </w14:textFill>
              </w:rPr>
              <w:t>0</w:t>
            </w:r>
            <w:r>
              <w:rPr>
                <w:color w:val="000000" w:themeColor="text1"/>
                <w:kern w:val="0"/>
                <w:sz w:val="24"/>
                <w14:textFill>
                  <w14:solidFill>
                    <w14:schemeClr w14:val="tx1"/>
                  </w14:solidFill>
                </w14:textFill>
              </w:rPr>
              <w:t>＜1， 因此，本项目环境风险潜势为Ⅰ。</w:t>
            </w:r>
          </w:p>
          <w:p w14:paraId="2880E0D2">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（2）评价等级</w:t>
            </w:r>
          </w:p>
          <w:p w14:paraId="733D99B3">
            <w:pPr>
              <w:spacing w:line="360" w:lineRule="auto"/>
              <w:ind w:firstLine="480" w:firstLineChars="200"/>
              <w:rPr>
                <w:kern w:val="0"/>
                <w:sz w:val="24"/>
              </w:rPr>
            </w:pPr>
            <w:r>
              <w:rPr>
                <w:kern w:val="0"/>
                <w:sz w:val="24"/>
              </w:rPr>
              <w:t>环境风险评价工作等级划分为一级、二级、三级。根据建设项目涉及的物质及工艺系统危险性和所在地的环境敏感性确定环境风险潜势，按照评价工作等级。风险潜势为Ⅳ及以上，进行一级评价；风险潜势为Ⅲ，进行二级评价；风险潜势为Ⅱ，进行三级评价；风险潜势为Ⅰ，可开展简单分析。</w:t>
            </w:r>
          </w:p>
          <w:p w14:paraId="1D3E57D3">
            <w:pPr>
              <w:spacing w:line="360" w:lineRule="auto"/>
              <w:rPr>
                <w:b/>
                <w:bCs/>
                <w:kern w:val="0"/>
                <w:sz w:val="24"/>
              </w:rPr>
            </w:pPr>
            <w:r>
              <w:rPr>
                <w:rFonts w:hint="eastAsia"/>
                <w:b/>
                <w:bCs/>
                <w:kern w:val="0"/>
                <w:sz w:val="24"/>
              </w:rPr>
              <w:t>7</w:t>
            </w:r>
            <w:r>
              <w:rPr>
                <w:b/>
                <w:bCs/>
                <w:kern w:val="0"/>
                <w:sz w:val="24"/>
              </w:rPr>
              <w:t xml:space="preserve">.3环境风险识别 </w:t>
            </w:r>
          </w:p>
          <w:p w14:paraId="7BBBED6D">
            <w:pPr>
              <w:spacing w:line="360" w:lineRule="auto"/>
              <w:ind w:firstLine="480" w:firstLineChars="200"/>
              <w:rPr>
                <w:kern w:val="0"/>
                <w:sz w:val="24"/>
              </w:rPr>
            </w:pPr>
            <w:r>
              <w:rPr>
                <w:kern w:val="0"/>
                <w:sz w:val="24"/>
              </w:rPr>
              <w:t>（1）物质危险性识别</w:t>
            </w:r>
          </w:p>
          <w:p w14:paraId="73905C24">
            <w:pPr>
              <w:pStyle w:val="32"/>
              <w:spacing w:line="360" w:lineRule="auto"/>
              <w:ind w:firstLine="480" w:firstLineChars="200"/>
              <w:rPr>
                <w:rFonts w:ascii="Times New Roman"/>
                <w:color w:val="auto"/>
              </w:rPr>
            </w:pPr>
            <w:r>
              <w:rPr>
                <w:rFonts w:hint="eastAsia" w:ascii="Times New Roman"/>
                <w:color w:val="auto"/>
              </w:rPr>
              <w:t>本项目不涉及的危险物质。</w:t>
            </w:r>
          </w:p>
          <w:p w14:paraId="042BC080">
            <w:pPr>
              <w:spacing w:line="360" w:lineRule="auto"/>
              <w:ind w:firstLine="480" w:firstLineChars="200"/>
              <w:rPr>
                <w:kern w:val="0"/>
                <w:sz w:val="24"/>
              </w:rPr>
            </w:pPr>
            <w:r>
              <w:rPr>
                <w:kern w:val="0"/>
                <w:sz w:val="24"/>
              </w:rPr>
              <w:t xml:space="preserve">（2）生产装置风险识别 </w:t>
            </w:r>
          </w:p>
          <w:p w14:paraId="1D84A5E0">
            <w:pPr>
              <w:spacing w:line="360" w:lineRule="auto"/>
              <w:ind w:firstLine="480" w:firstLineChars="200"/>
              <w:rPr>
                <w:kern w:val="0"/>
                <w:sz w:val="24"/>
              </w:rPr>
            </w:pPr>
            <w:r>
              <w:rPr>
                <w:color w:val="000000"/>
                <w:kern w:val="0"/>
                <w:sz w:val="24"/>
              </w:rPr>
              <w:t>本项目</w:t>
            </w:r>
            <w:r>
              <w:rPr>
                <w:rFonts w:hint="eastAsia"/>
                <w:color w:val="000000"/>
                <w:kern w:val="0"/>
                <w:sz w:val="24"/>
              </w:rPr>
              <w:t>洗涤</w:t>
            </w:r>
            <w:r>
              <w:rPr>
                <w:color w:val="000000"/>
                <w:kern w:val="0"/>
                <w:sz w:val="24"/>
              </w:rPr>
              <w:t>过程中</w:t>
            </w:r>
            <w:r>
              <w:rPr>
                <w:rFonts w:hint="eastAsia"/>
                <w:color w:val="000000" w:themeColor="text1"/>
                <w:sz w:val="24"/>
                <w14:textFill>
                  <w14:solidFill>
                    <w14:schemeClr w14:val="tx1"/>
                  </w14:solidFill>
                </w14:textFill>
              </w:rPr>
              <w:t>使用的洗涤剂</w:t>
            </w:r>
            <w:r>
              <w:rPr>
                <w:rFonts w:hint="eastAsia"/>
                <w:color w:val="000000"/>
                <w:kern w:val="0"/>
                <w:sz w:val="24"/>
              </w:rPr>
              <w:t>的</w:t>
            </w:r>
            <w:r>
              <w:rPr>
                <w:color w:val="000000"/>
                <w:kern w:val="0"/>
                <w:sz w:val="24"/>
              </w:rPr>
              <w:t>主要危险因素为泄漏，外界因素影响引起的潜在风险事故指的是当发生停水、停电等紧急故障或各种不可抗拒的自然灾害时可能会导致</w:t>
            </w:r>
            <w:r>
              <w:rPr>
                <w:rFonts w:hint="eastAsia"/>
                <w:color w:val="000000"/>
                <w:kern w:val="0"/>
                <w:sz w:val="24"/>
              </w:rPr>
              <w:t>清洗剂</w:t>
            </w:r>
            <w:r>
              <w:rPr>
                <w:color w:val="000000"/>
                <w:kern w:val="0"/>
                <w:sz w:val="24"/>
              </w:rPr>
              <w:t>散落、废气泄漏等而引发各种风险事故。</w:t>
            </w:r>
          </w:p>
          <w:p w14:paraId="317AC152">
            <w:pPr>
              <w:spacing w:line="360" w:lineRule="auto"/>
              <w:ind w:firstLine="480" w:firstLineChars="200"/>
              <w:rPr>
                <w:kern w:val="0"/>
                <w:sz w:val="24"/>
              </w:rPr>
            </w:pPr>
            <w:r>
              <w:rPr>
                <w:rFonts w:hint="eastAsia"/>
                <w:kern w:val="0"/>
                <w:sz w:val="24"/>
              </w:rPr>
              <w:t>（3）废气装置风险识别</w:t>
            </w:r>
          </w:p>
          <w:p w14:paraId="3DD22C01">
            <w:pPr>
              <w:spacing w:line="360" w:lineRule="auto"/>
              <w:ind w:firstLine="480" w:firstLineChars="200"/>
              <w:rPr>
                <w:kern w:val="0"/>
                <w:sz w:val="24"/>
              </w:rPr>
            </w:pPr>
            <w:r>
              <w:rPr>
                <w:rFonts w:hint="eastAsia"/>
                <w:kern w:val="0"/>
                <w:sz w:val="24"/>
              </w:rPr>
              <w:t>废气处理设施故障，废气未经处置直接排放，污染物浓度超标，造成大气环境污染。</w:t>
            </w:r>
          </w:p>
          <w:p w14:paraId="42923BD6">
            <w:pPr>
              <w:spacing w:line="360" w:lineRule="auto"/>
              <w:ind w:firstLine="480" w:firstLineChars="200"/>
              <w:rPr>
                <w:kern w:val="0"/>
                <w:sz w:val="24"/>
              </w:rPr>
            </w:pPr>
            <w:r>
              <w:rPr>
                <w:kern w:val="0"/>
                <w:sz w:val="24"/>
              </w:rPr>
              <w:t>（</w:t>
            </w:r>
            <w:r>
              <w:rPr>
                <w:rFonts w:hint="eastAsia"/>
                <w:kern w:val="0"/>
                <w:sz w:val="24"/>
              </w:rPr>
              <w:t>4）火灾事故</w:t>
            </w:r>
            <w:r>
              <w:rPr>
                <w:kern w:val="0"/>
                <w:sz w:val="24"/>
              </w:rPr>
              <w:t xml:space="preserve">伴、次生风险识别 </w:t>
            </w:r>
          </w:p>
          <w:p w14:paraId="7F0E5FAC">
            <w:pPr>
              <w:spacing w:line="360" w:lineRule="auto"/>
              <w:ind w:firstLine="480" w:firstLineChars="200"/>
              <w:rPr>
                <w:kern w:val="0"/>
                <w:sz w:val="24"/>
              </w:rPr>
            </w:pPr>
            <w:r>
              <w:rPr>
                <w:rFonts w:hint="eastAsia" w:ascii="宋体" w:hAnsi="宋体" w:cs="宋体"/>
                <w:kern w:val="0"/>
                <w:sz w:val="24"/>
              </w:rPr>
              <w:t>①</w:t>
            </w:r>
            <w:r>
              <w:rPr>
                <w:kern w:val="0"/>
                <w:sz w:val="24"/>
              </w:rPr>
              <w:t xml:space="preserve">事故废水 </w:t>
            </w:r>
          </w:p>
          <w:p w14:paraId="65794F01">
            <w:pPr>
              <w:spacing w:line="360" w:lineRule="auto"/>
              <w:ind w:firstLine="480" w:firstLineChars="200"/>
              <w:rPr>
                <w:kern w:val="0"/>
                <w:sz w:val="24"/>
              </w:rPr>
            </w:pPr>
            <w:r>
              <w:rPr>
                <w:kern w:val="0"/>
                <w:sz w:val="24"/>
              </w:rPr>
              <w:t xml:space="preserve">厂区内若发生火灾事故，在应急救援中，会在事故现场喷射大量的消防水以及冷却水等进行灭火或降低有害物质对大气的污染。针对事故排污水若无应急收集措施，可能会有部分有害物质直接或随冷却水、消防水等进入附近水体或土壤，对局部水体、土壤造成污染。 </w:t>
            </w:r>
          </w:p>
          <w:p w14:paraId="79D8CD93">
            <w:pPr>
              <w:spacing w:line="360" w:lineRule="auto"/>
              <w:ind w:firstLine="480" w:firstLineChars="200"/>
              <w:rPr>
                <w:kern w:val="0"/>
                <w:sz w:val="24"/>
              </w:rPr>
            </w:pPr>
            <w:r>
              <w:rPr>
                <w:rFonts w:hint="eastAsia" w:ascii="宋体" w:hAnsi="宋体" w:cs="宋体"/>
                <w:kern w:val="0"/>
                <w:sz w:val="24"/>
              </w:rPr>
              <w:t>②</w:t>
            </w:r>
            <w:r>
              <w:rPr>
                <w:kern w:val="0"/>
                <w:sz w:val="24"/>
              </w:rPr>
              <w:t xml:space="preserve">事故固体废物 </w:t>
            </w:r>
          </w:p>
          <w:p w14:paraId="0D53760B">
            <w:pPr>
              <w:spacing w:line="360" w:lineRule="auto"/>
              <w:ind w:firstLine="480" w:firstLineChars="200"/>
              <w:rPr>
                <w:kern w:val="0"/>
                <w:sz w:val="24"/>
              </w:rPr>
            </w:pPr>
            <w:r>
              <w:rPr>
                <w:kern w:val="0"/>
                <w:sz w:val="24"/>
              </w:rPr>
              <w:t>项目在泄漏、火灾等事故应急救援中可能产生大量的废灭火剂、拦截、堵漏材料，均可能掺杂一定的有害物质，若事故排放后随意丢弃、排放，将对环境产生二次污染。</w:t>
            </w:r>
          </w:p>
          <w:p w14:paraId="55E43E5D">
            <w:pPr>
              <w:spacing w:line="360" w:lineRule="auto"/>
              <w:rPr>
                <w:kern w:val="0"/>
                <w:sz w:val="24"/>
              </w:rPr>
            </w:pPr>
            <w:r>
              <w:rPr>
                <w:rFonts w:hint="eastAsia"/>
                <w:b/>
                <w:bCs/>
                <w:kern w:val="0"/>
                <w:sz w:val="24"/>
              </w:rPr>
              <w:t>7</w:t>
            </w:r>
            <w:r>
              <w:rPr>
                <w:b/>
                <w:bCs/>
                <w:kern w:val="0"/>
                <w:sz w:val="24"/>
              </w:rPr>
              <w:t>.4 环境风险防范措施</w:t>
            </w:r>
          </w:p>
          <w:p w14:paraId="303962BB">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（1）总图布置和建筑安全防范措施</w:t>
            </w:r>
          </w:p>
          <w:p w14:paraId="248D7DD2">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厂区总平面布置、防火间距应符合《建筑设计防火规范》(GB50016-2014)和《工业企业总平面设计规范》（GB50187-2012）等相关规定。生产区车间、物料存储车间等建、构筑物的设计应与火灾类别相应的防火对策措施，建筑物耐火等级应符合《建筑设计防火规范》的有关规定，并通过消防、安全验收。</w:t>
            </w:r>
          </w:p>
          <w:p w14:paraId="6320AB9E">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②厂内道路的布置应满足生产、运输、安装、检修、消防及环境卫生的要求。</w:t>
            </w:r>
          </w:p>
          <w:p w14:paraId="7764AD6D">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③各功能区之间应设有联系通道，有利于安全疏散和消防。分区内部和相互之间保持一定的通道和安全间距。厂区应有应急救援设施及救援通道、应急救援设施及救援通道。</w:t>
            </w:r>
          </w:p>
          <w:p w14:paraId="6C5E376A">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④按照《建筑物防雷设计规范》（GB50057-94，2000年版）的要求对建、构筑物采取防直击雷、防雷电感应、防雷电波侵入的措施。</w:t>
            </w:r>
          </w:p>
          <w:p w14:paraId="7580D16B">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⑤属于火灾爆炸危险场所的设计必须符合《爆炸和火灾危险环境电力装置设计规范》（GB50058-92）和《爆炸危险场所安全规定》的相关规定。</w:t>
            </w:r>
          </w:p>
          <w:p w14:paraId="69EEF612">
            <w:pPr>
              <w:adjustRightInd w:val="0"/>
              <w:spacing w:line="360" w:lineRule="auto"/>
              <w:ind w:firstLine="480" w:firstLineChars="200"/>
              <w:rPr>
                <w:color w:val="000000" w:themeColor="text1"/>
                <w:sz w:val="24"/>
                <w:highlight w:val="yellow"/>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）原辅料泄露防范措施</w:t>
            </w:r>
          </w:p>
          <w:p w14:paraId="7AA244D6">
            <w:pPr>
              <w:adjustRightInd w:val="0"/>
              <w:snapToGrid w:val="0"/>
              <w:spacing w:line="360" w:lineRule="auto"/>
              <w:ind w:firstLine="480" w:firstLineChars="200"/>
              <w:rPr>
                <w:color w:val="ED0000"/>
                <w:sz w:val="24"/>
              </w:rPr>
            </w:pP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原辅料在</w:t>
            </w:r>
            <w:r>
              <w:rPr>
                <w:color w:val="000000" w:themeColor="text1"/>
                <w:sz w:val="24"/>
                <w14:textFill>
                  <w14:solidFill>
                    <w14:schemeClr w14:val="tx1"/>
                  </w14:solidFill>
                </w14:textFill>
              </w:rPr>
              <w:t>储运和使用过程中，有时会发生一些意外的破裂，倒洒</w:t>
            </w:r>
            <w:r>
              <w:rPr>
                <w:rFonts w:hint="eastAsia"/>
                <w:color w:val="000000" w:themeColor="text1"/>
                <w:sz w:val="24"/>
                <w14:textFill>
                  <w14:solidFill>
                    <w14:schemeClr w14:val="tx1"/>
                  </w14:solidFill>
                </w14:textFill>
              </w:rPr>
              <w:t>、泄漏</w:t>
            </w:r>
            <w:r>
              <w:rPr>
                <w:color w:val="000000" w:themeColor="text1"/>
                <w:sz w:val="24"/>
                <w14:textFill>
                  <w14:solidFill>
                    <w14:schemeClr w14:val="tx1"/>
                  </w14:solidFill>
                </w14:textFill>
              </w:rPr>
              <w:t>事故，造成</w:t>
            </w:r>
            <w:r>
              <w:rPr>
                <w:rFonts w:hint="eastAsia"/>
                <w:color w:val="000000" w:themeColor="text1"/>
                <w:sz w:val="24"/>
                <w14:textFill>
                  <w14:solidFill>
                    <w14:schemeClr w14:val="tx1"/>
                  </w14:solidFill>
                </w14:textFill>
              </w:rPr>
              <w:t>洗涤剂</w:t>
            </w:r>
            <w:r>
              <w:rPr>
                <w:color w:val="000000" w:themeColor="text1"/>
                <w:sz w:val="24"/>
                <w14:textFill>
                  <w14:solidFill>
                    <w14:schemeClr w14:val="tx1"/>
                  </w14:solidFill>
                </w14:textFill>
              </w:rPr>
              <w:t>的外漏，因此需要采取快速、有效的安全技术措施来消除或减少泄漏危害，如果对泄漏控制不住或处理不当，有可能转化为</w:t>
            </w:r>
            <w:r>
              <w:rPr>
                <w:rFonts w:hint="eastAsia"/>
                <w:color w:val="000000" w:themeColor="text1"/>
                <w:sz w:val="24"/>
                <w14:textFill>
                  <w14:solidFill>
                    <w14:schemeClr w14:val="tx1"/>
                  </w14:solidFill>
                </w14:textFill>
              </w:rPr>
              <w:t>地表水污染等环境事故</w:t>
            </w:r>
            <w:r>
              <w:rPr>
                <w:color w:val="000000" w:themeColor="text1"/>
                <w:sz w:val="24"/>
                <w14:textFill>
                  <w14:solidFill>
                    <w14:schemeClr w14:val="tx1"/>
                  </w14:solidFill>
                </w14:textFill>
              </w:rPr>
              <w:t>。</w:t>
            </w:r>
          </w:p>
          <w:p w14:paraId="7B50167D">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及时对泄漏物进行覆盖、收容、稀释、处理使泄漏物得到安全可靠的处置， 防止二次事故的发生。要成功地控制和处理化学品的泄漏，必须对化学品的理化性质有充分的了解。地面上泄漏物处置主要有以下方法：</w:t>
            </w:r>
          </w:p>
          <w:p w14:paraId="4A7BC154">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为减少污染，通常是采用</w:t>
            </w:r>
            <w:r>
              <w:rPr>
                <w:rFonts w:hint="eastAsia"/>
                <w:color w:val="000000" w:themeColor="text1"/>
                <w:sz w:val="24"/>
                <w14:textFill>
                  <w14:solidFill>
                    <w14:schemeClr w14:val="tx1"/>
                  </w14:solidFill>
                </w14:textFill>
              </w:rPr>
              <w:t>砂子进行覆盖。</w:t>
            </w:r>
            <w:r>
              <w:rPr>
                <w:color w:val="000000" w:themeColor="text1"/>
                <w:sz w:val="24"/>
                <w14:textFill>
                  <w14:solidFill>
                    <w14:schemeClr w14:val="tx1"/>
                  </w14:solidFill>
                </w14:textFill>
              </w:rPr>
              <w:t xml:space="preserve"> </w:t>
            </w:r>
          </w:p>
          <w:p w14:paraId="08B4A08A">
            <w:pPr>
              <w:spacing w:line="360" w:lineRule="auto"/>
              <w:ind w:firstLine="480" w:firstLineChars="200"/>
              <w:rPr>
                <w:color w:val="ED0000"/>
                <w:sz w:val="24"/>
              </w:rPr>
            </w:pPr>
            <w:r>
              <w:rPr>
                <w:rFonts w:hint="eastAsia"/>
                <w:color w:val="000000" w:themeColor="text1"/>
                <w:sz w:val="24"/>
                <w14:textFill>
                  <w14:solidFill>
                    <w14:schemeClr w14:val="tx1"/>
                  </w14:solidFill>
                </w14:textFill>
              </w:rPr>
              <w:t>②</w:t>
            </w:r>
            <w:r>
              <w:rPr>
                <w:color w:val="000000" w:themeColor="text1"/>
                <w:sz w:val="24"/>
                <w14:textFill>
                  <w14:solidFill>
                    <w14:schemeClr w14:val="tx1"/>
                  </w14:solidFill>
                </w14:textFill>
              </w:rPr>
              <w:t>将收集的泄漏物运至废物处理场所处置，用</w:t>
            </w:r>
            <w:r>
              <w:rPr>
                <w:rFonts w:hint="eastAsia"/>
                <w:color w:val="000000" w:themeColor="text1"/>
                <w:sz w:val="24"/>
                <w14:textFill>
                  <w14:solidFill>
                    <w14:schemeClr w14:val="tx1"/>
                  </w14:solidFill>
                </w14:textFill>
              </w:rPr>
              <w:t>砂石等进行覆盖，防止泄漏流出车间外</w:t>
            </w:r>
            <w:r>
              <w:rPr>
                <w:color w:val="000000" w:themeColor="text1"/>
                <w:sz w:val="24"/>
                <w14:textFill>
                  <w14:solidFill>
                    <w14:schemeClr w14:val="tx1"/>
                  </w14:solidFill>
                </w14:textFill>
              </w:rPr>
              <w:t>。</w:t>
            </w:r>
          </w:p>
          <w:p w14:paraId="147F8CA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 xml:space="preserve">废气事故排放的防范措施 </w:t>
            </w:r>
          </w:p>
          <w:p w14:paraId="7C429C5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 xml:space="preserve">加强废气处理设施的维护保养，及时发现处理设备的隐患，并及时进 行维修，确保废气处理系统正常运行。 </w:t>
            </w:r>
          </w:p>
          <w:p w14:paraId="22744A4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 xml:space="preserve">对废气处理装置排污口污染物浓度进行常规监测，及时发现事故状况， 防止废气超标排放。 </w:t>
            </w:r>
          </w:p>
          <w:p w14:paraId="6252B17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 xml:space="preserve">事故发生时，建设单位必须立即停止相应生产，以停止相应污染物的 产生。及时组织人员查找事故发生的原因，并迅速抢修，使处理装置及时恢 复正常运行； </w:t>
            </w:r>
          </w:p>
          <w:p w14:paraId="196E8E4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rFonts w:ascii="宋体" w:hAnsi="宋体" w:cs="宋体"/>
                <w:color w:val="000000" w:themeColor="text1"/>
                <w:kern w:val="0"/>
                <w:sz w:val="24"/>
                <w14:textFill>
                  <w14:solidFill>
                    <w14:schemeClr w14:val="tx1"/>
                  </w14:solidFill>
                </w14:textFill>
              </w:rPr>
              <w:t>制定并落实事故应急处理机制，确保发生污染事故时“能及时、有效的作出应对。</w:t>
            </w:r>
          </w:p>
          <w:p w14:paraId="1923B49C">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4）火灾爆炸</w:t>
            </w:r>
            <w:r>
              <w:rPr>
                <w:color w:val="000000" w:themeColor="text1"/>
                <w:kern w:val="0"/>
                <w:sz w:val="24"/>
                <w14:textFill>
                  <w14:solidFill>
                    <w14:schemeClr w14:val="tx1"/>
                  </w14:solidFill>
                </w14:textFill>
              </w:rPr>
              <w:t xml:space="preserve">次/伴生污染防治措施 </w:t>
            </w:r>
          </w:p>
          <w:p w14:paraId="3B39ABA0">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过程必须严格按照相关防火、防爆设计要求进行，并配备相应的保护工程；加强工艺系统的自动控制的应用，同时应加强对系统设备的维护保养；加强对全厂员工教育，使员工了解安全用气及防火、防爆知识；配备足够的救灾防毒器具、消防器及防护用品。</w:t>
            </w:r>
          </w:p>
          <w:p w14:paraId="2E79FC42">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项目配备室外消防装置，在内部设置火灾自动报警系统、消防栓和自动消防喷头等装置。同时，厂区内部设置事故废水收集地沟，便于火灾发生时暂存消防事故水。</w:t>
            </w:r>
          </w:p>
          <w:p w14:paraId="4F4BD547">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t>同时采取设置的移动式消防器材及固定式消防设施进行灭火。小火灾时用干粉或二氧化碳灭火器，大火灾时用水幕、雾状水或常规泡沫灭火。尽可能远距离灭火或使用遥控水枪、水炮等扑救，切勿直接对泄漏口或安全阀门喷水，防止产生冻结。</w:t>
            </w:r>
          </w:p>
          <w:p w14:paraId="2B41F064">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color w:val="000000" w:themeColor="text1"/>
                <w:kern w:val="0"/>
                <w:sz w:val="24"/>
                <w14:textFill>
                  <w14:solidFill>
                    <w14:schemeClr w14:val="tx1"/>
                  </w14:solidFill>
                </w14:textFill>
              </w:rPr>
              <w:t>一般建筑物火灾主要采用水灭火，利用消防栓、消防车、消防水枪并配合其他消防器材进行扑救。</w:t>
            </w:r>
          </w:p>
          <w:p w14:paraId="1BAFFFE0">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color w:val="000000" w:themeColor="text1"/>
                <w:kern w:val="0"/>
                <w:sz w:val="24"/>
                <w14:textFill>
                  <w14:solidFill>
                    <w14:schemeClr w14:val="tx1"/>
                  </w14:solidFill>
                </w14:textFill>
              </w:rPr>
              <w:t>隔离、疏散、转移遇险人员到安全区域，按消防专业的要求警戒区，并在通往事故现场的主要干道上实行交通管制，除消防及应急处理人员外，其他人员禁止进入警戒区，并迅速撤离无关人员。</w:t>
            </w:r>
          </w:p>
          <w:p w14:paraId="49F7FC28">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color w:val="000000" w:themeColor="text1"/>
                <w:kern w:val="0"/>
                <w:sz w:val="24"/>
                <w14:textFill>
                  <w14:solidFill>
                    <w14:schemeClr w14:val="tx1"/>
                  </w14:solidFill>
                </w14:textFill>
              </w:rPr>
              <w:t>利用电话向消防部门报警，报警内容应包括：事故单位；事故发生的时间、地点、化学品名称、危险程度；有无人员伤亡以及报警人姓名、电话。</w:t>
            </w:r>
          </w:p>
          <w:p w14:paraId="18CF2F5E">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综上所述，本项目主要环境风险源为洗涤剂，按照环境风险防范制定突发环境事故应急预案，并配置相应救援物资和设备。在上述风险防范措施落实的情况下，本项目环境风险是可以接受的。</w:t>
            </w:r>
          </w:p>
          <w:p w14:paraId="5F58F640">
            <w:pPr>
              <w:spacing w:line="360" w:lineRule="auto"/>
              <w:rPr>
                <w:b/>
                <w:bCs/>
                <w:kern w:val="0"/>
                <w:sz w:val="24"/>
              </w:rPr>
            </w:pPr>
            <w:r>
              <w:rPr>
                <w:rFonts w:hint="eastAsia"/>
                <w:b/>
                <w:bCs/>
                <w:kern w:val="0"/>
                <w:sz w:val="24"/>
              </w:rPr>
              <w:t>7</w:t>
            </w:r>
            <w:r>
              <w:rPr>
                <w:b/>
                <w:bCs/>
                <w:kern w:val="0"/>
                <w:sz w:val="24"/>
              </w:rPr>
              <w:t>.5应急预案</w:t>
            </w:r>
          </w:p>
          <w:p w14:paraId="72EBCB91">
            <w:pPr>
              <w:spacing w:line="360" w:lineRule="auto"/>
              <w:ind w:firstLine="480" w:firstLineChars="200"/>
              <w:rPr>
                <w:kern w:val="0"/>
                <w:sz w:val="24"/>
              </w:rPr>
            </w:pPr>
            <w:r>
              <w:rPr>
                <w:kern w:val="0"/>
                <w:sz w:val="24"/>
              </w:rPr>
              <w:t>应急预案内容应包括预防措施、应急措施及事故后处理三个方面：</w:t>
            </w:r>
          </w:p>
          <w:p w14:paraId="5AED5D1B">
            <w:pPr>
              <w:spacing w:line="360" w:lineRule="auto"/>
              <w:ind w:firstLine="480" w:firstLineChars="200"/>
              <w:rPr>
                <w:kern w:val="0"/>
                <w:sz w:val="24"/>
              </w:rPr>
            </w:pPr>
            <w:r>
              <w:rPr>
                <w:kern w:val="0"/>
                <w:sz w:val="24"/>
              </w:rPr>
              <w:t>A、预防措施内容</w:t>
            </w:r>
          </w:p>
          <w:p w14:paraId="5F19B025">
            <w:pPr>
              <w:spacing w:line="360" w:lineRule="auto"/>
              <w:ind w:firstLine="480" w:firstLineChars="200"/>
              <w:rPr>
                <w:kern w:val="0"/>
                <w:sz w:val="24"/>
              </w:rPr>
            </w:pPr>
            <w:r>
              <w:rPr>
                <w:kern w:val="0"/>
                <w:sz w:val="24"/>
              </w:rPr>
              <w:t>一旦出现风险物质泄漏，应有防止向四周扩散、并起到隔离作用的具体措施；预先配备有处理泄漏事故的器材，并有专人负责妥善保管在专门的地方，一旦出现事故，立即投入使用； 存放各种化学品的容器应定期进行无损检查。</w:t>
            </w:r>
          </w:p>
          <w:p w14:paraId="77876563">
            <w:pPr>
              <w:spacing w:line="360" w:lineRule="auto"/>
              <w:ind w:firstLine="480" w:firstLineChars="200"/>
              <w:rPr>
                <w:kern w:val="0"/>
                <w:sz w:val="24"/>
              </w:rPr>
            </w:pPr>
            <w:r>
              <w:rPr>
                <w:kern w:val="0"/>
                <w:sz w:val="24"/>
              </w:rPr>
              <w:t>建立处理事故的组织管理制度和应急响应程序，包括一旦出现事故时现场主管、现场人员的职责，处理事故的步骤、事故区域的隔离，事故的上报，人员的疏散路线等，定期组织实际演习并定期试验、评价程序的有效性，确保这类事故发生后的环境影响得到有效控制。</w:t>
            </w:r>
          </w:p>
          <w:p w14:paraId="20498106">
            <w:pPr>
              <w:spacing w:line="360" w:lineRule="auto"/>
              <w:ind w:firstLine="480" w:firstLineChars="200"/>
              <w:rPr>
                <w:kern w:val="0"/>
                <w:sz w:val="24"/>
              </w:rPr>
            </w:pPr>
            <w:r>
              <w:rPr>
                <w:kern w:val="0"/>
                <w:sz w:val="24"/>
              </w:rPr>
              <w:t>B、应急措施内容</w:t>
            </w:r>
          </w:p>
          <w:p w14:paraId="68CA6BC3">
            <w:pPr>
              <w:spacing w:line="360" w:lineRule="auto"/>
              <w:ind w:firstLine="480" w:firstLineChars="200"/>
              <w:rPr>
                <w:kern w:val="0"/>
                <w:sz w:val="24"/>
              </w:rPr>
            </w:pPr>
            <w:r>
              <w:rPr>
                <w:kern w:val="0"/>
                <w:sz w:val="24"/>
              </w:rPr>
              <w:t>一旦出现事故，立即由平时的生产管理体制转为事故处理管理体制，应付处理事故的指挥决策。泄漏事故发生时的应急措施主要是断源、隔离、回收、清污和上报。</w:t>
            </w:r>
          </w:p>
          <w:p w14:paraId="55E46179">
            <w:pPr>
              <w:spacing w:line="360" w:lineRule="auto"/>
              <w:ind w:firstLine="480" w:firstLineChars="200"/>
              <w:rPr>
                <w:kern w:val="0"/>
                <w:sz w:val="24"/>
              </w:rPr>
            </w:pPr>
            <w:r>
              <w:rPr>
                <w:kern w:val="0"/>
                <w:sz w:val="24"/>
              </w:rPr>
              <w:t>火灾发生时的应急措施主要是：全厂紧急停工、消防队根据火灾的种类和区域及时按照确定的灭火方案灭火、封锁交通、撤离区内人员、断绝火路避免火灾扩大等。</w:t>
            </w:r>
          </w:p>
          <w:p w14:paraId="357C30B4">
            <w:pPr>
              <w:spacing w:line="360" w:lineRule="auto"/>
              <w:ind w:firstLine="480" w:firstLineChars="200"/>
              <w:rPr>
                <w:kern w:val="0"/>
                <w:sz w:val="24"/>
              </w:rPr>
            </w:pPr>
            <w:r>
              <w:rPr>
                <w:kern w:val="0"/>
                <w:sz w:val="24"/>
              </w:rPr>
              <w:t>C、事故后处理内容</w:t>
            </w:r>
          </w:p>
          <w:p w14:paraId="786549BF">
            <w:pPr>
              <w:spacing w:line="360" w:lineRule="auto"/>
              <w:ind w:firstLine="480" w:firstLineChars="200"/>
              <w:rPr>
                <w:kern w:val="0"/>
                <w:sz w:val="24"/>
              </w:rPr>
            </w:pPr>
            <w:r>
              <w:rPr>
                <w:kern w:val="0"/>
                <w:sz w:val="24"/>
              </w:rPr>
              <w:t>清理现场，维修设备，查清事故原因，处理人员伤亡事件，了解现场及周围环境污染程度并及时处理污染事故。</w:t>
            </w:r>
          </w:p>
          <w:p w14:paraId="60CB14DA">
            <w:pPr>
              <w:spacing w:line="360" w:lineRule="auto"/>
              <w:ind w:firstLine="480" w:firstLineChars="200"/>
              <w:rPr>
                <w:kern w:val="0"/>
                <w:sz w:val="24"/>
              </w:rPr>
            </w:pPr>
            <w:r>
              <w:rPr>
                <w:kern w:val="0"/>
                <w:sz w:val="24"/>
              </w:rPr>
              <w:t>拟建项目生产前须按照相关规定编制环境风险事故应急预案。并定期组织学习事故应急预案和演练，根据演习情况结合实际对预案进行适当修改。应急队伍要进行专业培训，并要有培训记录和档案。同时，加强各应急救援专业队伍的建设，配有相应器材并确保设备性能完好。</w:t>
            </w:r>
          </w:p>
          <w:p w14:paraId="69EBE1C2">
            <w:pPr>
              <w:spacing w:line="360" w:lineRule="auto"/>
              <w:ind w:firstLine="480" w:firstLineChars="200"/>
              <w:rPr>
                <w:kern w:val="0"/>
                <w:sz w:val="24"/>
              </w:rPr>
            </w:pPr>
            <w:r>
              <w:rPr>
                <w:kern w:val="0"/>
                <w:sz w:val="24"/>
              </w:rPr>
              <w:t>应急救援指挥中心可根据企业的实际情况制定应急救援培训计划，联合当地消防部门对公司应急专业救援组进行定期的应急救援培训和演练，一旦发生事故，可以更有效</w:t>
            </w:r>
          </w:p>
          <w:p w14:paraId="1940C544">
            <w:pPr>
              <w:spacing w:line="360" w:lineRule="auto"/>
              <w:rPr>
                <w:kern w:val="0"/>
                <w:sz w:val="24"/>
              </w:rPr>
            </w:pPr>
            <w:r>
              <w:rPr>
                <w:kern w:val="0"/>
                <w:sz w:val="24"/>
              </w:rPr>
              <w:t>地控制风险事故以防事故扩大。</w:t>
            </w:r>
          </w:p>
          <w:p w14:paraId="64DC89DB">
            <w:pPr>
              <w:spacing w:line="360" w:lineRule="auto"/>
              <w:rPr>
                <w:b/>
                <w:bCs/>
                <w:sz w:val="24"/>
              </w:rPr>
            </w:pPr>
            <w:r>
              <w:rPr>
                <w:rFonts w:hint="eastAsia"/>
                <w:b/>
                <w:bCs/>
                <w:sz w:val="24"/>
              </w:rPr>
              <w:t>7</w:t>
            </w:r>
            <w:r>
              <w:rPr>
                <w:b/>
                <w:bCs/>
                <w:sz w:val="24"/>
              </w:rPr>
              <w:t xml:space="preserve">.6 风险分析结论 </w:t>
            </w:r>
          </w:p>
          <w:p w14:paraId="7BA193AF">
            <w:pPr>
              <w:spacing w:line="360" w:lineRule="auto"/>
              <w:ind w:firstLine="480" w:firstLineChars="200"/>
            </w:pPr>
            <w:r>
              <w:rPr>
                <w:sz w:val="24"/>
              </w:rPr>
              <w:t>建设单位将严格采取实施上述提出的要求措施后，可有效防止项目产生的污染物进入环境，有效降低了对周围环境存在的风险影响。并且通过上述措施，建设单位可将生物危害和毒性危害控制在可接受的范围内，不会对人体、周围敏感点及水体、大气、土壤等造成明显危害。项目环境风险潜势为Ⅰ，控制措施有效，环境风险可防</w:t>
            </w:r>
            <w:r>
              <w:t>控</w:t>
            </w:r>
            <w:r>
              <w:rPr>
                <w:rFonts w:hint="eastAsia"/>
              </w:rPr>
              <w:t>。</w:t>
            </w:r>
          </w:p>
          <w:p w14:paraId="0E017B9F">
            <w:pPr>
              <w:pStyle w:val="32"/>
              <w:spacing w:line="360" w:lineRule="auto"/>
              <w:rPr>
                <w:rFonts w:ascii="Times New Roman" w:cs="Times New Roman"/>
                <w:b/>
                <w:bCs/>
              </w:rPr>
            </w:pPr>
            <w:r>
              <w:rPr>
                <w:rFonts w:hint="eastAsia" w:ascii="Times New Roman" w:cs="Times New Roman"/>
                <w:b/>
                <w:bCs/>
              </w:rPr>
              <w:t>8、电磁辐射</w:t>
            </w:r>
          </w:p>
          <w:p w14:paraId="69F02A52">
            <w:pPr>
              <w:adjustRightInd w:val="0"/>
              <w:snapToGrid w:val="0"/>
              <w:spacing w:line="360" w:lineRule="auto"/>
              <w:ind w:firstLine="480" w:firstLineChars="200"/>
              <w:rPr>
                <w:sz w:val="24"/>
              </w:rPr>
            </w:pPr>
            <w:r>
              <w:rPr>
                <w:sz w:val="24"/>
              </w:rPr>
              <w:t>本项目不涉及电磁辐射设备，不进行电磁辐射影响评价</w:t>
            </w:r>
            <w:r>
              <w:rPr>
                <w:rFonts w:hint="eastAsia"/>
                <w:sz w:val="24"/>
              </w:rPr>
              <w:t>。</w:t>
            </w:r>
          </w:p>
          <w:p w14:paraId="06416728">
            <w:pPr>
              <w:adjustRightInd w:val="0"/>
              <w:snapToGrid w:val="0"/>
              <w:spacing w:line="360" w:lineRule="auto"/>
              <w:ind w:firstLine="440" w:firstLineChars="200"/>
              <w:rPr>
                <w:bCs/>
                <w:spacing w:val="-10"/>
                <w:sz w:val="24"/>
              </w:rPr>
            </w:pPr>
          </w:p>
        </w:tc>
      </w:tr>
    </w:tbl>
    <w:p w14:paraId="437D5DD4">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14:paraId="3B85695B">
      <w:pPr>
        <w:pStyle w:val="24"/>
        <w:jc w:val="center"/>
        <w:outlineLvl w:val="0"/>
        <w:rPr>
          <w:rFonts w:hint="eastAsia" w:ascii="黑体" w:hAnsi="黑体" w:eastAsia="黑体"/>
          <w:snapToGrid w:val="0"/>
          <w:sz w:val="30"/>
          <w:szCs w:val="30"/>
        </w:rPr>
      </w:pPr>
      <w:bookmarkStart w:id="11" w:name="_Toc8809"/>
      <w:r>
        <w:rPr>
          <w:rFonts w:hint="eastAsia" w:ascii="黑体" w:hAnsi="黑体" w:eastAsia="黑体"/>
          <w:snapToGrid w:val="0"/>
          <w:sz w:val="30"/>
          <w:szCs w:val="30"/>
        </w:rPr>
        <w:t>五、</w:t>
      </w:r>
      <w:bookmarkStart w:id="12" w:name="_Hlk54167917"/>
      <w:r>
        <w:rPr>
          <w:rFonts w:hint="eastAsia" w:ascii="黑体" w:hAnsi="黑体" w:eastAsia="黑体"/>
          <w:snapToGrid w:val="0"/>
          <w:sz w:val="30"/>
          <w:szCs w:val="30"/>
        </w:rPr>
        <w:t>环境保护措施监督检查清单</w:t>
      </w:r>
      <w:bookmarkEnd w:id="11"/>
      <w:bookmarkEnd w:id="12"/>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14:paraId="73F6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14:paraId="08278BA6">
            <w:pPr>
              <w:adjustRightInd w:val="0"/>
              <w:snapToGrid w:val="0"/>
              <w:ind w:firstLine="840"/>
              <w:rPr>
                <w:szCs w:val="21"/>
              </w:rPr>
            </w:pPr>
            <w:r>
              <w:rPr>
                <w:szCs w:val="21"/>
              </w:rPr>
              <w:t>内容</w:t>
            </w:r>
          </w:p>
          <w:p w14:paraId="70250CA2">
            <w:pPr>
              <w:adjustRightInd w:val="0"/>
              <w:snapToGrid w:val="0"/>
              <w:rPr>
                <w:szCs w:val="21"/>
              </w:rPr>
            </w:pPr>
            <w:r>
              <w:rPr>
                <w:szCs w:val="21"/>
              </w:rPr>
              <w:t>要素</w:t>
            </w:r>
          </w:p>
        </w:tc>
        <w:tc>
          <w:tcPr>
            <w:tcW w:w="1755" w:type="dxa"/>
            <w:vAlign w:val="center"/>
          </w:tcPr>
          <w:p w14:paraId="58629EEF">
            <w:pPr>
              <w:adjustRightInd w:val="0"/>
              <w:snapToGrid w:val="0"/>
              <w:jc w:val="center"/>
              <w:rPr>
                <w:szCs w:val="21"/>
              </w:rPr>
            </w:pPr>
            <w:r>
              <w:rPr>
                <w:szCs w:val="21"/>
              </w:rPr>
              <w:t>排放口(编号、</w:t>
            </w:r>
          </w:p>
          <w:p w14:paraId="5A7808DF">
            <w:pPr>
              <w:adjustRightInd w:val="0"/>
              <w:snapToGrid w:val="0"/>
              <w:jc w:val="center"/>
              <w:rPr>
                <w:szCs w:val="21"/>
              </w:rPr>
            </w:pPr>
            <w:r>
              <w:rPr>
                <w:szCs w:val="21"/>
              </w:rPr>
              <w:t>名称)/污染源</w:t>
            </w:r>
          </w:p>
        </w:tc>
        <w:tc>
          <w:tcPr>
            <w:tcW w:w="1755" w:type="dxa"/>
            <w:vAlign w:val="center"/>
          </w:tcPr>
          <w:p w14:paraId="49F928E1">
            <w:pPr>
              <w:adjustRightInd w:val="0"/>
              <w:snapToGrid w:val="0"/>
              <w:jc w:val="center"/>
              <w:rPr>
                <w:szCs w:val="21"/>
              </w:rPr>
            </w:pPr>
            <w:r>
              <w:rPr>
                <w:szCs w:val="21"/>
              </w:rPr>
              <w:t>污染物项目</w:t>
            </w:r>
          </w:p>
        </w:tc>
        <w:tc>
          <w:tcPr>
            <w:tcW w:w="1755" w:type="dxa"/>
            <w:vAlign w:val="center"/>
          </w:tcPr>
          <w:p w14:paraId="76A21FB8">
            <w:pPr>
              <w:adjustRightInd w:val="0"/>
              <w:snapToGrid w:val="0"/>
              <w:jc w:val="center"/>
              <w:rPr>
                <w:szCs w:val="21"/>
              </w:rPr>
            </w:pPr>
            <w:r>
              <w:rPr>
                <w:szCs w:val="21"/>
              </w:rPr>
              <w:t>环境保护措施</w:t>
            </w:r>
          </w:p>
        </w:tc>
        <w:tc>
          <w:tcPr>
            <w:tcW w:w="1757" w:type="dxa"/>
            <w:vAlign w:val="center"/>
          </w:tcPr>
          <w:p w14:paraId="44A7C9D5">
            <w:pPr>
              <w:adjustRightInd w:val="0"/>
              <w:snapToGrid w:val="0"/>
              <w:jc w:val="center"/>
              <w:rPr>
                <w:szCs w:val="21"/>
              </w:rPr>
            </w:pPr>
            <w:r>
              <w:rPr>
                <w:szCs w:val="21"/>
              </w:rPr>
              <w:t>执行标准</w:t>
            </w:r>
          </w:p>
        </w:tc>
      </w:tr>
      <w:tr w14:paraId="7B090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5EC10C1E">
            <w:pPr>
              <w:adjustRightInd w:val="0"/>
              <w:snapToGrid w:val="0"/>
              <w:jc w:val="center"/>
              <w:rPr>
                <w:szCs w:val="21"/>
              </w:rPr>
            </w:pPr>
            <w:r>
              <w:rPr>
                <w:szCs w:val="21"/>
              </w:rPr>
              <w:t>大气环境</w:t>
            </w:r>
          </w:p>
        </w:tc>
        <w:tc>
          <w:tcPr>
            <w:tcW w:w="1755" w:type="dxa"/>
            <w:vAlign w:val="center"/>
          </w:tcPr>
          <w:p w14:paraId="2EFAB8E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蒸汽发生器燃烧废气排气筒</w:t>
            </w:r>
            <w:r>
              <w:rPr>
                <w:color w:val="000000" w:themeColor="text1"/>
                <w:szCs w:val="21"/>
                <w14:textFill>
                  <w14:solidFill>
                    <w14:schemeClr w14:val="tx1"/>
                  </w14:solidFill>
                </w14:textFill>
              </w:rPr>
              <w:t>DA001</w:t>
            </w:r>
          </w:p>
        </w:tc>
        <w:tc>
          <w:tcPr>
            <w:tcW w:w="1755" w:type="dxa"/>
            <w:vAlign w:val="center"/>
          </w:tcPr>
          <w:p w14:paraId="63958117">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颗粒物、SO</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、NOx</w:t>
            </w:r>
          </w:p>
        </w:tc>
        <w:tc>
          <w:tcPr>
            <w:tcW w:w="1755" w:type="dxa"/>
            <w:vAlign w:val="center"/>
          </w:tcPr>
          <w:p w14:paraId="7986282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水喷淋塔+25m高排气筒</w:t>
            </w:r>
          </w:p>
        </w:tc>
        <w:tc>
          <w:tcPr>
            <w:tcW w:w="1757" w:type="dxa"/>
            <w:vAlign w:val="center"/>
          </w:tcPr>
          <w:p w14:paraId="2ABEF6A6">
            <w:pPr>
              <w:adjustRightInd w:val="0"/>
              <w:snapToGrid w:val="0"/>
              <w:jc w:val="center"/>
              <w:rPr>
                <w:color w:val="000000" w:themeColor="text1"/>
                <w:szCs w:val="21"/>
                <w:u w:val="single"/>
                <w14:textFill>
                  <w14:solidFill>
                    <w14:schemeClr w14:val="tx1"/>
                  </w14:solidFill>
                </w14:textFill>
              </w:rPr>
            </w:pPr>
            <w:r>
              <w:rPr>
                <w:szCs w:val="21"/>
              </w:rPr>
              <w:t>《锅炉大气污染物排放标准》（GB13271-2014）中表2新建锅炉</w:t>
            </w:r>
            <w:r>
              <w:rPr>
                <w:rFonts w:hint="eastAsia"/>
                <w:szCs w:val="21"/>
              </w:rPr>
              <w:t>标准</w:t>
            </w:r>
            <w:r>
              <w:rPr>
                <w:rFonts w:hint="eastAsia"/>
                <w:color w:val="000000" w:themeColor="text1"/>
                <w:szCs w:val="21"/>
                <w14:textFill>
                  <w14:solidFill>
                    <w14:schemeClr w14:val="tx1"/>
                  </w14:solidFill>
                </w14:textFill>
              </w:rPr>
              <w:t>要求</w:t>
            </w:r>
          </w:p>
        </w:tc>
      </w:tr>
      <w:tr w14:paraId="07C9D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778" w:type="dxa"/>
            <w:vMerge w:val="restart"/>
            <w:vAlign w:val="center"/>
          </w:tcPr>
          <w:p w14:paraId="63956328">
            <w:pPr>
              <w:adjustRightInd w:val="0"/>
              <w:snapToGrid w:val="0"/>
              <w:jc w:val="center"/>
              <w:rPr>
                <w:szCs w:val="21"/>
              </w:rPr>
            </w:pPr>
            <w:r>
              <w:rPr>
                <w:szCs w:val="21"/>
              </w:rPr>
              <w:t>地表水环境</w:t>
            </w:r>
          </w:p>
        </w:tc>
        <w:tc>
          <w:tcPr>
            <w:tcW w:w="1755" w:type="dxa"/>
            <w:vAlign w:val="center"/>
          </w:tcPr>
          <w:p w14:paraId="7509F3A2">
            <w:pPr>
              <w:adjustRightInd w:val="0"/>
              <w:snapToGrid w:val="0"/>
              <w:jc w:val="center"/>
              <w:rPr>
                <w:szCs w:val="21"/>
              </w:rPr>
            </w:pPr>
            <w:r>
              <w:rPr>
                <w:rFonts w:hint="eastAsia"/>
                <w:szCs w:val="21"/>
              </w:rPr>
              <w:t>生活污水</w:t>
            </w:r>
          </w:p>
        </w:tc>
        <w:tc>
          <w:tcPr>
            <w:tcW w:w="1755" w:type="dxa"/>
            <w:vAlign w:val="center"/>
          </w:tcPr>
          <w:p w14:paraId="19D48298">
            <w:pPr>
              <w:adjustRightInd w:val="0"/>
              <w:snapToGrid w:val="0"/>
              <w:jc w:val="center"/>
              <w:rPr>
                <w:szCs w:val="21"/>
              </w:rPr>
            </w:pPr>
            <w:r>
              <w:rPr>
                <w:rFonts w:hint="eastAsia"/>
                <w:szCs w:val="21"/>
              </w:rPr>
              <w:t>COD、BOD</w:t>
            </w:r>
            <w:r>
              <w:rPr>
                <w:rFonts w:hint="eastAsia"/>
                <w:szCs w:val="21"/>
                <w:vertAlign w:val="subscript"/>
              </w:rPr>
              <w:t>5</w:t>
            </w:r>
            <w:r>
              <w:rPr>
                <w:rFonts w:hint="eastAsia"/>
                <w:szCs w:val="21"/>
              </w:rPr>
              <w:t>、NH</w:t>
            </w:r>
            <w:r>
              <w:rPr>
                <w:rFonts w:hint="eastAsia"/>
                <w:szCs w:val="21"/>
                <w:vertAlign w:val="subscript"/>
              </w:rPr>
              <w:t>3</w:t>
            </w:r>
            <w:r>
              <w:rPr>
                <w:rFonts w:hint="eastAsia"/>
                <w:szCs w:val="21"/>
              </w:rPr>
              <w:t>-N、SS</w:t>
            </w:r>
            <w:r>
              <w:rPr>
                <w:szCs w:val="21"/>
              </w:rPr>
              <w:t xml:space="preserve"> </w:t>
            </w:r>
          </w:p>
        </w:tc>
        <w:tc>
          <w:tcPr>
            <w:tcW w:w="1755" w:type="dxa"/>
            <w:vAlign w:val="center"/>
          </w:tcPr>
          <w:p w14:paraId="08A2B4B3">
            <w:pPr>
              <w:adjustRightInd w:val="0"/>
              <w:snapToGrid w:val="0"/>
              <w:jc w:val="center"/>
              <w:rPr>
                <w:szCs w:val="21"/>
              </w:rPr>
            </w:pPr>
            <w:r>
              <w:rPr>
                <w:rFonts w:hint="eastAsia"/>
                <w:szCs w:val="21"/>
              </w:rPr>
              <w:t>化粪池</w:t>
            </w:r>
          </w:p>
        </w:tc>
        <w:tc>
          <w:tcPr>
            <w:tcW w:w="1757" w:type="dxa"/>
            <w:vMerge w:val="restart"/>
            <w:vAlign w:val="center"/>
          </w:tcPr>
          <w:p w14:paraId="64FAE255">
            <w:pPr>
              <w:adjustRightInd w:val="0"/>
              <w:snapToGrid w:val="0"/>
              <w:jc w:val="center"/>
              <w:rPr>
                <w:szCs w:val="21"/>
              </w:rPr>
            </w:pPr>
            <w:r>
              <w:rPr>
                <w:rFonts w:hint="eastAsia"/>
                <w:szCs w:val="21"/>
              </w:rPr>
              <w:t>《污水综合排放标准》（GB8978-1996）表4三级标准</w:t>
            </w:r>
            <w:r>
              <w:t>《城镇污水处理厂污染物排放标准》（GB18918-2002）一级</w:t>
            </w:r>
            <w:r>
              <w:rPr>
                <w:rFonts w:hint="eastAsia"/>
              </w:rPr>
              <w:t>B</w:t>
            </w:r>
            <w:r>
              <w:t>标准</w:t>
            </w:r>
          </w:p>
        </w:tc>
      </w:tr>
      <w:tr w14:paraId="109D1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24034AA8">
            <w:pPr>
              <w:adjustRightInd w:val="0"/>
              <w:snapToGrid w:val="0"/>
              <w:jc w:val="center"/>
              <w:rPr>
                <w:szCs w:val="21"/>
              </w:rPr>
            </w:pPr>
          </w:p>
        </w:tc>
        <w:tc>
          <w:tcPr>
            <w:tcW w:w="1755" w:type="dxa"/>
            <w:vAlign w:val="center"/>
          </w:tcPr>
          <w:p w14:paraId="2D53E247">
            <w:pPr>
              <w:adjustRightInd w:val="0"/>
              <w:snapToGrid w:val="0"/>
              <w:jc w:val="center"/>
              <w:rPr>
                <w:szCs w:val="21"/>
              </w:rPr>
            </w:pPr>
            <w:r>
              <w:rPr>
                <w:rFonts w:hint="eastAsia"/>
                <w:szCs w:val="21"/>
              </w:rPr>
              <w:t>生产废水</w:t>
            </w:r>
          </w:p>
        </w:tc>
        <w:tc>
          <w:tcPr>
            <w:tcW w:w="1755" w:type="dxa"/>
            <w:vAlign w:val="center"/>
          </w:tcPr>
          <w:p w14:paraId="061C9011">
            <w:pPr>
              <w:adjustRightInd w:val="0"/>
              <w:snapToGrid w:val="0"/>
              <w:jc w:val="center"/>
              <w:rPr>
                <w:szCs w:val="21"/>
              </w:rPr>
            </w:pPr>
            <w:r>
              <w:rPr>
                <w:rFonts w:hint="eastAsia"/>
                <w:szCs w:val="21"/>
              </w:rPr>
              <w:t>COD、BOD</w:t>
            </w:r>
            <w:r>
              <w:rPr>
                <w:rFonts w:hint="eastAsia"/>
                <w:szCs w:val="21"/>
                <w:vertAlign w:val="subscript"/>
              </w:rPr>
              <w:t>5</w:t>
            </w:r>
            <w:r>
              <w:rPr>
                <w:rFonts w:hint="eastAsia"/>
                <w:szCs w:val="21"/>
              </w:rPr>
              <w:t>、NH</w:t>
            </w:r>
            <w:r>
              <w:rPr>
                <w:rFonts w:hint="eastAsia"/>
                <w:szCs w:val="21"/>
                <w:vertAlign w:val="subscript"/>
              </w:rPr>
              <w:t>3</w:t>
            </w:r>
            <w:r>
              <w:rPr>
                <w:rFonts w:hint="eastAsia"/>
                <w:szCs w:val="21"/>
              </w:rPr>
              <w:t>-N、SS、TP、TN、LAS</w:t>
            </w:r>
          </w:p>
        </w:tc>
        <w:tc>
          <w:tcPr>
            <w:tcW w:w="1755" w:type="dxa"/>
            <w:vAlign w:val="center"/>
          </w:tcPr>
          <w:p w14:paraId="10CFA097">
            <w:pPr>
              <w:adjustRightInd w:val="0"/>
              <w:snapToGrid w:val="0"/>
              <w:jc w:val="center"/>
              <w:rPr>
                <w:szCs w:val="21"/>
              </w:rPr>
            </w:pPr>
            <w:r>
              <w:rPr>
                <w:rFonts w:hint="eastAsia"/>
                <w:szCs w:val="21"/>
              </w:rPr>
              <w:t>二级沉淀池</w:t>
            </w:r>
          </w:p>
        </w:tc>
        <w:tc>
          <w:tcPr>
            <w:tcW w:w="1757" w:type="dxa"/>
            <w:vMerge w:val="continue"/>
            <w:vAlign w:val="center"/>
          </w:tcPr>
          <w:p w14:paraId="08506E1E">
            <w:pPr>
              <w:adjustRightInd w:val="0"/>
              <w:snapToGrid w:val="0"/>
              <w:jc w:val="center"/>
              <w:rPr>
                <w:szCs w:val="21"/>
              </w:rPr>
            </w:pPr>
          </w:p>
        </w:tc>
      </w:tr>
      <w:tr w14:paraId="6C003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53BD313">
            <w:pPr>
              <w:adjustRightInd w:val="0"/>
              <w:snapToGrid w:val="0"/>
              <w:jc w:val="center"/>
              <w:rPr>
                <w:szCs w:val="21"/>
              </w:rPr>
            </w:pPr>
            <w:r>
              <w:rPr>
                <w:szCs w:val="21"/>
              </w:rPr>
              <w:t>声环境</w:t>
            </w:r>
          </w:p>
        </w:tc>
        <w:tc>
          <w:tcPr>
            <w:tcW w:w="1755" w:type="dxa"/>
            <w:vAlign w:val="center"/>
          </w:tcPr>
          <w:p w14:paraId="431D7205">
            <w:pPr>
              <w:adjustRightInd w:val="0"/>
              <w:snapToGrid w:val="0"/>
              <w:jc w:val="center"/>
              <w:rPr>
                <w:szCs w:val="21"/>
              </w:rPr>
            </w:pPr>
            <w:r>
              <w:rPr>
                <w:rFonts w:hint="eastAsia"/>
                <w:szCs w:val="21"/>
              </w:rPr>
              <w:t>生产设备</w:t>
            </w:r>
          </w:p>
        </w:tc>
        <w:tc>
          <w:tcPr>
            <w:tcW w:w="1755" w:type="dxa"/>
            <w:vAlign w:val="center"/>
          </w:tcPr>
          <w:p w14:paraId="5BABF5CB">
            <w:pPr>
              <w:adjustRightInd w:val="0"/>
              <w:snapToGrid w:val="0"/>
              <w:jc w:val="center"/>
              <w:rPr>
                <w:szCs w:val="21"/>
              </w:rPr>
            </w:pPr>
            <w:r>
              <w:rPr>
                <w:rFonts w:hint="eastAsia"/>
                <w:szCs w:val="21"/>
              </w:rPr>
              <w:t>设备噪声</w:t>
            </w:r>
          </w:p>
        </w:tc>
        <w:tc>
          <w:tcPr>
            <w:tcW w:w="1755" w:type="dxa"/>
            <w:vAlign w:val="center"/>
          </w:tcPr>
          <w:p w14:paraId="6F014DA0">
            <w:pPr>
              <w:adjustRightInd w:val="0"/>
              <w:snapToGrid w:val="0"/>
              <w:jc w:val="center"/>
              <w:rPr>
                <w:szCs w:val="21"/>
              </w:rPr>
            </w:pPr>
            <w:r>
              <w:t>基础减震、建筑隔声</w:t>
            </w:r>
          </w:p>
        </w:tc>
        <w:tc>
          <w:tcPr>
            <w:tcW w:w="1757" w:type="dxa"/>
            <w:vAlign w:val="center"/>
          </w:tcPr>
          <w:p w14:paraId="04B69860">
            <w:pPr>
              <w:adjustRightInd w:val="0"/>
              <w:snapToGrid w:val="0"/>
              <w:jc w:val="left"/>
            </w:pPr>
            <w:r>
              <w:t>《工业企业厂界环境噪声排放标准》GB12348-2008</w:t>
            </w:r>
            <w:r>
              <w:rPr>
                <w:rFonts w:hint="eastAsia"/>
              </w:rPr>
              <w:t>）2</w:t>
            </w:r>
            <w:r>
              <w:t>类</w:t>
            </w:r>
          </w:p>
        </w:tc>
      </w:tr>
      <w:tr w14:paraId="33F1A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0945DD8">
            <w:pPr>
              <w:adjustRightInd w:val="0"/>
              <w:snapToGrid w:val="0"/>
              <w:jc w:val="center"/>
              <w:rPr>
                <w:szCs w:val="21"/>
              </w:rPr>
            </w:pPr>
            <w:r>
              <w:rPr>
                <w:szCs w:val="21"/>
              </w:rPr>
              <w:t>电磁辐射</w:t>
            </w:r>
          </w:p>
        </w:tc>
        <w:tc>
          <w:tcPr>
            <w:tcW w:w="1755" w:type="dxa"/>
            <w:vAlign w:val="center"/>
          </w:tcPr>
          <w:p w14:paraId="36E10727">
            <w:pPr>
              <w:adjustRightInd w:val="0"/>
              <w:snapToGrid w:val="0"/>
              <w:jc w:val="center"/>
              <w:rPr>
                <w:szCs w:val="21"/>
              </w:rPr>
            </w:pPr>
            <w:r>
              <w:rPr>
                <w:rFonts w:hint="eastAsia"/>
                <w:szCs w:val="21"/>
              </w:rPr>
              <w:t>/</w:t>
            </w:r>
          </w:p>
        </w:tc>
        <w:tc>
          <w:tcPr>
            <w:tcW w:w="1755" w:type="dxa"/>
            <w:vAlign w:val="center"/>
          </w:tcPr>
          <w:p w14:paraId="71DC3B48">
            <w:pPr>
              <w:adjustRightInd w:val="0"/>
              <w:snapToGrid w:val="0"/>
              <w:jc w:val="center"/>
              <w:rPr>
                <w:szCs w:val="21"/>
              </w:rPr>
            </w:pPr>
            <w:r>
              <w:rPr>
                <w:rFonts w:hint="eastAsia"/>
                <w:szCs w:val="21"/>
              </w:rPr>
              <w:t>/</w:t>
            </w:r>
          </w:p>
        </w:tc>
        <w:tc>
          <w:tcPr>
            <w:tcW w:w="1755" w:type="dxa"/>
            <w:vAlign w:val="center"/>
          </w:tcPr>
          <w:p w14:paraId="28DB2A60">
            <w:pPr>
              <w:adjustRightInd w:val="0"/>
              <w:snapToGrid w:val="0"/>
              <w:jc w:val="center"/>
              <w:rPr>
                <w:szCs w:val="21"/>
              </w:rPr>
            </w:pPr>
            <w:r>
              <w:rPr>
                <w:rFonts w:hint="eastAsia"/>
                <w:szCs w:val="21"/>
              </w:rPr>
              <w:t>/</w:t>
            </w:r>
          </w:p>
        </w:tc>
        <w:tc>
          <w:tcPr>
            <w:tcW w:w="1757" w:type="dxa"/>
            <w:vAlign w:val="center"/>
          </w:tcPr>
          <w:p w14:paraId="7AF56A08">
            <w:pPr>
              <w:adjustRightInd w:val="0"/>
              <w:snapToGrid w:val="0"/>
              <w:jc w:val="center"/>
              <w:rPr>
                <w:szCs w:val="21"/>
              </w:rPr>
            </w:pPr>
            <w:r>
              <w:rPr>
                <w:rFonts w:hint="eastAsia"/>
                <w:szCs w:val="21"/>
              </w:rPr>
              <w:t>/</w:t>
            </w:r>
          </w:p>
        </w:tc>
      </w:tr>
      <w:tr w14:paraId="5A410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58C0FBE2">
            <w:pPr>
              <w:adjustRightInd w:val="0"/>
              <w:snapToGrid w:val="0"/>
              <w:jc w:val="center"/>
              <w:rPr>
                <w:szCs w:val="21"/>
              </w:rPr>
            </w:pPr>
            <w:r>
              <w:rPr>
                <w:szCs w:val="21"/>
              </w:rPr>
              <w:t>固体废物</w:t>
            </w:r>
          </w:p>
        </w:tc>
        <w:tc>
          <w:tcPr>
            <w:tcW w:w="7022" w:type="dxa"/>
            <w:gridSpan w:val="4"/>
            <w:vAlign w:val="center"/>
          </w:tcPr>
          <w:p w14:paraId="7E8BF4F3">
            <w:pPr>
              <w:adjustRightInd w:val="0"/>
              <w:snapToGrid w:val="0"/>
              <w:jc w:val="center"/>
              <w:rPr>
                <w:szCs w:val="21"/>
              </w:rPr>
            </w:pPr>
            <w:r>
              <w:rPr>
                <w:rFonts w:hint="eastAsia"/>
                <w:szCs w:val="21"/>
              </w:rPr>
              <w:t>生活垃圾设垃圾桶收集后交由环卫部门处理，沉渣、灰渣、废包材料等一般固废收集后交由一般工业固废单位进行处理。</w:t>
            </w:r>
          </w:p>
        </w:tc>
      </w:tr>
      <w:tr w14:paraId="5146E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0B6B26BB">
            <w:pPr>
              <w:adjustRightInd w:val="0"/>
              <w:snapToGrid w:val="0"/>
              <w:jc w:val="center"/>
              <w:rPr>
                <w:szCs w:val="21"/>
              </w:rPr>
            </w:pPr>
            <w:r>
              <w:rPr>
                <w:szCs w:val="21"/>
              </w:rPr>
              <w:t>土壤及地下水</w:t>
            </w:r>
          </w:p>
          <w:p w14:paraId="28B97C19">
            <w:pPr>
              <w:adjustRightInd w:val="0"/>
              <w:snapToGrid w:val="0"/>
              <w:jc w:val="center"/>
              <w:rPr>
                <w:szCs w:val="21"/>
              </w:rPr>
            </w:pPr>
            <w:r>
              <w:rPr>
                <w:szCs w:val="21"/>
              </w:rPr>
              <w:t>污染防治措施</w:t>
            </w:r>
          </w:p>
        </w:tc>
        <w:tc>
          <w:tcPr>
            <w:tcW w:w="7022" w:type="dxa"/>
            <w:gridSpan w:val="4"/>
            <w:vAlign w:val="center"/>
          </w:tcPr>
          <w:p w14:paraId="6EDA8C58">
            <w:pPr>
              <w:adjustRightInd w:val="0"/>
              <w:snapToGrid w:val="0"/>
              <w:jc w:val="center"/>
              <w:rPr>
                <w:szCs w:val="21"/>
              </w:rPr>
            </w:pPr>
            <w:r>
              <w:t>本项目所在建筑建成后，需进行场地硬底化，不存在土壤、地下水的污染物途径。项目各功能区均采取“源头控制”、“分区控制”的防渗措施，一般工业固体废物暂时贮存场满足</w:t>
            </w:r>
            <w:r>
              <w:rPr>
                <w:rFonts w:hint="eastAsia"/>
              </w:rPr>
              <w:t>《</w:t>
            </w:r>
            <w:r>
              <w:t>一般工业固体废物贮存和填埋污染控制标准》（GB18599</w:t>
            </w:r>
            <w:r>
              <w:rPr>
                <w:rFonts w:hint="eastAsia"/>
              </w:rPr>
              <w:t>-</w:t>
            </w:r>
            <w:r>
              <w:t>2020）要求</w:t>
            </w:r>
            <w:r>
              <w:rPr>
                <w:color w:val="000000" w:themeColor="text1"/>
                <w14:textFill>
                  <w14:solidFill>
                    <w14:schemeClr w14:val="tx1"/>
                  </w14:solidFill>
                </w14:textFill>
              </w:rPr>
              <w:t>。</w:t>
            </w:r>
          </w:p>
        </w:tc>
      </w:tr>
      <w:tr w14:paraId="2B28C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291E9A2F">
            <w:pPr>
              <w:adjustRightInd w:val="0"/>
              <w:snapToGrid w:val="0"/>
              <w:jc w:val="center"/>
              <w:rPr>
                <w:szCs w:val="21"/>
              </w:rPr>
            </w:pPr>
            <w:r>
              <w:rPr>
                <w:szCs w:val="21"/>
              </w:rPr>
              <w:t>生态保护措施</w:t>
            </w:r>
          </w:p>
        </w:tc>
        <w:tc>
          <w:tcPr>
            <w:tcW w:w="7022" w:type="dxa"/>
            <w:gridSpan w:val="4"/>
            <w:vAlign w:val="center"/>
          </w:tcPr>
          <w:p w14:paraId="160DD172">
            <w:pPr>
              <w:adjustRightInd w:val="0"/>
              <w:snapToGrid w:val="0"/>
              <w:jc w:val="center"/>
              <w:rPr>
                <w:szCs w:val="21"/>
              </w:rPr>
            </w:pPr>
            <w:r>
              <w:rPr>
                <w:rFonts w:hint="eastAsia"/>
                <w:szCs w:val="21"/>
              </w:rPr>
              <w:t>/</w:t>
            </w:r>
          </w:p>
        </w:tc>
      </w:tr>
      <w:tr w14:paraId="14F0D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56DEDA95">
            <w:pPr>
              <w:adjustRightInd w:val="0"/>
              <w:snapToGrid w:val="0"/>
              <w:jc w:val="center"/>
              <w:rPr>
                <w:spacing w:val="-8"/>
                <w:szCs w:val="21"/>
              </w:rPr>
            </w:pPr>
            <w:r>
              <w:rPr>
                <w:spacing w:val="-8"/>
                <w:szCs w:val="21"/>
              </w:rPr>
              <w:t>环境风险</w:t>
            </w:r>
          </w:p>
          <w:p w14:paraId="3E745F5E">
            <w:pPr>
              <w:adjustRightInd w:val="0"/>
              <w:snapToGrid w:val="0"/>
              <w:jc w:val="center"/>
              <w:rPr>
                <w:spacing w:val="-8"/>
                <w:szCs w:val="21"/>
              </w:rPr>
            </w:pPr>
            <w:r>
              <w:rPr>
                <w:spacing w:val="-8"/>
                <w:szCs w:val="21"/>
              </w:rPr>
              <w:t>防范措施</w:t>
            </w:r>
          </w:p>
        </w:tc>
        <w:tc>
          <w:tcPr>
            <w:tcW w:w="7022" w:type="dxa"/>
            <w:gridSpan w:val="4"/>
            <w:vAlign w:val="center"/>
          </w:tcPr>
          <w:p w14:paraId="5B516D90">
            <w:pPr>
              <w:adjustRightInd w:val="0"/>
              <w:snapToGrid w:val="0"/>
              <w:jc w:val="left"/>
            </w:pPr>
            <w:r>
              <w:rPr>
                <w:rFonts w:hint="eastAsia"/>
              </w:rPr>
              <w:t>（1）</w:t>
            </w:r>
            <w:r>
              <w:t xml:space="preserve">加强原料的管理，远离火种、热源；采取相应的防火、防雷等措 施；配备相应品种和数量的消防器材。原料应做到随用随购，不储存多余原料，对于易燃易爆的物质存放、贮存均做降温处理，并与其他物料隔离，保证防火距离。严格明火管理，严禁吸烟动火。消除电气火花。严格按照《中华人民共和国爆炸危险场所安全规程》和现行有关标准、规程及要求执行。 </w:t>
            </w:r>
          </w:p>
          <w:p w14:paraId="39D10C7E">
            <w:pPr>
              <w:adjustRightInd w:val="0"/>
              <w:snapToGrid w:val="0"/>
              <w:jc w:val="left"/>
            </w:pPr>
            <w:r>
              <w:t xml:space="preserve">（2）管理人员必须经过专业知识培训，熟悉贮存物品的特性、事故处理办法和防护知识，同时，必须配备有关的个人防护用品。 </w:t>
            </w:r>
          </w:p>
          <w:p w14:paraId="229651AB">
            <w:pPr>
              <w:adjustRightInd w:val="0"/>
              <w:snapToGrid w:val="0"/>
              <w:jc w:val="left"/>
            </w:pPr>
            <w:r>
              <w:t xml:space="preserve">（3）生产过程火灾爆炸风险以及事故性泄漏常与装置设备故障相关联。 企业在该项目生产和安全管理中要密切注意事故易发部位，做好运行监督检查与维修保养，定期进行电路、电气检查，防患于未然。 </w:t>
            </w:r>
          </w:p>
          <w:p w14:paraId="08898CB1">
            <w:pPr>
              <w:adjustRightInd w:val="0"/>
              <w:snapToGrid w:val="0"/>
              <w:jc w:val="left"/>
            </w:pPr>
            <w:r>
              <w:t xml:space="preserve">（4）消防器材应当设置在明显和便于取用的地点，周围不准堆放物品和杂物。消防设施、器材，应当由专人管理，负责检查、维修、保养、更换 和添置，保证完好有效，严禁圈占、埋压和挪用。配备消防器材和消防设施； 标示明确，使用方便。 </w:t>
            </w:r>
          </w:p>
          <w:p w14:paraId="75ECB536">
            <w:pPr>
              <w:adjustRightInd w:val="0"/>
              <w:snapToGrid w:val="0"/>
              <w:jc w:val="left"/>
            </w:pPr>
            <w:r>
              <w:t>（5）建设单位应根据《关于进一步加强环境影响评价管理防范环境风 险的通知》（环发[2012]77号）、《关于印发的通知》（环发[2015]4号）、《突发环境事件 应急管理办法》（环境保护部令第34号）等文件要求，对可能发生的突发 环境事件，应根据项目实际情况编制环境风险事故应急预案进行备案，或实施豁免管理。</w:t>
            </w:r>
          </w:p>
        </w:tc>
      </w:tr>
      <w:tr w14:paraId="64EAC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14:paraId="765BE660">
            <w:pPr>
              <w:adjustRightInd w:val="0"/>
              <w:snapToGrid w:val="0"/>
              <w:jc w:val="center"/>
              <w:rPr>
                <w:spacing w:val="-8"/>
                <w:szCs w:val="21"/>
              </w:rPr>
            </w:pPr>
            <w:r>
              <w:rPr>
                <w:spacing w:val="-8"/>
                <w:szCs w:val="21"/>
              </w:rPr>
              <w:t>其他环境</w:t>
            </w:r>
          </w:p>
          <w:p w14:paraId="3EA1ED1B">
            <w:pPr>
              <w:adjustRightInd w:val="0"/>
              <w:snapToGrid w:val="0"/>
              <w:jc w:val="center"/>
              <w:rPr>
                <w:spacing w:val="-8"/>
                <w:szCs w:val="21"/>
              </w:rPr>
            </w:pPr>
            <w:r>
              <w:rPr>
                <w:spacing w:val="-8"/>
                <w:szCs w:val="21"/>
              </w:rPr>
              <w:t>管理要求</w:t>
            </w:r>
          </w:p>
        </w:tc>
        <w:tc>
          <w:tcPr>
            <w:tcW w:w="7022" w:type="dxa"/>
            <w:gridSpan w:val="4"/>
            <w:vAlign w:val="center"/>
          </w:tcPr>
          <w:p w14:paraId="01E37CC8">
            <w:pPr>
              <w:adjustRightInd w:val="0"/>
              <w:snapToGrid w:val="0"/>
              <w:rPr>
                <w:kern w:val="0"/>
                <w:szCs w:val="21"/>
              </w:rPr>
            </w:pPr>
            <w:r>
              <w:rPr>
                <w:kern w:val="0"/>
                <w:szCs w:val="21"/>
              </w:rPr>
              <w:t>（1）环境保护管理体系为做好环境管理工作，公司应建立环境管理体系，将环境管理工作自上而下的贯穿到公司的生产管理中。</w:t>
            </w:r>
          </w:p>
          <w:p w14:paraId="1D59BF21">
            <w:pPr>
              <w:adjustRightInd w:val="0"/>
              <w:snapToGrid w:val="0"/>
              <w:rPr>
                <w:kern w:val="0"/>
                <w:szCs w:val="21"/>
              </w:rPr>
            </w:pPr>
            <w:r>
              <w:rPr>
                <w:kern w:val="0"/>
                <w:szCs w:val="21"/>
              </w:rPr>
              <w:t xml:space="preserve">（2）环境管理规章制度建立和完善环境管理制度，是公司环境管理体系的重要组成部分，需建立的环境管理制度。 </w:t>
            </w:r>
          </w:p>
          <w:p w14:paraId="5E8AE2E0">
            <w:pPr>
              <w:adjustRightInd w:val="0"/>
              <w:snapToGrid w:val="0"/>
              <w:rPr>
                <w:kern w:val="0"/>
                <w:szCs w:val="21"/>
              </w:rPr>
            </w:pPr>
            <w:r>
              <w:rPr>
                <w:kern w:val="0"/>
                <w:szCs w:val="21"/>
              </w:rPr>
              <w:t xml:space="preserve">（3）建设项目竣工环境保护验收根据《建设项目环境保护管理条例》 要求，编制环境影响报告表的建设项目竣工后，建设单位应当按照国务院环境保护行政主管部门规定的标准和程序，对配套建设的环境保护设施进行验 收，编制验收报告。 </w:t>
            </w:r>
          </w:p>
          <w:p w14:paraId="7F546D1C">
            <w:pPr>
              <w:adjustRightInd w:val="0"/>
              <w:snapToGrid w:val="0"/>
              <w:rPr>
                <w:szCs w:val="21"/>
              </w:rPr>
            </w:pPr>
            <w:r>
              <w:rPr>
                <w:kern w:val="0"/>
                <w:szCs w:val="21"/>
              </w:rPr>
              <w:t>（4）按照《排污许可管理条例》和《固定污染源排污许可分类管理名录》（2019年版）要求，</w:t>
            </w:r>
            <w:r>
              <w:rPr>
                <w:rFonts w:hint="eastAsia"/>
                <w:kern w:val="0"/>
                <w:szCs w:val="21"/>
              </w:rPr>
              <w:t>排污前申领排污许可证</w:t>
            </w:r>
            <w:r>
              <w:rPr>
                <w:kern w:val="0"/>
                <w:szCs w:val="21"/>
              </w:rPr>
              <w:t>。</w:t>
            </w:r>
          </w:p>
        </w:tc>
      </w:tr>
    </w:tbl>
    <w:p w14:paraId="1E5535F4">
      <w:pPr>
        <w:pStyle w:val="24"/>
        <w:jc w:val="center"/>
        <w:outlineLvl w:val="0"/>
        <w:rPr>
          <w:rFonts w:hint="eastAsia" w:ascii="黑体" w:hAnsi="黑体" w:eastAsia="黑体"/>
          <w:snapToGrid w:val="0"/>
          <w:sz w:val="30"/>
          <w:szCs w:val="30"/>
        </w:rPr>
      </w:pPr>
      <w:r>
        <w:rPr>
          <w:snapToGrid w:val="0"/>
        </w:rPr>
        <w:br w:type="page"/>
      </w:r>
      <w:bookmarkStart w:id="13" w:name="_Toc14135"/>
      <w:r>
        <w:rPr>
          <w:rFonts w:hint="eastAsia" w:ascii="黑体" w:hAnsi="黑体" w:eastAsia="黑体"/>
          <w:snapToGrid w:val="0"/>
          <w:sz w:val="30"/>
          <w:szCs w:val="30"/>
        </w:rPr>
        <w:t>六、结论</w:t>
      </w:r>
      <w:bookmarkEnd w:id="13"/>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3D52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30703B83">
            <w:pPr>
              <w:spacing w:line="360" w:lineRule="auto"/>
              <w:ind w:firstLine="480" w:firstLineChars="200"/>
              <w:rPr>
                <w:sz w:val="24"/>
              </w:rPr>
            </w:pPr>
          </w:p>
          <w:p w14:paraId="2F526139">
            <w:pPr>
              <w:spacing w:line="360" w:lineRule="auto"/>
              <w:ind w:firstLine="480" w:firstLineChars="200"/>
              <w:rPr>
                <w:sz w:val="24"/>
              </w:rPr>
            </w:pPr>
          </w:p>
          <w:p w14:paraId="74BA242B">
            <w:pPr>
              <w:spacing w:line="360" w:lineRule="auto"/>
              <w:ind w:firstLine="480" w:firstLineChars="200"/>
              <w:rPr>
                <w:sz w:val="24"/>
              </w:rPr>
            </w:pPr>
          </w:p>
          <w:p w14:paraId="46038916">
            <w:pPr>
              <w:spacing w:line="360" w:lineRule="auto"/>
              <w:ind w:firstLine="480" w:firstLineChars="200"/>
              <w:rPr>
                <w:sz w:val="24"/>
              </w:rPr>
            </w:pPr>
            <w:r>
              <w:rPr>
                <w:rFonts w:hint="eastAsia"/>
                <w:sz w:val="24"/>
              </w:rPr>
              <w:t>本</w:t>
            </w:r>
            <w:r>
              <w:rPr>
                <w:sz w:val="24"/>
              </w:rPr>
              <w:t>项目符合国家产业政策；项目选址符合相关要求，通过采取有效的环保措施可实现</w:t>
            </w:r>
            <w:r>
              <w:rPr>
                <w:rFonts w:hint="eastAsia"/>
                <w:sz w:val="24"/>
              </w:rPr>
              <w:t>废气、废水</w:t>
            </w:r>
            <w:r>
              <w:rPr>
                <w:sz w:val="24"/>
              </w:rPr>
              <w:t>达标排放，</w:t>
            </w:r>
            <w:r>
              <w:rPr>
                <w:rFonts w:hint="eastAsia"/>
                <w:sz w:val="24"/>
              </w:rPr>
              <w:t>固体废物妥善处置，</w:t>
            </w:r>
            <w:r>
              <w:rPr>
                <w:sz w:val="24"/>
              </w:rPr>
              <w:t>对周边环境的影响也能控制在可接受程度。因此，建设单位在严格执行环保“三同时”制度，严格落实本报告提出的各项环保措施后，项目建设对环境的影响是可接受的。</w:t>
            </w:r>
          </w:p>
          <w:p w14:paraId="10AEFAB8">
            <w:pPr>
              <w:spacing w:line="360" w:lineRule="auto"/>
              <w:ind w:firstLine="480" w:firstLineChars="200"/>
              <w:rPr>
                <w:rFonts w:ascii="宋体" w:cs="宋体"/>
                <w:sz w:val="24"/>
              </w:rPr>
            </w:pPr>
            <w:r>
              <w:rPr>
                <w:sz w:val="24"/>
              </w:rPr>
              <w:t>因此，从环保的角度分析，本项目的建设是可行的。</w:t>
            </w:r>
          </w:p>
        </w:tc>
      </w:tr>
    </w:tbl>
    <w:p w14:paraId="42C4DFEF">
      <w:pPr>
        <w:rPr>
          <w:rFonts w:ascii="宋体"/>
        </w:rPr>
        <w:sectPr>
          <w:pgSz w:w="11906" w:h="16838"/>
          <w:pgMar w:top="1701" w:right="1531" w:bottom="1701" w:left="1531" w:header="851" w:footer="851" w:gutter="0"/>
          <w:cols w:space="720" w:num="1"/>
          <w:docGrid w:linePitch="312" w:charSpace="0"/>
        </w:sectPr>
      </w:pPr>
    </w:p>
    <w:p w14:paraId="15CFA4C0">
      <w:pPr>
        <w:pStyle w:val="24"/>
        <w:adjustRightInd w:val="0"/>
        <w:snapToGrid w:val="0"/>
        <w:spacing w:before="0" w:beforeAutospacing="0" w:after="0" w:afterAutospacing="0"/>
        <w:outlineLvl w:val="0"/>
        <w:rPr>
          <w:rFonts w:hint="eastAsia" w:ascii="黑体" w:hAnsi="黑体" w:eastAsia="黑体"/>
          <w:snapToGrid w:val="0"/>
          <w:sz w:val="32"/>
          <w:szCs w:val="32"/>
        </w:rPr>
      </w:pPr>
      <w:bookmarkStart w:id="14" w:name="_Toc5991"/>
      <w:r>
        <w:rPr>
          <w:rFonts w:hint="eastAsia" w:ascii="黑体" w:hAnsi="黑体" w:eastAsia="黑体"/>
          <w:snapToGrid w:val="0"/>
          <w:sz w:val="32"/>
          <w:szCs w:val="32"/>
        </w:rPr>
        <w:t>附表</w:t>
      </w:r>
      <w:bookmarkEnd w:id="14"/>
    </w:p>
    <w:p w14:paraId="59F013D1">
      <w:pPr>
        <w:pStyle w:val="24"/>
        <w:adjustRightInd w:val="0"/>
        <w:snapToGrid w:val="0"/>
        <w:spacing w:before="0" w:beforeAutospacing="0" w:after="0" w:afterAutospacing="0"/>
        <w:jc w:val="center"/>
        <w:outlineLvl w:val="0"/>
        <w:rPr>
          <w:rFonts w:hint="eastAsia" w:ascii="方正小标宋_GBK" w:hAnsi="黑体" w:eastAsia="方正小标宋_GBK"/>
          <w:snapToGrid w:val="0"/>
          <w:sz w:val="38"/>
          <w:szCs w:val="38"/>
        </w:rPr>
      </w:pPr>
      <w:bookmarkStart w:id="15" w:name="_Toc8125"/>
      <w:r>
        <w:rPr>
          <w:rFonts w:hint="eastAsia" w:ascii="方正小标宋_GBK" w:hAnsi="黑体" w:eastAsia="方正小标宋_GBK"/>
          <w:snapToGrid w:val="0"/>
          <w:sz w:val="38"/>
          <w:szCs w:val="38"/>
        </w:rPr>
        <w:t>建设项目污染物排放量汇总表</w:t>
      </w:r>
      <w:bookmarkEnd w:id="15"/>
    </w:p>
    <w:tbl>
      <w:tblPr>
        <w:tblStyle w:val="26"/>
        <w:tblW w:w="0" w:type="auto"/>
        <w:tblInd w:w="-8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825"/>
        <w:gridCol w:w="960"/>
      </w:tblGrid>
      <w:tr w14:paraId="27084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6A35305C">
            <w:pPr>
              <w:pStyle w:val="47"/>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14:paraId="158D27CB">
            <w:pPr>
              <w:pStyle w:val="47"/>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14:paraId="633C5F93">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1701" w:type="dxa"/>
            <w:tcMar>
              <w:left w:w="28" w:type="dxa"/>
              <w:right w:w="28" w:type="dxa"/>
            </w:tcMar>
            <w:vAlign w:val="center"/>
          </w:tcPr>
          <w:p w14:paraId="1E2B7986">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04E1CB78">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65478080">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03199A67">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14:paraId="0845041D">
            <w:pPr>
              <w:pStyle w:val="47"/>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ascii="Times New Roman" w:eastAsia="黑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5ABB83D5">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14:paraId="66BD7528">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14:paraId="0D447AF1">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14:paraId="172D2940">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14:paraId="3A942A7B">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14:paraId="612E8D4B">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⑤</w:t>
            </w:r>
            <w:r>
              <w:rPr>
                <w:rFonts w:ascii="Times New Roman" w:eastAsia="黑体"/>
                <w:snapToGrid w:val="0"/>
                <w:color w:val="000000"/>
                <w:spacing w:val="-16"/>
                <w:kern w:val="21"/>
                <w:szCs w:val="21"/>
              </w:rPr>
              <w:fldChar w:fldCharType="end"/>
            </w:r>
          </w:p>
        </w:tc>
        <w:tc>
          <w:tcPr>
            <w:tcW w:w="1825" w:type="dxa"/>
            <w:tcMar>
              <w:left w:w="28" w:type="dxa"/>
              <w:right w:w="28" w:type="dxa"/>
            </w:tcMar>
            <w:vAlign w:val="center"/>
          </w:tcPr>
          <w:p w14:paraId="51EF6391">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14:paraId="67CB8C0A">
            <w:pPr>
              <w:pStyle w:val="47"/>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⑥</w:t>
            </w:r>
            <w:r>
              <w:rPr>
                <w:rFonts w:ascii="Times New Roman" w:eastAsia="黑体"/>
                <w:snapToGrid w:val="0"/>
                <w:color w:val="000000"/>
                <w:spacing w:val="-16"/>
                <w:kern w:val="21"/>
                <w:szCs w:val="21"/>
              </w:rPr>
              <w:fldChar w:fldCharType="end"/>
            </w:r>
          </w:p>
        </w:tc>
        <w:tc>
          <w:tcPr>
            <w:tcW w:w="960" w:type="dxa"/>
            <w:tcMar>
              <w:left w:w="28" w:type="dxa"/>
              <w:right w:w="28" w:type="dxa"/>
            </w:tcMar>
            <w:vAlign w:val="center"/>
          </w:tcPr>
          <w:p w14:paraId="06C837B9">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14:paraId="4A0E70C0">
            <w:pPr>
              <w:pStyle w:val="47"/>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⑦</w:t>
            </w:r>
            <w:r>
              <w:rPr>
                <w:rFonts w:ascii="Times New Roman" w:eastAsia="黑体"/>
                <w:snapToGrid w:val="0"/>
                <w:color w:val="000000"/>
                <w:spacing w:val="-6"/>
                <w:kern w:val="21"/>
                <w:szCs w:val="21"/>
              </w:rPr>
              <w:fldChar w:fldCharType="end"/>
            </w:r>
          </w:p>
        </w:tc>
      </w:tr>
      <w:tr w14:paraId="152E8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0389350D">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14:paraId="6194FBB5">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颗粒物</w:t>
            </w:r>
          </w:p>
          <w:p w14:paraId="41C4E28E">
            <w:pPr>
              <w:pStyle w:val="47"/>
              <w:spacing w:beforeLines="0" w:afterLines="0" w:line="240" w:lineRule="auto"/>
              <w:rPr>
                <w:rFonts w:ascii="Times New Roman"/>
                <w:snapToGrid w:val="0"/>
                <w:color w:val="000000"/>
                <w:kern w:val="21"/>
                <w:szCs w:val="21"/>
              </w:rPr>
            </w:pPr>
            <w:r>
              <w:rPr>
                <w:snapToGrid w:val="0"/>
                <w:kern w:val="21"/>
                <w:szCs w:val="21"/>
              </w:rPr>
              <w:t>（</w:t>
            </w:r>
            <w:r>
              <w:rPr>
                <w:rFonts w:hint="eastAsia"/>
                <w:snapToGrid w:val="0"/>
                <w:kern w:val="21"/>
                <w:szCs w:val="21"/>
              </w:rPr>
              <w:t>有</w:t>
            </w:r>
            <w:r>
              <w:rPr>
                <w:snapToGrid w:val="0"/>
                <w:kern w:val="21"/>
                <w:szCs w:val="21"/>
              </w:rPr>
              <w:t>组织）</w:t>
            </w:r>
          </w:p>
        </w:tc>
        <w:tc>
          <w:tcPr>
            <w:tcW w:w="1701" w:type="dxa"/>
            <w:vAlign w:val="center"/>
          </w:tcPr>
          <w:p w14:paraId="39342938">
            <w:pPr>
              <w:jc w:val="center"/>
              <w:rPr>
                <w:b/>
                <w:bCs/>
                <w:snapToGrid w:val="0"/>
                <w:color w:val="000000"/>
                <w:kern w:val="21"/>
                <w:szCs w:val="21"/>
              </w:rPr>
            </w:pPr>
            <w:r>
              <w:rPr>
                <w:rFonts w:hint="eastAsia"/>
                <w:b/>
                <w:bCs/>
                <w:snapToGrid w:val="0"/>
                <w:color w:val="000000"/>
                <w:kern w:val="21"/>
                <w:szCs w:val="21"/>
              </w:rPr>
              <w:t>/</w:t>
            </w:r>
          </w:p>
        </w:tc>
        <w:tc>
          <w:tcPr>
            <w:tcW w:w="1276" w:type="dxa"/>
            <w:vAlign w:val="center"/>
          </w:tcPr>
          <w:p w14:paraId="211E15B3">
            <w:pPr>
              <w:jc w:val="center"/>
              <w:rPr>
                <w:b/>
                <w:bCs/>
                <w:snapToGrid w:val="0"/>
                <w:color w:val="000000"/>
                <w:kern w:val="21"/>
                <w:szCs w:val="21"/>
              </w:rPr>
            </w:pPr>
            <w:r>
              <w:rPr>
                <w:rFonts w:hint="eastAsia"/>
                <w:b/>
                <w:bCs/>
                <w:snapToGrid w:val="0"/>
                <w:color w:val="000000"/>
                <w:kern w:val="21"/>
                <w:szCs w:val="21"/>
              </w:rPr>
              <w:t>/</w:t>
            </w:r>
          </w:p>
        </w:tc>
        <w:tc>
          <w:tcPr>
            <w:tcW w:w="1701" w:type="dxa"/>
            <w:vAlign w:val="center"/>
          </w:tcPr>
          <w:p w14:paraId="1A332B07">
            <w:pPr>
              <w:jc w:val="center"/>
              <w:rPr>
                <w:b/>
                <w:bCs/>
                <w:snapToGrid w:val="0"/>
                <w:color w:val="000000"/>
                <w:kern w:val="21"/>
                <w:szCs w:val="21"/>
              </w:rPr>
            </w:pPr>
            <w:r>
              <w:rPr>
                <w:rFonts w:hint="eastAsia"/>
                <w:b/>
                <w:bCs/>
                <w:snapToGrid w:val="0"/>
                <w:color w:val="000000"/>
                <w:kern w:val="21"/>
                <w:szCs w:val="21"/>
              </w:rPr>
              <w:t>/</w:t>
            </w:r>
          </w:p>
        </w:tc>
        <w:tc>
          <w:tcPr>
            <w:tcW w:w="1559" w:type="dxa"/>
            <w:vAlign w:val="center"/>
          </w:tcPr>
          <w:p w14:paraId="38066B75">
            <w:pPr>
              <w:pStyle w:val="47"/>
              <w:spacing w:beforeLines="0" w:afterLines="0" w:line="240" w:lineRule="auto"/>
              <w:rPr>
                <w:rFonts w:ascii="Times New Roman"/>
                <w:szCs w:val="21"/>
              </w:rPr>
            </w:pPr>
            <w:r>
              <w:rPr>
                <w:rFonts w:hint="eastAsia" w:ascii="Times New Roman"/>
                <w:szCs w:val="21"/>
              </w:rPr>
              <w:t>0.0423</w:t>
            </w:r>
          </w:p>
        </w:tc>
        <w:tc>
          <w:tcPr>
            <w:tcW w:w="1761" w:type="dxa"/>
            <w:vAlign w:val="center"/>
          </w:tcPr>
          <w:p w14:paraId="69553F05">
            <w:pPr>
              <w:jc w:val="center"/>
              <w:rPr>
                <w:snapToGrid w:val="0"/>
                <w:color w:val="00B050"/>
                <w:kern w:val="21"/>
                <w:szCs w:val="21"/>
              </w:rPr>
            </w:pPr>
            <w:r>
              <w:rPr>
                <w:rFonts w:hint="eastAsia"/>
                <w:snapToGrid w:val="0"/>
                <w:color w:val="00B050"/>
                <w:kern w:val="21"/>
                <w:szCs w:val="21"/>
              </w:rPr>
              <w:t>/</w:t>
            </w:r>
          </w:p>
        </w:tc>
        <w:tc>
          <w:tcPr>
            <w:tcW w:w="1825" w:type="dxa"/>
            <w:vAlign w:val="center"/>
          </w:tcPr>
          <w:p w14:paraId="065F82A7">
            <w:pPr>
              <w:pStyle w:val="47"/>
              <w:spacing w:beforeLines="0" w:afterLines="0" w:line="240" w:lineRule="auto"/>
              <w:rPr>
                <w:rFonts w:ascii="Times New Roman"/>
                <w:snapToGrid w:val="0"/>
                <w:color w:val="00B050"/>
                <w:kern w:val="21"/>
                <w:szCs w:val="21"/>
              </w:rPr>
            </w:pPr>
            <w:r>
              <w:rPr>
                <w:rFonts w:hint="eastAsia" w:ascii="Times New Roman"/>
                <w:szCs w:val="21"/>
              </w:rPr>
              <w:t>0.0423</w:t>
            </w:r>
          </w:p>
        </w:tc>
        <w:tc>
          <w:tcPr>
            <w:tcW w:w="960" w:type="dxa"/>
            <w:vAlign w:val="center"/>
          </w:tcPr>
          <w:p w14:paraId="1924005C">
            <w:pPr>
              <w:jc w:val="center"/>
              <w:rPr>
                <w:snapToGrid w:val="0"/>
                <w:color w:val="00B050"/>
                <w:kern w:val="21"/>
                <w:szCs w:val="21"/>
              </w:rPr>
            </w:pPr>
            <w:r>
              <w:rPr>
                <w:rFonts w:hint="eastAsia"/>
                <w:szCs w:val="21"/>
              </w:rPr>
              <w:t>+0.0423</w:t>
            </w:r>
          </w:p>
        </w:tc>
      </w:tr>
      <w:tr w14:paraId="31C52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5BEFB1B">
            <w:pPr>
              <w:pStyle w:val="47"/>
              <w:spacing w:beforeLines="0" w:afterLines="0" w:line="240" w:lineRule="auto"/>
              <w:rPr>
                <w:rFonts w:ascii="Times New Roman"/>
                <w:snapToGrid w:val="0"/>
                <w:color w:val="000000"/>
                <w:kern w:val="21"/>
                <w:szCs w:val="21"/>
              </w:rPr>
            </w:pPr>
          </w:p>
        </w:tc>
        <w:tc>
          <w:tcPr>
            <w:tcW w:w="1417" w:type="dxa"/>
            <w:vAlign w:val="center"/>
          </w:tcPr>
          <w:p w14:paraId="09B4FEFF">
            <w:pPr>
              <w:pStyle w:val="47"/>
              <w:spacing w:beforeLines="0" w:afterLines="0" w:line="240" w:lineRule="auto"/>
              <w:rPr>
                <w:rFonts w:ascii="Times New Roman"/>
                <w:snapToGrid w:val="0"/>
                <w:color w:val="000000"/>
                <w:kern w:val="21"/>
                <w:szCs w:val="21"/>
                <w:vertAlign w:val="subscript"/>
              </w:rPr>
            </w:pPr>
            <w:r>
              <w:rPr>
                <w:rFonts w:ascii="Times New Roman"/>
                <w:snapToGrid w:val="0"/>
                <w:color w:val="000000"/>
                <w:kern w:val="21"/>
                <w:szCs w:val="21"/>
              </w:rPr>
              <w:t>SO</w:t>
            </w:r>
            <w:r>
              <w:rPr>
                <w:rFonts w:ascii="Times New Roman"/>
                <w:snapToGrid w:val="0"/>
                <w:color w:val="000000"/>
                <w:kern w:val="21"/>
                <w:szCs w:val="21"/>
                <w:vertAlign w:val="subscript"/>
              </w:rPr>
              <w:t>2</w:t>
            </w:r>
          </w:p>
          <w:p w14:paraId="7AB3F95F">
            <w:pPr>
              <w:pStyle w:val="47"/>
              <w:spacing w:beforeLines="0" w:afterLines="0" w:line="240" w:lineRule="auto"/>
              <w:rPr>
                <w:rFonts w:ascii="Times New Roman"/>
                <w:snapToGrid w:val="0"/>
                <w:color w:val="000000"/>
                <w:kern w:val="21"/>
                <w:szCs w:val="21"/>
              </w:rPr>
            </w:pPr>
            <w:r>
              <w:rPr>
                <w:snapToGrid w:val="0"/>
                <w:kern w:val="21"/>
                <w:szCs w:val="21"/>
              </w:rPr>
              <w:t>（</w:t>
            </w:r>
            <w:r>
              <w:rPr>
                <w:rFonts w:hint="eastAsia"/>
                <w:snapToGrid w:val="0"/>
                <w:kern w:val="21"/>
                <w:szCs w:val="21"/>
              </w:rPr>
              <w:t>有</w:t>
            </w:r>
            <w:r>
              <w:rPr>
                <w:snapToGrid w:val="0"/>
                <w:kern w:val="21"/>
                <w:szCs w:val="21"/>
              </w:rPr>
              <w:t>组织）</w:t>
            </w:r>
          </w:p>
        </w:tc>
        <w:tc>
          <w:tcPr>
            <w:tcW w:w="1701" w:type="dxa"/>
            <w:vAlign w:val="center"/>
          </w:tcPr>
          <w:p w14:paraId="6572A50D">
            <w:pPr>
              <w:jc w:val="center"/>
              <w:rPr>
                <w:b/>
                <w:bCs/>
                <w:snapToGrid w:val="0"/>
                <w:color w:val="000000"/>
                <w:kern w:val="21"/>
                <w:szCs w:val="21"/>
              </w:rPr>
            </w:pPr>
            <w:r>
              <w:rPr>
                <w:rFonts w:hint="eastAsia"/>
                <w:b/>
                <w:bCs/>
                <w:snapToGrid w:val="0"/>
                <w:color w:val="000000"/>
                <w:kern w:val="21"/>
                <w:szCs w:val="21"/>
              </w:rPr>
              <w:t>/</w:t>
            </w:r>
          </w:p>
        </w:tc>
        <w:tc>
          <w:tcPr>
            <w:tcW w:w="1276" w:type="dxa"/>
            <w:vAlign w:val="center"/>
          </w:tcPr>
          <w:p w14:paraId="7A32C128">
            <w:pPr>
              <w:jc w:val="center"/>
              <w:rPr>
                <w:b/>
                <w:bCs/>
                <w:snapToGrid w:val="0"/>
                <w:color w:val="000000"/>
                <w:kern w:val="21"/>
                <w:szCs w:val="21"/>
              </w:rPr>
            </w:pPr>
            <w:r>
              <w:rPr>
                <w:rFonts w:hint="eastAsia"/>
                <w:b/>
                <w:bCs/>
                <w:snapToGrid w:val="0"/>
                <w:color w:val="000000"/>
                <w:kern w:val="21"/>
                <w:szCs w:val="21"/>
              </w:rPr>
              <w:t>/</w:t>
            </w:r>
          </w:p>
        </w:tc>
        <w:tc>
          <w:tcPr>
            <w:tcW w:w="1701" w:type="dxa"/>
            <w:vAlign w:val="center"/>
          </w:tcPr>
          <w:p w14:paraId="082908C8">
            <w:pPr>
              <w:jc w:val="center"/>
              <w:rPr>
                <w:b/>
                <w:bCs/>
                <w:snapToGrid w:val="0"/>
                <w:color w:val="000000"/>
                <w:kern w:val="21"/>
                <w:szCs w:val="21"/>
              </w:rPr>
            </w:pPr>
            <w:r>
              <w:rPr>
                <w:rFonts w:hint="eastAsia"/>
                <w:b/>
                <w:bCs/>
                <w:snapToGrid w:val="0"/>
                <w:color w:val="000000"/>
                <w:kern w:val="21"/>
                <w:szCs w:val="21"/>
              </w:rPr>
              <w:t>/</w:t>
            </w:r>
          </w:p>
        </w:tc>
        <w:tc>
          <w:tcPr>
            <w:tcW w:w="1559" w:type="dxa"/>
            <w:vAlign w:val="center"/>
          </w:tcPr>
          <w:p w14:paraId="29428DD7">
            <w:pPr>
              <w:pStyle w:val="47"/>
              <w:spacing w:beforeLines="0" w:afterLines="0" w:line="240" w:lineRule="auto"/>
              <w:rPr>
                <w:rFonts w:ascii="Times New Roman"/>
                <w:szCs w:val="21"/>
              </w:rPr>
            </w:pPr>
            <w:r>
              <w:rPr>
                <w:rFonts w:hint="eastAsia" w:ascii="Times New Roman"/>
                <w:szCs w:val="21"/>
              </w:rPr>
              <w:t>0.192</w:t>
            </w:r>
          </w:p>
        </w:tc>
        <w:tc>
          <w:tcPr>
            <w:tcW w:w="1761" w:type="dxa"/>
            <w:vAlign w:val="center"/>
          </w:tcPr>
          <w:p w14:paraId="794838E2">
            <w:pPr>
              <w:jc w:val="center"/>
              <w:rPr>
                <w:snapToGrid w:val="0"/>
                <w:kern w:val="21"/>
                <w:szCs w:val="21"/>
              </w:rPr>
            </w:pPr>
            <w:r>
              <w:rPr>
                <w:rFonts w:hint="eastAsia"/>
                <w:snapToGrid w:val="0"/>
                <w:kern w:val="21"/>
                <w:szCs w:val="21"/>
              </w:rPr>
              <w:t>/</w:t>
            </w:r>
          </w:p>
        </w:tc>
        <w:tc>
          <w:tcPr>
            <w:tcW w:w="1825" w:type="dxa"/>
            <w:vAlign w:val="center"/>
          </w:tcPr>
          <w:p w14:paraId="62BB36C0">
            <w:pPr>
              <w:pStyle w:val="47"/>
              <w:spacing w:beforeLines="0" w:afterLines="0" w:line="240" w:lineRule="auto"/>
              <w:rPr>
                <w:rFonts w:ascii="Times New Roman"/>
                <w:snapToGrid w:val="0"/>
                <w:kern w:val="21"/>
                <w:szCs w:val="21"/>
              </w:rPr>
            </w:pPr>
            <w:r>
              <w:rPr>
                <w:rFonts w:hint="eastAsia" w:ascii="Times New Roman"/>
                <w:szCs w:val="21"/>
              </w:rPr>
              <w:t>0.192</w:t>
            </w:r>
          </w:p>
        </w:tc>
        <w:tc>
          <w:tcPr>
            <w:tcW w:w="960" w:type="dxa"/>
            <w:vAlign w:val="center"/>
          </w:tcPr>
          <w:p w14:paraId="43305F4F">
            <w:pPr>
              <w:jc w:val="center"/>
              <w:rPr>
                <w:snapToGrid w:val="0"/>
                <w:kern w:val="21"/>
                <w:szCs w:val="21"/>
              </w:rPr>
            </w:pPr>
            <w:r>
              <w:rPr>
                <w:rFonts w:hint="eastAsia"/>
                <w:szCs w:val="21"/>
              </w:rPr>
              <w:t>+0.192</w:t>
            </w:r>
          </w:p>
        </w:tc>
      </w:tr>
      <w:tr w14:paraId="226BC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29C863A">
            <w:pPr>
              <w:pStyle w:val="47"/>
              <w:spacing w:beforeLines="0" w:afterLines="0" w:line="240" w:lineRule="auto"/>
              <w:rPr>
                <w:rFonts w:ascii="Times New Roman"/>
                <w:snapToGrid w:val="0"/>
                <w:color w:val="000000"/>
                <w:kern w:val="21"/>
                <w:szCs w:val="21"/>
              </w:rPr>
            </w:pPr>
          </w:p>
        </w:tc>
        <w:tc>
          <w:tcPr>
            <w:tcW w:w="1417" w:type="dxa"/>
            <w:vAlign w:val="center"/>
          </w:tcPr>
          <w:p w14:paraId="77003973">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NOx</w:t>
            </w:r>
          </w:p>
          <w:p w14:paraId="79D662CB">
            <w:pPr>
              <w:pStyle w:val="47"/>
              <w:spacing w:beforeLines="0" w:afterLines="0" w:line="240" w:lineRule="auto"/>
              <w:rPr>
                <w:rFonts w:ascii="Times New Roman"/>
                <w:snapToGrid w:val="0"/>
                <w:color w:val="000000"/>
                <w:kern w:val="21"/>
                <w:szCs w:val="21"/>
              </w:rPr>
            </w:pPr>
            <w:r>
              <w:rPr>
                <w:snapToGrid w:val="0"/>
                <w:kern w:val="21"/>
                <w:szCs w:val="21"/>
              </w:rPr>
              <w:t>（</w:t>
            </w:r>
            <w:r>
              <w:rPr>
                <w:rFonts w:hint="eastAsia"/>
                <w:snapToGrid w:val="0"/>
                <w:kern w:val="21"/>
                <w:szCs w:val="21"/>
              </w:rPr>
              <w:t>有</w:t>
            </w:r>
            <w:r>
              <w:rPr>
                <w:snapToGrid w:val="0"/>
                <w:kern w:val="21"/>
                <w:szCs w:val="21"/>
              </w:rPr>
              <w:t>组织）</w:t>
            </w:r>
          </w:p>
        </w:tc>
        <w:tc>
          <w:tcPr>
            <w:tcW w:w="1701" w:type="dxa"/>
            <w:vAlign w:val="center"/>
          </w:tcPr>
          <w:p w14:paraId="3098EC2D">
            <w:pPr>
              <w:jc w:val="center"/>
              <w:rPr>
                <w:b/>
                <w:bCs/>
                <w:snapToGrid w:val="0"/>
                <w:color w:val="000000"/>
                <w:kern w:val="21"/>
                <w:szCs w:val="21"/>
              </w:rPr>
            </w:pPr>
            <w:r>
              <w:rPr>
                <w:rFonts w:hint="eastAsia"/>
                <w:b/>
                <w:bCs/>
                <w:snapToGrid w:val="0"/>
                <w:color w:val="000000"/>
                <w:kern w:val="21"/>
                <w:szCs w:val="21"/>
              </w:rPr>
              <w:t>/</w:t>
            </w:r>
          </w:p>
        </w:tc>
        <w:tc>
          <w:tcPr>
            <w:tcW w:w="1276" w:type="dxa"/>
            <w:vAlign w:val="center"/>
          </w:tcPr>
          <w:p w14:paraId="75A93982">
            <w:pPr>
              <w:jc w:val="center"/>
              <w:rPr>
                <w:b/>
                <w:bCs/>
                <w:snapToGrid w:val="0"/>
                <w:color w:val="000000"/>
                <w:kern w:val="21"/>
                <w:szCs w:val="21"/>
              </w:rPr>
            </w:pPr>
            <w:r>
              <w:rPr>
                <w:rFonts w:hint="eastAsia"/>
                <w:b/>
                <w:bCs/>
                <w:snapToGrid w:val="0"/>
                <w:color w:val="000000"/>
                <w:kern w:val="21"/>
                <w:szCs w:val="21"/>
              </w:rPr>
              <w:t>/</w:t>
            </w:r>
          </w:p>
        </w:tc>
        <w:tc>
          <w:tcPr>
            <w:tcW w:w="1701" w:type="dxa"/>
            <w:vAlign w:val="center"/>
          </w:tcPr>
          <w:p w14:paraId="78103525">
            <w:pPr>
              <w:jc w:val="center"/>
              <w:rPr>
                <w:b/>
                <w:bCs/>
                <w:snapToGrid w:val="0"/>
                <w:color w:val="000000"/>
                <w:kern w:val="21"/>
                <w:szCs w:val="21"/>
              </w:rPr>
            </w:pPr>
            <w:r>
              <w:rPr>
                <w:rFonts w:hint="eastAsia"/>
                <w:b/>
                <w:bCs/>
                <w:snapToGrid w:val="0"/>
                <w:color w:val="000000"/>
                <w:kern w:val="21"/>
                <w:szCs w:val="21"/>
              </w:rPr>
              <w:t>/</w:t>
            </w:r>
          </w:p>
        </w:tc>
        <w:tc>
          <w:tcPr>
            <w:tcW w:w="1559" w:type="dxa"/>
            <w:vAlign w:val="center"/>
          </w:tcPr>
          <w:p w14:paraId="20D3D5A3">
            <w:pPr>
              <w:pStyle w:val="47"/>
              <w:spacing w:beforeLines="0" w:afterLines="0" w:line="240" w:lineRule="auto"/>
              <w:rPr>
                <w:rFonts w:ascii="Times New Roman"/>
                <w:szCs w:val="21"/>
              </w:rPr>
            </w:pPr>
            <w:r>
              <w:rPr>
                <w:rFonts w:hint="eastAsia" w:ascii="Times New Roman"/>
                <w:szCs w:val="21"/>
              </w:rPr>
              <w:t>0.575</w:t>
            </w:r>
          </w:p>
        </w:tc>
        <w:tc>
          <w:tcPr>
            <w:tcW w:w="1761" w:type="dxa"/>
            <w:vAlign w:val="center"/>
          </w:tcPr>
          <w:p w14:paraId="79B7982A">
            <w:pPr>
              <w:jc w:val="center"/>
              <w:rPr>
                <w:snapToGrid w:val="0"/>
                <w:kern w:val="21"/>
                <w:szCs w:val="21"/>
              </w:rPr>
            </w:pPr>
            <w:r>
              <w:rPr>
                <w:rFonts w:hint="eastAsia"/>
                <w:snapToGrid w:val="0"/>
                <w:kern w:val="21"/>
                <w:szCs w:val="21"/>
              </w:rPr>
              <w:t>/</w:t>
            </w:r>
          </w:p>
        </w:tc>
        <w:tc>
          <w:tcPr>
            <w:tcW w:w="1825" w:type="dxa"/>
            <w:vAlign w:val="center"/>
          </w:tcPr>
          <w:p w14:paraId="13558E2E">
            <w:pPr>
              <w:pStyle w:val="47"/>
              <w:spacing w:beforeLines="0" w:afterLines="0" w:line="240" w:lineRule="auto"/>
              <w:rPr>
                <w:rFonts w:ascii="Times New Roman"/>
                <w:snapToGrid w:val="0"/>
                <w:kern w:val="21"/>
                <w:szCs w:val="21"/>
              </w:rPr>
            </w:pPr>
            <w:r>
              <w:rPr>
                <w:rFonts w:hint="eastAsia" w:ascii="Times New Roman"/>
                <w:szCs w:val="21"/>
              </w:rPr>
              <w:t>0.575</w:t>
            </w:r>
          </w:p>
        </w:tc>
        <w:tc>
          <w:tcPr>
            <w:tcW w:w="960" w:type="dxa"/>
            <w:vAlign w:val="center"/>
          </w:tcPr>
          <w:p w14:paraId="543C2532">
            <w:pPr>
              <w:jc w:val="center"/>
              <w:rPr>
                <w:snapToGrid w:val="0"/>
                <w:kern w:val="21"/>
                <w:szCs w:val="21"/>
              </w:rPr>
            </w:pPr>
            <w:r>
              <w:rPr>
                <w:rFonts w:hint="eastAsia"/>
                <w:szCs w:val="21"/>
              </w:rPr>
              <w:t>+0.575</w:t>
            </w:r>
          </w:p>
        </w:tc>
      </w:tr>
      <w:tr w14:paraId="0010C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18145D1D">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14:paraId="6044EB30">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COD</w:t>
            </w:r>
          </w:p>
        </w:tc>
        <w:tc>
          <w:tcPr>
            <w:tcW w:w="1701" w:type="dxa"/>
            <w:vAlign w:val="center"/>
          </w:tcPr>
          <w:p w14:paraId="4EFF7F7B">
            <w:pPr>
              <w:jc w:val="center"/>
              <w:rPr>
                <w:snapToGrid w:val="0"/>
                <w:color w:val="000000"/>
                <w:kern w:val="21"/>
                <w:szCs w:val="21"/>
              </w:rPr>
            </w:pPr>
            <w:r>
              <w:rPr>
                <w:rFonts w:hint="eastAsia"/>
                <w:snapToGrid w:val="0"/>
                <w:color w:val="000000"/>
                <w:kern w:val="21"/>
                <w:szCs w:val="21"/>
              </w:rPr>
              <w:t>/</w:t>
            </w:r>
          </w:p>
        </w:tc>
        <w:tc>
          <w:tcPr>
            <w:tcW w:w="1276" w:type="dxa"/>
            <w:vAlign w:val="center"/>
          </w:tcPr>
          <w:p w14:paraId="3ACA72DE">
            <w:pPr>
              <w:jc w:val="center"/>
              <w:rPr>
                <w:snapToGrid w:val="0"/>
                <w:color w:val="000000"/>
                <w:kern w:val="21"/>
                <w:szCs w:val="21"/>
              </w:rPr>
            </w:pPr>
            <w:r>
              <w:rPr>
                <w:rFonts w:hint="eastAsia"/>
                <w:snapToGrid w:val="0"/>
                <w:color w:val="000000"/>
                <w:kern w:val="21"/>
                <w:szCs w:val="21"/>
              </w:rPr>
              <w:t>/</w:t>
            </w:r>
          </w:p>
        </w:tc>
        <w:tc>
          <w:tcPr>
            <w:tcW w:w="1701" w:type="dxa"/>
            <w:vAlign w:val="center"/>
          </w:tcPr>
          <w:p w14:paraId="03A578AE">
            <w:pPr>
              <w:jc w:val="center"/>
              <w:rPr>
                <w:snapToGrid w:val="0"/>
                <w:color w:val="000000"/>
                <w:kern w:val="21"/>
                <w:szCs w:val="21"/>
              </w:rPr>
            </w:pPr>
            <w:r>
              <w:rPr>
                <w:rFonts w:hint="eastAsia"/>
                <w:snapToGrid w:val="0"/>
                <w:color w:val="000000"/>
                <w:kern w:val="21"/>
                <w:szCs w:val="21"/>
              </w:rPr>
              <w:t>/</w:t>
            </w:r>
          </w:p>
        </w:tc>
        <w:tc>
          <w:tcPr>
            <w:tcW w:w="1559" w:type="dxa"/>
            <w:vAlign w:val="center"/>
          </w:tcPr>
          <w:p w14:paraId="7E13705E">
            <w:pPr>
              <w:pStyle w:val="47"/>
              <w:spacing w:beforeLines="0" w:afterLines="0" w:line="240" w:lineRule="auto"/>
              <w:rPr>
                <w:rFonts w:ascii="Times New Roman"/>
                <w:szCs w:val="21"/>
              </w:rPr>
            </w:pPr>
            <w:r>
              <w:rPr>
                <w:rFonts w:hint="eastAsia" w:ascii="Times New Roman"/>
                <w:szCs w:val="21"/>
              </w:rPr>
              <w:t>1.8975</w:t>
            </w:r>
          </w:p>
        </w:tc>
        <w:tc>
          <w:tcPr>
            <w:tcW w:w="1761" w:type="dxa"/>
            <w:vAlign w:val="center"/>
          </w:tcPr>
          <w:p w14:paraId="4ACAB917">
            <w:pPr>
              <w:jc w:val="center"/>
              <w:rPr>
                <w:snapToGrid w:val="0"/>
                <w:color w:val="000000"/>
                <w:kern w:val="21"/>
                <w:szCs w:val="21"/>
              </w:rPr>
            </w:pPr>
            <w:r>
              <w:rPr>
                <w:rFonts w:hint="eastAsia"/>
                <w:snapToGrid w:val="0"/>
                <w:color w:val="000000"/>
                <w:kern w:val="21"/>
                <w:szCs w:val="21"/>
              </w:rPr>
              <w:t>/</w:t>
            </w:r>
          </w:p>
        </w:tc>
        <w:tc>
          <w:tcPr>
            <w:tcW w:w="1825" w:type="dxa"/>
            <w:vAlign w:val="center"/>
          </w:tcPr>
          <w:p w14:paraId="5E2B7368">
            <w:pPr>
              <w:adjustRightInd w:val="0"/>
              <w:snapToGrid w:val="0"/>
              <w:jc w:val="center"/>
              <w:rPr>
                <w:snapToGrid w:val="0"/>
                <w:color w:val="000000"/>
                <w:kern w:val="21"/>
                <w:szCs w:val="21"/>
              </w:rPr>
            </w:pPr>
            <w:r>
              <w:rPr>
                <w:rFonts w:hint="eastAsia"/>
                <w:szCs w:val="21"/>
              </w:rPr>
              <w:t>1.8975</w:t>
            </w:r>
          </w:p>
        </w:tc>
        <w:tc>
          <w:tcPr>
            <w:tcW w:w="960" w:type="dxa"/>
            <w:vAlign w:val="center"/>
          </w:tcPr>
          <w:p w14:paraId="43F744A2">
            <w:pPr>
              <w:jc w:val="center"/>
              <w:rPr>
                <w:snapToGrid w:val="0"/>
                <w:color w:val="000000"/>
                <w:kern w:val="21"/>
                <w:szCs w:val="21"/>
              </w:rPr>
            </w:pPr>
            <w:r>
              <w:rPr>
                <w:rFonts w:hint="eastAsia"/>
                <w:szCs w:val="21"/>
              </w:rPr>
              <w:t>+1.8975</w:t>
            </w:r>
          </w:p>
        </w:tc>
      </w:tr>
      <w:tr w14:paraId="07CBE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F522C45">
            <w:pPr>
              <w:pStyle w:val="47"/>
              <w:spacing w:beforeLines="0" w:afterLines="0" w:line="240" w:lineRule="auto"/>
              <w:rPr>
                <w:rFonts w:ascii="Times New Roman"/>
                <w:snapToGrid w:val="0"/>
                <w:color w:val="000000"/>
                <w:kern w:val="21"/>
                <w:szCs w:val="21"/>
              </w:rPr>
            </w:pPr>
          </w:p>
        </w:tc>
        <w:tc>
          <w:tcPr>
            <w:tcW w:w="1417" w:type="dxa"/>
            <w:vAlign w:val="center"/>
          </w:tcPr>
          <w:p w14:paraId="2E791AA0">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BOD</w:t>
            </w:r>
            <w:r>
              <w:rPr>
                <w:rFonts w:hint="eastAsia" w:ascii="Times New Roman"/>
                <w:snapToGrid w:val="0"/>
                <w:color w:val="000000"/>
                <w:kern w:val="21"/>
                <w:szCs w:val="21"/>
                <w:vertAlign w:val="subscript"/>
              </w:rPr>
              <w:t>5</w:t>
            </w:r>
          </w:p>
        </w:tc>
        <w:tc>
          <w:tcPr>
            <w:tcW w:w="1701" w:type="dxa"/>
            <w:vAlign w:val="center"/>
          </w:tcPr>
          <w:p w14:paraId="76FF3F24">
            <w:pPr>
              <w:jc w:val="center"/>
              <w:rPr>
                <w:snapToGrid w:val="0"/>
                <w:color w:val="000000"/>
                <w:kern w:val="21"/>
                <w:szCs w:val="21"/>
              </w:rPr>
            </w:pPr>
            <w:r>
              <w:rPr>
                <w:rFonts w:hint="eastAsia"/>
                <w:snapToGrid w:val="0"/>
                <w:color w:val="000000"/>
                <w:kern w:val="21"/>
                <w:szCs w:val="21"/>
              </w:rPr>
              <w:t>/</w:t>
            </w:r>
          </w:p>
        </w:tc>
        <w:tc>
          <w:tcPr>
            <w:tcW w:w="1276" w:type="dxa"/>
            <w:vAlign w:val="center"/>
          </w:tcPr>
          <w:p w14:paraId="3926522C">
            <w:pPr>
              <w:jc w:val="center"/>
              <w:rPr>
                <w:snapToGrid w:val="0"/>
                <w:color w:val="000000"/>
                <w:kern w:val="21"/>
                <w:szCs w:val="21"/>
              </w:rPr>
            </w:pPr>
            <w:r>
              <w:rPr>
                <w:rFonts w:hint="eastAsia"/>
                <w:snapToGrid w:val="0"/>
                <w:color w:val="000000"/>
                <w:kern w:val="21"/>
                <w:szCs w:val="21"/>
              </w:rPr>
              <w:t>/</w:t>
            </w:r>
          </w:p>
        </w:tc>
        <w:tc>
          <w:tcPr>
            <w:tcW w:w="1701" w:type="dxa"/>
            <w:vAlign w:val="center"/>
          </w:tcPr>
          <w:p w14:paraId="0E2B32D6">
            <w:pPr>
              <w:jc w:val="center"/>
              <w:rPr>
                <w:snapToGrid w:val="0"/>
                <w:color w:val="000000"/>
                <w:kern w:val="21"/>
                <w:szCs w:val="21"/>
              </w:rPr>
            </w:pPr>
            <w:r>
              <w:rPr>
                <w:rFonts w:hint="eastAsia"/>
                <w:snapToGrid w:val="0"/>
                <w:color w:val="000000"/>
                <w:kern w:val="21"/>
                <w:szCs w:val="21"/>
              </w:rPr>
              <w:t>/</w:t>
            </w:r>
          </w:p>
        </w:tc>
        <w:tc>
          <w:tcPr>
            <w:tcW w:w="1559" w:type="dxa"/>
            <w:vAlign w:val="center"/>
          </w:tcPr>
          <w:p w14:paraId="2A49EED8">
            <w:pPr>
              <w:pStyle w:val="47"/>
              <w:spacing w:beforeLines="0" w:afterLines="0" w:line="240" w:lineRule="auto"/>
              <w:rPr>
                <w:rFonts w:ascii="Times New Roman"/>
                <w:szCs w:val="21"/>
              </w:rPr>
            </w:pPr>
            <w:r>
              <w:rPr>
                <w:rFonts w:hint="eastAsia" w:ascii="Times New Roman"/>
                <w:szCs w:val="21"/>
              </w:rPr>
              <w:t>0.5837</w:t>
            </w:r>
          </w:p>
        </w:tc>
        <w:tc>
          <w:tcPr>
            <w:tcW w:w="1761" w:type="dxa"/>
            <w:vAlign w:val="center"/>
          </w:tcPr>
          <w:p w14:paraId="715CA9A9">
            <w:pPr>
              <w:jc w:val="center"/>
              <w:rPr>
                <w:snapToGrid w:val="0"/>
                <w:color w:val="000000"/>
                <w:kern w:val="21"/>
                <w:szCs w:val="21"/>
              </w:rPr>
            </w:pPr>
            <w:r>
              <w:rPr>
                <w:rFonts w:hint="eastAsia"/>
                <w:snapToGrid w:val="0"/>
                <w:color w:val="000000"/>
                <w:kern w:val="21"/>
                <w:szCs w:val="21"/>
              </w:rPr>
              <w:t>/</w:t>
            </w:r>
          </w:p>
        </w:tc>
        <w:tc>
          <w:tcPr>
            <w:tcW w:w="1825" w:type="dxa"/>
            <w:vAlign w:val="center"/>
          </w:tcPr>
          <w:p w14:paraId="0AE5A665">
            <w:pPr>
              <w:adjustRightInd w:val="0"/>
              <w:snapToGrid w:val="0"/>
              <w:jc w:val="center"/>
              <w:rPr>
                <w:snapToGrid w:val="0"/>
                <w:color w:val="000000"/>
                <w:kern w:val="21"/>
                <w:szCs w:val="21"/>
              </w:rPr>
            </w:pPr>
            <w:r>
              <w:rPr>
                <w:rFonts w:hint="eastAsia"/>
                <w:szCs w:val="21"/>
              </w:rPr>
              <w:t>0.5837</w:t>
            </w:r>
          </w:p>
        </w:tc>
        <w:tc>
          <w:tcPr>
            <w:tcW w:w="960" w:type="dxa"/>
            <w:vAlign w:val="center"/>
          </w:tcPr>
          <w:p w14:paraId="272D16AF">
            <w:pPr>
              <w:jc w:val="center"/>
              <w:rPr>
                <w:snapToGrid w:val="0"/>
                <w:color w:val="000000"/>
                <w:kern w:val="21"/>
                <w:szCs w:val="21"/>
              </w:rPr>
            </w:pPr>
            <w:r>
              <w:rPr>
                <w:rFonts w:hint="eastAsia"/>
                <w:szCs w:val="21"/>
              </w:rPr>
              <w:t>+0.5837</w:t>
            </w:r>
          </w:p>
        </w:tc>
      </w:tr>
      <w:tr w14:paraId="2C896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58C3D51">
            <w:pPr>
              <w:pStyle w:val="47"/>
              <w:spacing w:beforeLines="0" w:afterLines="0" w:line="240" w:lineRule="auto"/>
              <w:rPr>
                <w:rFonts w:ascii="Times New Roman"/>
                <w:snapToGrid w:val="0"/>
                <w:color w:val="000000"/>
                <w:kern w:val="21"/>
                <w:szCs w:val="21"/>
              </w:rPr>
            </w:pPr>
          </w:p>
        </w:tc>
        <w:tc>
          <w:tcPr>
            <w:tcW w:w="1417" w:type="dxa"/>
            <w:vAlign w:val="center"/>
          </w:tcPr>
          <w:p w14:paraId="601923F1">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NH</w:t>
            </w:r>
            <w:r>
              <w:rPr>
                <w:rFonts w:hint="eastAsia" w:ascii="Times New Roman"/>
                <w:snapToGrid w:val="0"/>
                <w:color w:val="000000"/>
                <w:kern w:val="21"/>
                <w:szCs w:val="21"/>
                <w:vertAlign w:val="subscript"/>
              </w:rPr>
              <w:t>3</w:t>
            </w:r>
            <w:r>
              <w:rPr>
                <w:rFonts w:hint="eastAsia" w:ascii="Times New Roman"/>
                <w:snapToGrid w:val="0"/>
                <w:color w:val="000000"/>
                <w:kern w:val="21"/>
                <w:szCs w:val="21"/>
              </w:rPr>
              <w:t>-N</w:t>
            </w:r>
          </w:p>
        </w:tc>
        <w:tc>
          <w:tcPr>
            <w:tcW w:w="1701" w:type="dxa"/>
            <w:vAlign w:val="center"/>
          </w:tcPr>
          <w:p w14:paraId="3F84B462">
            <w:pPr>
              <w:jc w:val="center"/>
              <w:rPr>
                <w:snapToGrid w:val="0"/>
                <w:color w:val="000000"/>
                <w:kern w:val="21"/>
                <w:szCs w:val="21"/>
              </w:rPr>
            </w:pPr>
            <w:r>
              <w:rPr>
                <w:rFonts w:hint="eastAsia"/>
                <w:snapToGrid w:val="0"/>
                <w:color w:val="000000"/>
                <w:kern w:val="21"/>
                <w:szCs w:val="21"/>
              </w:rPr>
              <w:t>/</w:t>
            </w:r>
          </w:p>
        </w:tc>
        <w:tc>
          <w:tcPr>
            <w:tcW w:w="1276" w:type="dxa"/>
            <w:vAlign w:val="center"/>
          </w:tcPr>
          <w:p w14:paraId="6108F9A7">
            <w:pPr>
              <w:jc w:val="center"/>
              <w:rPr>
                <w:snapToGrid w:val="0"/>
                <w:color w:val="000000"/>
                <w:kern w:val="21"/>
                <w:szCs w:val="21"/>
              </w:rPr>
            </w:pPr>
            <w:r>
              <w:rPr>
                <w:rFonts w:hint="eastAsia"/>
                <w:snapToGrid w:val="0"/>
                <w:color w:val="000000"/>
                <w:kern w:val="21"/>
                <w:szCs w:val="21"/>
              </w:rPr>
              <w:t>/</w:t>
            </w:r>
          </w:p>
        </w:tc>
        <w:tc>
          <w:tcPr>
            <w:tcW w:w="1701" w:type="dxa"/>
            <w:vAlign w:val="center"/>
          </w:tcPr>
          <w:p w14:paraId="305E64A5">
            <w:pPr>
              <w:jc w:val="center"/>
              <w:rPr>
                <w:snapToGrid w:val="0"/>
                <w:color w:val="000000"/>
                <w:kern w:val="21"/>
                <w:szCs w:val="21"/>
              </w:rPr>
            </w:pPr>
            <w:r>
              <w:rPr>
                <w:rFonts w:hint="eastAsia"/>
                <w:snapToGrid w:val="0"/>
                <w:color w:val="000000"/>
                <w:kern w:val="21"/>
                <w:szCs w:val="21"/>
              </w:rPr>
              <w:t>/</w:t>
            </w:r>
          </w:p>
        </w:tc>
        <w:tc>
          <w:tcPr>
            <w:tcW w:w="1559" w:type="dxa"/>
            <w:vAlign w:val="center"/>
          </w:tcPr>
          <w:p w14:paraId="3047D3C7">
            <w:pPr>
              <w:pStyle w:val="47"/>
              <w:spacing w:beforeLines="0" w:afterLines="0" w:line="240" w:lineRule="auto"/>
              <w:rPr>
                <w:rFonts w:ascii="Times New Roman"/>
                <w:szCs w:val="21"/>
              </w:rPr>
            </w:pPr>
            <w:r>
              <w:rPr>
                <w:rFonts w:hint="eastAsia" w:ascii="Times New Roman"/>
                <w:szCs w:val="21"/>
              </w:rPr>
              <w:t>0.3524</w:t>
            </w:r>
          </w:p>
        </w:tc>
        <w:tc>
          <w:tcPr>
            <w:tcW w:w="1761" w:type="dxa"/>
            <w:vAlign w:val="center"/>
          </w:tcPr>
          <w:p w14:paraId="4E9437DC">
            <w:pPr>
              <w:jc w:val="center"/>
              <w:rPr>
                <w:snapToGrid w:val="0"/>
                <w:color w:val="000000"/>
                <w:kern w:val="21"/>
                <w:szCs w:val="21"/>
              </w:rPr>
            </w:pPr>
            <w:r>
              <w:rPr>
                <w:rFonts w:hint="eastAsia"/>
                <w:snapToGrid w:val="0"/>
                <w:color w:val="000000"/>
                <w:kern w:val="21"/>
                <w:szCs w:val="21"/>
              </w:rPr>
              <w:t>/</w:t>
            </w:r>
          </w:p>
        </w:tc>
        <w:tc>
          <w:tcPr>
            <w:tcW w:w="1825" w:type="dxa"/>
            <w:vAlign w:val="center"/>
          </w:tcPr>
          <w:p w14:paraId="272FC01A">
            <w:pPr>
              <w:adjustRightInd w:val="0"/>
              <w:snapToGrid w:val="0"/>
              <w:jc w:val="center"/>
              <w:rPr>
                <w:snapToGrid w:val="0"/>
                <w:color w:val="000000"/>
                <w:kern w:val="21"/>
                <w:szCs w:val="21"/>
              </w:rPr>
            </w:pPr>
            <w:r>
              <w:rPr>
                <w:rFonts w:hint="eastAsia"/>
                <w:szCs w:val="21"/>
              </w:rPr>
              <w:t>0.3524</w:t>
            </w:r>
          </w:p>
        </w:tc>
        <w:tc>
          <w:tcPr>
            <w:tcW w:w="960" w:type="dxa"/>
            <w:vAlign w:val="center"/>
          </w:tcPr>
          <w:p w14:paraId="6DE95C5E">
            <w:pPr>
              <w:jc w:val="center"/>
              <w:rPr>
                <w:snapToGrid w:val="0"/>
                <w:color w:val="000000"/>
                <w:kern w:val="21"/>
                <w:szCs w:val="21"/>
              </w:rPr>
            </w:pPr>
            <w:r>
              <w:rPr>
                <w:rFonts w:hint="eastAsia"/>
                <w:szCs w:val="21"/>
              </w:rPr>
              <w:t>+0.3524</w:t>
            </w:r>
          </w:p>
        </w:tc>
      </w:tr>
      <w:tr w14:paraId="19757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BBF7EF8">
            <w:pPr>
              <w:pStyle w:val="47"/>
              <w:spacing w:beforeLines="0" w:afterLines="0" w:line="240" w:lineRule="auto"/>
              <w:rPr>
                <w:rFonts w:ascii="Times New Roman"/>
                <w:snapToGrid w:val="0"/>
                <w:color w:val="000000"/>
                <w:kern w:val="21"/>
                <w:szCs w:val="21"/>
              </w:rPr>
            </w:pPr>
          </w:p>
        </w:tc>
        <w:tc>
          <w:tcPr>
            <w:tcW w:w="1417" w:type="dxa"/>
            <w:vAlign w:val="center"/>
          </w:tcPr>
          <w:p w14:paraId="6C76BBD8">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SS</w:t>
            </w:r>
          </w:p>
        </w:tc>
        <w:tc>
          <w:tcPr>
            <w:tcW w:w="1701" w:type="dxa"/>
            <w:vAlign w:val="center"/>
          </w:tcPr>
          <w:p w14:paraId="22113FD0">
            <w:pPr>
              <w:jc w:val="center"/>
              <w:rPr>
                <w:snapToGrid w:val="0"/>
                <w:color w:val="000000"/>
                <w:kern w:val="21"/>
                <w:szCs w:val="21"/>
              </w:rPr>
            </w:pPr>
            <w:r>
              <w:rPr>
                <w:rFonts w:hint="eastAsia"/>
                <w:snapToGrid w:val="0"/>
                <w:color w:val="000000"/>
                <w:kern w:val="21"/>
                <w:szCs w:val="21"/>
              </w:rPr>
              <w:t>/</w:t>
            </w:r>
          </w:p>
        </w:tc>
        <w:tc>
          <w:tcPr>
            <w:tcW w:w="1276" w:type="dxa"/>
            <w:vAlign w:val="center"/>
          </w:tcPr>
          <w:p w14:paraId="0AC9C93C">
            <w:pPr>
              <w:jc w:val="center"/>
              <w:rPr>
                <w:snapToGrid w:val="0"/>
                <w:color w:val="000000"/>
                <w:kern w:val="21"/>
                <w:szCs w:val="21"/>
              </w:rPr>
            </w:pPr>
            <w:r>
              <w:rPr>
                <w:rFonts w:hint="eastAsia"/>
                <w:snapToGrid w:val="0"/>
                <w:color w:val="000000"/>
                <w:kern w:val="21"/>
                <w:szCs w:val="21"/>
              </w:rPr>
              <w:t>/</w:t>
            </w:r>
          </w:p>
        </w:tc>
        <w:tc>
          <w:tcPr>
            <w:tcW w:w="1701" w:type="dxa"/>
            <w:vAlign w:val="center"/>
          </w:tcPr>
          <w:p w14:paraId="7A39BEE3">
            <w:pPr>
              <w:jc w:val="center"/>
              <w:rPr>
                <w:snapToGrid w:val="0"/>
                <w:color w:val="000000"/>
                <w:kern w:val="21"/>
                <w:szCs w:val="21"/>
              </w:rPr>
            </w:pPr>
            <w:r>
              <w:rPr>
                <w:rFonts w:hint="eastAsia"/>
                <w:snapToGrid w:val="0"/>
                <w:color w:val="000000"/>
                <w:kern w:val="21"/>
                <w:szCs w:val="21"/>
              </w:rPr>
              <w:t>/</w:t>
            </w:r>
          </w:p>
        </w:tc>
        <w:tc>
          <w:tcPr>
            <w:tcW w:w="1559" w:type="dxa"/>
            <w:vAlign w:val="center"/>
          </w:tcPr>
          <w:p w14:paraId="145CFE3B">
            <w:pPr>
              <w:pStyle w:val="47"/>
              <w:spacing w:beforeLines="0" w:afterLines="0" w:line="240" w:lineRule="auto"/>
              <w:rPr>
                <w:rFonts w:ascii="Times New Roman"/>
                <w:szCs w:val="21"/>
              </w:rPr>
            </w:pPr>
            <w:r>
              <w:rPr>
                <w:rFonts w:hint="eastAsia" w:ascii="Times New Roman"/>
                <w:szCs w:val="21"/>
              </w:rPr>
              <w:t>0.0336</w:t>
            </w:r>
          </w:p>
        </w:tc>
        <w:tc>
          <w:tcPr>
            <w:tcW w:w="1761" w:type="dxa"/>
            <w:vAlign w:val="center"/>
          </w:tcPr>
          <w:p w14:paraId="4E91E956">
            <w:pPr>
              <w:jc w:val="center"/>
              <w:rPr>
                <w:snapToGrid w:val="0"/>
                <w:color w:val="000000"/>
                <w:kern w:val="21"/>
                <w:szCs w:val="21"/>
              </w:rPr>
            </w:pPr>
            <w:r>
              <w:rPr>
                <w:rFonts w:hint="eastAsia"/>
                <w:snapToGrid w:val="0"/>
                <w:color w:val="000000"/>
                <w:kern w:val="21"/>
                <w:szCs w:val="21"/>
              </w:rPr>
              <w:t>/</w:t>
            </w:r>
          </w:p>
        </w:tc>
        <w:tc>
          <w:tcPr>
            <w:tcW w:w="1825" w:type="dxa"/>
            <w:vAlign w:val="center"/>
          </w:tcPr>
          <w:p w14:paraId="4EB16228">
            <w:pPr>
              <w:adjustRightInd w:val="0"/>
              <w:snapToGrid w:val="0"/>
              <w:jc w:val="center"/>
              <w:rPr>
                <w:snapToGrid w:val="0"/>
                <w:color w:val="000000"/>
                <w:kern w:val="21"/>
                <w:szCs w:val="21"/>
              </w:rPr>
            </w:pPr>
            <w:r>
              <w:rPr>
                <w:rFonts w:hint="eastAsia"/>
                <w:szCs w:val="21"/>
              </w:rPr>
              <w:t>0.0336</w:t>
            </w:r>
          </w:p>
        </w:tc>
        <w:tc>
          <w:tcPr>
            <w:tcW w:w="960" w:type="dxa"/>
            <w:vAlign w:val="center"/>
          </w:tcPr>
          <w:p w14:paraId="060F712D">
            <w:pPr>
              <w:jc w:val="center"/>
              <w:rPr>
                <w:snapToGrid w:val="0"/>
                <w:color w:val="000000"/>
                <w:kern w:val="21"/>
                <w:szCs w:val="21"/>
              </w:rPr>
            </w:pPr>
            <w:r>
              <w:rPr>
                <w:rFonts w:hint="eastAsia"/>
                <w:szCs w:val="21"/>
              </w:rPr>
              <w:t>+0.0336</w:t>
            </w:r>
          </w:p>
        </w:tc>
      </w:tr>
      <w:tr w14:paraId="14745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9865167">
            <w:pPr>
              <w:pStyle w:val="47"/>
              <w:spacing w:beforeLines="0" w:afterLines="0" w:line="240" w:lineRule="auto"/>
              <w:rPr>
                <w:rFonts w:ascii="Times New Roman"/>
                <w:snapToGrid w:val="0"/>
                <w:color w:val="000000"/>
                <w:kern w:val="21"/>
                <w:szCs w:val="21"/>
              </w:rPr>
            </w:pPr>
          </w:p>
        </w:tc>
        <w:tc>
          <w:tcPr>
            <w:tcW w:w="1417" w:type="dxa"/>
            <w:vAlign w:val="center"/>
          </w:tcPr>
          <w:p w14:paraId="10EDC7A5">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TP</w:t>
            </w:r>
          </w:p>
        </w:tc>
        <w:tc>
          <w:tcPr>
            <w:tcW w:w="1701" w:type="dxa"/>
            <w:vAlign w:val="center"/>
          </w:tcPr>
          <w:p w14:paraId="0D10B5A6">
            <w:pPr>
              <w:jc w:val="center"/>
              <w:rPr>
                <w:snapToGrid w:val="0"/>
                <w:color w:val="000000"/>
                <w:kern w:val="21"/>
                <w:szCs w:val="21"/>
              </w:rPr>
            </w:pPr>
            <w:r>
              <w:rPr>
                <w:rFonts w:hint="eastAsia"/>
                <w:snapToGrid w:val="0"/>
                <w:color w:val="000000"/>
                <w:kern w:val="21"/>
                <w:szCs w:val="21"/>
              </w:rPr>
              <w:t>/</w:t>
            </w:r>
          </w:p>
        </w:tc>
        <w:tc>
          <w:tcPr>
            <w:tcW w:w="1276" w:type="dxa"/>
            <w:vAlign w:val="center"/>
          </w:tcPr>
          <w:p w14:paraId="55155754">
            <w:pPr>
              <w:jc w:val="center"/>
              <w:rPr>
                <w:snapToGrid w:val="0"/>
                <w:color w:val="000000"/>
                <w:kern w:val="21"/>
                <w:szCs w:val="21"/>
              </w:rPr>
            </w:pPr>
            <w:r>
              <w:rPr>
                <w:rFonts w:hint="eastAsia"/>
                <w:snapToGrid w:val="0"/>
                <w:color w:val="000000"/>
                <w:kern w:val="21"/>
                <w:szCs w:val="21"/>
              </w:rPr>
              <w:t>/</w:t>
            </w:r>
          </w:p>
        </w:tc>
        <w:tc>
          <w:tcPr>
            <w:tcW w:w="1701" w:type="dxa"/>
            <w:vAlign w:val="center"/>
          </w:tcPr>
          <w:p w14:paraId="2EC409EF">
            <w:pPr>
              <w:jc w:val="center"/>
              <w:rPr>
                <w:snapToGrid w:val="0"/>
                <w:color w:val="000000"/>
                <w:kern w:val="21"/>
                <w:szCs w:val="21"/>
              </w:rPr>
            </w:pPr>
            <w:r>
              <w:rPr>
                <w:rFonts w:hint="eastAsia"/>
                <w:snapToGrid w:val="0"/>
                <w:color w:val="000000"/>
                <w:kern w:val="21"/>
                <w:szCs w:val="21"/>
              </w:rPr>
              <w:t>/</w:t>
            </w:r>
          </w:p>
        </w:tc>
        <w:tc>
          <w:tcPr>
            <w:tcW w:w="1559" w:type="dxa"/>
            <w:vAlign w:val="center"/>
          </w:tcPr>
          <w:p w14:paraId="31BDD630">
            <w:pPr>
              <w:pStyle w:val="47"/>
              <w:spacing w:beforeLines="0" w:afterLines="0" w:line="240" w:lineRule="auto"/>
              <w:rPr>
                <w:rFonts w:ascii="Times New Roman"/>
                <w:szCs w:val="21"/>
              </w:rPr>
            </w:pPr>
            <w:r>
              <w:rPr>
                <w:rFonts w:hint="eastAsia" w:ascii="Times New Roman"/>
                <w:szCs w:val="21"/>
              </w:rPr>
              <w:t>0.0134</w:t>
            </w:r>
          </w:p>
        </w:tc>
        <w:tc>
          <w:tcPr>
            <w:tcW w:w="1761" w:type="dxa"/>
            <w:vAlign w:val="center"/>
          </w:tcPr>
          <w:p w14:paraId="5ACECA66">
            <w:pPr>
              <w:jc w:val="center"/>
              <w:rPr>
                <w:snapToGrid w:val="0"/>
                <w:color w:val="000000"/>
                <w:kern w:val="21"/>
                <w:szCs w:val="21"/>
              </w:rPr>
            </w:pPr>
            <w:r>
              <w:rPr>
                <w:rFonts w:hint="eastAsia"/>
                <w:snapToGrid w:val="0"/>
                <w:color w:val="000000"/>
                <w:kern w:val="21"/>
                <w:szCs w:val="21"/>
              </w:rPr>
              <w:t>/</w:t>
            </w:r>
          </w:p>
        </w:tc>
        <w:tc>
          <w:tcPr>
            <w:tcW w:w="1825" w:type="dxa"/>
            <w:vAlign w:val="center"/>
          </w:tcPr>
          <w:p w14:paraId="4A379886">
            <w:pPr>
              <w:adjustRightInd w:val="0"/>
              <w:snapToGrid w:val="0"/>
              <w:jc w:val="center"/>
              <w:rPr>
                <w:snapToGrid w:val="0"/>
                <w:color w:val="000000"/>
                <w:kern w:val="21"/>
                <w:szCs w:val="21"/>
              </w:rPr>
            </w:pPr>
            <w:r>
              <w:rPr>
                <w:rFonts w:hint="eastAsia"/>
                <w:szCs w:val="21"/>
              </w:rPr>
              <w:t>0.0134</w:t>
            </w:r>
          </w:p>
        </w:tc>
        <w:tc>
          <w:tcPr>
            <w:tcW w:w="960" w:type="dxa"/>
            <w:vAlign w:val="center"/>
          </w:tcPr>
          <w:p w14:paraId="51E334FB">
            <w:pPr>
              <w:jc w:val="center"/>
              <w:rPr>
                <w:snapToGrid w:val="0"/>
                <w:color w:val="000000"/>
                <w:kern w:val="21"/>
                <w:szCs w:val="21"/>
              </w:rPr>
            </w:pPr>
            <w:r>
              <w:rPr>
                <w:rFonts w:hint="eastAsia"/>
                <w:szCs w:val="21"/>
              </w:rPr>
              <w:t>+0.0134</w:t>
            </w:r>
          </w:p>
        </w:tc>
      </w:tr>
      <w:tr w14:paraId="12040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51C77AD">
            <w:pPr>
              <w:pStyle w:val="47"/>
              <w:spacing w:beforeLines="0" w:afterLines="0" w:line="240" w:lineRule="auto"/>
              <w:rPr>
                <w:rFonts w:ascii="Times New Roman"/>
                <w:snapToGrid w:val="0"/>
                <w:color w:val="000000"/>
                <w:kern w:val="21"/>
                <w:szCs w:val="21"/>
              </w:rPr>
            </w:pPr>
          </w:p>
        </w:tc>
        <w:tc>
          <w:tcPr>
            <w:tcW w:w="1417" w:type="dxa"/>
            <w:vAlign w:val="center"/>
          </w:tcPr>
          <w:p w14:paraId="5027E49D">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TN</w:t>
            </w:r>
          </w:p>
        </w:tc>
        <w:tc>
          <w:tcPr>
            <w:tcW w:w="1701" w:type="dxa"/>
            <w:vAlign w:val="center"/>
          </w:tcPr>
          <w:p w14:paraId="257A40CA">
            <w:pPr>
              <w:jc w:val="center"/>
              <w:rPr>
                <w:snapToGrid w:val="0"/>
                <w:color w:val="000000"/>
                <w:kern w:val="21"/>
                <w:szCs w:val="21"/>
              </w:rPr>
            </w:pPr>
            <w:r>
              <w:rPr>
                <w:rFonts w:hint="eastAsia"/>
                <w:snapToGrid w:val="0"/>
                <w:color w:val="000000"/>
                <w:kern w:val="21"/>
                <w:szCs w:val="21"/>
              </w:rPr>
              <w:t>/</w:t>
            </w:r>
          </w:p>
        </w:tc>
        <w:tc>
          <w:tcPr>
            <w:tcW w:w="1276" w:type="dxa"/>
            <w:vAlign w:val="center"/>
          </w:tcPr>
          <w:p w14:paraId="5E14527C">
            <w:pPr>
              <w:jc w:val="center"/>
              <w:rPr>
                <w:snapToGrid w:val="0"/>
                <w:color w:val="000000"/>
                <w:kern w:val="21"/>
                <w:szCs w:val="21"/>
              </w:rPr>
            </w:pPr>
            <w:r>
              <w:rPr>
                <w:rFonts w:hint="eastAsia"/>
                <w:snapToGrid w:val="0"/>
                <w:color w:val="000000"/>
                <w:kern w:val="21"/>
                <w:szCs w:val="21"/>
              </w:rPr>
              <w:t>/</w:t>
            </w:r>
          </w:p>
        </w:tc>
        <w:tc>
          <w:tcPr>
            <w:tcW w:w="1701" w:type="dxa"/>
            <w:vAlign w:val="center"/>
          </w:tcPr>
          <w:p w14:paraId="4CAD355D">
            <w:pPr>
              <w:jc w:val="center"/>
              <w:rPr>
                <w:snapToGrid w:val="0"/>
                <w:color w:val="000000"/>
                <w:kern w:val="21"/>
                <w:szCs w:val="21"/>
              </w:rPr>
            </w:pPr>
            <w:r>
              <w:rPr>
                <w:rFonts w:hint="eastAsia"/>
                <w:snapToGrid w:val="0"/>
                <w:color w:val="000000"/>
                <w:kern w:val="21"/>
                <w:szCs w:val="21"/>
              </w:rPr>
              <w:t>/</w:t>
            </w:r>
          </w:p>
        </w:tc>
        <w:tc>
          <w:tcPr>
            <w:tcW w:w="1559" w:type="dxa"/>
            <w:vAlign w:val="center"/>
          </w:tcPr>
          <w:p w14:paraId="2BE51437">
            <w:pPr>
              <w:pStyle w:val="47"/>
              <w:spacing w:beforeLines="0" w:afterLines="0" w:line="240" w:lineRule="auto"/>
              <w:rPr>
                <w:rFonts w:ascii="Times New Roman"/>
                <w:szCs w:val="21"/>
              </w:rPr>
            </w:pPr>
            <w:r>
              <w:rPr>
                <w:rFonts w:hint="eastAsia" w:ascii="Times New Roman"/>
                <w:szCs w:val="21"/>
              </w:rPr>
              <w:t>0.0748</w:t>
            </w:r>
          </w:p>
        </w:tc>
        <w:tc>
          <w:tcPr>
            <w:tcW w:w="1761" w:type="dxa"/>
            <w:vAlign w:val="center"/>
          </w:tcPr>
          <w:p w14:paraId="0E455D3F">
            <w:pPr>
              <w:jc w:val="center"/>
              <w:rPr>
                <w:snapToGrid w:val="0"/>
                <w:color w:val="000000"/>
                <w:kern w:val="21"/>
                <w:szCs w:val="21"/>
              </w:rPr>
            </w:pPr>
            <w:r>
              <w:rPr>
                <w:rFonts w:hint="eastAsia"/>
                <w:snapToGrid w:val="0"/>
                <w:color w:val="000000"/>
                <w:kern w:val="21"/>
                <w:szCs w:val="21"/>
              </w:rPr>
              <w:t>/</w:t>
            </w:r>
          </w:p>
        </w:tc>
        <w:tc>
          <w:tcPr>
            <w:tcW w:w="1825" w:type="dxa"/>
            <w:vAlign w:val="center"/>
          </w:tcPr>
          <w:p w14:paraId="1616F682">
            <w:pPr>
              <w:adjustRightInd w:val="0"/>
              <w:snapToGrid w:val="0"/>
              <w:jc w:val="center"/>
              <w:rPr>
                <w:snapToGrid w:val="0"/>
                <w:color w:val="000000"/>
                <w:kern w:val="21"/>
                <w:szCs w:val="21"/>
              </w:rPr>
            </w:pPr>
            <w:r>
              <w:rPr>
                <w:rFonts w:hint="eastAsia"/>
                <w:szCs w:val="21"/>
              </w:rPr>
              <w:t>0.0748</w:t>
            </w:r>
          </w:p>
        </w:tc>
        <w:tc>
          <w:tcPr>
            <w:tcW w:w="960" w:type="dxa"/>
            <w:vAlign w:val="center"/>
          </w:tcPr>
          <w:p w14:paraId="09FB8AAF">
            <w:pPr>
              <w:jc w:val="center"/>
              <w:rPr>
                <w:snapToGrid w:val="0"/>
                <w:color w:val="000000"/>
                <w:kern w:val="21"/>
                <w:szCs w:val="21"/>
              </w:rPr>
            </w:pPr>
            <w:r>
              <w:rPr>
                <w:rFonts w:hint="eastAsia"/>
                <w:szCs w:val="21"/>
              </w:rPr>
              <w:t>+0.0748</w:t>
            </w:r>
          </w:p>
        </w:tc>
      </w:tr>
      <w:tr w14:paraId="2A278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D6CA125">
            <w:pPr>
              <w:pStyle w:val="47"/>
              <w:spacing w:beforeLines="0" w:afterLines="0" w:line="240" w:lineRule="auto"/>
              <w:rPr>
                <w:rFonts w:ascii="Times New Roman"/>
                <w:snapToGrid w:val="0"/>
                <w:color w:val="000000"/>
                <w:kern w:val="21"/>
                <w:szCs w:val="21"/>
              </w:rPr>
            </w:pPr>
          </w:p>
        </w:tc>
        <w:tc>
          <w:tcPr>
            <w:tcW w:w="1417" w:type="dxa"/>
            <w:vAlign w:val="center"/>
          </w:tcPr>
          <w:p w14:paraId="3B6EC18A">
            <w:pPr>
              <w:pStyle w:val="47"/>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LAS</w:t>
            </w:r>
          </w:p>
        </w:tc>
        <w:tc>
          <w:tcPr>
            <w:tcW w:w="1701" w:type="dxa"/>
            <w:vAlign w:val="center"/>
          </w:tcPr>
          <w:p w14:paraId="23038E58">
            <w:pPr>
              <w:jc w:val="center"/>
              <w:rPr>
                <w:snapToGrid w:val="0"/>
                <w:color w:val="000000"/>
                <w:kern w:val="21"/>
                <w:szCs w:val="21"/>
              </w:rPr>
            </w:pPr>
            <w:r>
              <w:rPr>
                <w:rFonts w:hint="eastAsia"/>
                <w:snapToGrid w:val="0"/>
                <w:color w:val="000000"/>
                <w:kern w:val="21"/>
                <w:szCs w:val="21"/>
              </w:rPr>
              <w:t>/</w:t>
            </w:r>
          </w:p>
        </w:tc>
        <w:tc>
          <w:tcPr>
            <w:tcW w:w="1276" w:type="dxa"/>
            <w:vAlign w:val="center"/>
          </w:tcPr>
          <w:p w14:paraId="5A789D2F">
            <w:pPr>
              <w:jc w:val="center"/>
              <w:rPr>
                <w:snapToGrid w:val="0"/>
                <w:color w:val="000000"/>
                <w:kern w:val="21"/>
                <w:szCs w:val="21"/>
              </w:rPr>
            </w:pPr>
            <w:r>
              <w:rPr>
                <w:rFonts w:hint="eastAsia"/>
                <w:snapToGrid w:val="0"/>
                <w:color w:val="000000"/>
                <w:kern w:val="21"/>
                <w:szCs w:val="21"/>
              </w:rPr>
              <w:t>/</w:t>
            </w:r>
          </w:p>
        </w:tc>
        <w:tc>
          <w:tcPr>
            <w:tcW w:w="1701" w:type="dxa"/>
            <w:vAlign w:val="center"/>
          </w:tcPr>
          <w:p w14:paraId="6032FE65">
            <w:pPr>
              <w:jc w:val="center"/>
              <w:rPr>
                <w:snapToGrid w:val="0"/>
                <w:color w:val="000000"/>
                <w:kern w:val="21"/>
                <w:szCs w:val="21"/>
              </w:rPr>
            </w:pPr>
            <w:r>
              <w:rPr>
                <w:rFonts w:hint="eastAsia"/>
                <w:snapToGrid w:val="0"/>
                <w:color w:val="000000"/>
                <w:kern w:val="21"/>
                <w:szCs w:val="21"/>
              </w:rPr>
              <w:t>/</w:t>
            </w:r>
          </w:p>
        </w:tc>
        <w:tc>
          <w:tcPr>
            <w:tcW w:w="1559" w:type="dxa"/>
            <w:vAlign w:val="center"/>
          </w:tcPr>
          <w:p w14:paraId="1F565F3B">
            <w:pPr>
              <w:pStyle w:val="47"/>
              <w:spacing w:beforeLines="0" w:afterLines="0" w:line="240" w:lineRule="auto"/>
              <w:rPr>
                <w:rFonts w:ascii="Times New Roman"/>
                <w:szCs w:val="21"/>
              </w:rPr>
            </w:pPr>
            <w:r>
              <w:rPr>
                <w:rFonts w:hint="eastAsia" w:ascii="Times New Roman"/>
                <w:szCs w:val="21"/>
              </w:rPr>
              <w:t>0.0027</w:t>
            </w:r>
          </w:p>
        </w:tc>
        <w:tc>
          <w:tcPr>
            <w:tcW w:w="1761" w:type="dxa"/>
            <w:vAlign w:val="center"/>
          </w:tcPr>
          <w:p w14:paraId="4F901B8C">
            <w:pPr>
              <w:jc w:val="center"/>
              <w:rPr>
                <w:snapToGrid w:val="0"/>
                <w:color w:val="000000"/>
                <w:kern w:val="21"/>
                <w:szCs w:val="21"/>
              </w:rPr>
            </w:pPr>
            <w:r>
              <w:rPr>
                <w:rFonts w:hint="eastAsia"/>
                <w:snapToGrid w:val="0"/>
                <w:color w:val="000000"/>
                <w:kern w:val="21"/>
                <w:szCs w:val="21"/>
              </w:rPr>
              <w:t>/</w:t>
            </w:r>
          </w:p>
        </w:tc>
        <w:tc>
          <w:tcPr>
            <w:tcW w:w="1825" w:type="dxa"/>
            <w:vAlign w:val="center"/>
          </w:tcPr>
          <w:p w14:paraId="667D9DC7">
            <w:pPr>
              <w:adjustRightInd w:val="0"/>
              <w:snapToGrid w:val="0"/>
              <w:jc w:val="center"/>
              <w:rPr>
                <w:snapToGrid w:val="0"/>
                <w:color w:val="000000"/>
                <w:kern w:val="21"/>
                <w:szCs w:val="21"/>
              </w:rPr>
            </w:pPr>
            <w:r>
              <w:rPr>
                <w:rFonts w:hint="eastAsia"/>
                <w:szCs w:val="21"/>
              </w:rPr>
              <w:t>0.0027</w:t>
            </w:r>
          </w:p>
        </w:tc>
        <w:tc>
          <w:tcPr>
            <w:tcW w:w="960" w:type="dxa"/>
            <w:vAlign w:val="center"/>
          </w:tcPr>
          <w:p w14:paraId="7C1AC5EA">
            <w:pPr>
              <w:jc w:val="center"/>
              <w:rPr>
                <w:snapToGrid w:val="0"/>
                <w:color w:val="000000"/>
                <w:kern w:val="21"/>
                <w:szCs w:val="21"/>
              </w:rPr>
            </w:pPr>
            <w:r>
              <w:rPr>
                <w:rFonts w:hint="eastAsia"/>
                <w:szCs w:val="21"/>
              </w:rPr>
              <w:t>+0.0027</w:t>
            </w:r>
          </w:p>
        </w:tc>
      </w:tr>
      <w:tr w14:paraId="64440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4A81863A">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14:paraId="6607426C">
            <w:pPr>
              <w:pStyle w:val="47"/>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14:paraId="3F8C23E4">
            <w:pPr>
              <w:jc w:val="center"/>
              <w:rPr>
                <w:snapToGrid w:val="0"/>
                <w:color w:val="000000"/>
                <w:kern w:val="21"/>
                <w:szCs w:val="21"/>
              </w:rPr>
            </w:pPr>
            <w:r>
              <w:rPr>
                <w:rFonts w:hint="eastAsia"/>
                <w:szCs w:val="21"/>
              </w:rPr>
              <w:t>生活垃圾</w:t>
            </w:r>
          </w:p>
        </w:tc>
        <w:tc>
          <w:tcPr>
            <w:tcW w:w="1701" w:type="dxa"/>
            <w:vAlign w:val="center"/>
          </w:tcPr>
          <w:p w14:paraId="7E49C8ED">
            <w:pPr>
              <w:jc w:val="center"/>
              <w:rPr>
                <w:snapToGrid w:val="0"/>
                <w:color w:val="000000"/>
                <w:kern w:val="21"/>
                <w:szCs w:val="21"/>
              </w:rPr>
            </w:pPr>
            <w:r>
              <w:rPr>
                <w:rFonts w:hint="eastAsia"/>
                <w:snapToGrid w:val="0"/>
                <w:color w:val="000000"/>
                <w:kern w:val="21"/>
                <w:szCs w:val="21"/>
              </w:rPr>
              <w:t>/</w:t>
            </w:r>
          </w:p>
        </w:tc>
        <w:tc>
          <w:tcPr>
            <w:tcW w:w="1276" w:type="dxa"/>
            <w:vAlign w:val="center"/>
          </w:tcPr>
          <w:p w14:paraId="6FAE29E6">
            <w:pPr>
              <w:jc w:val="center"/>
              <w:rPr>
                <w:snapToGrid w:val="0"/>
                <w:color w:val="000000"/>
                <w:kern w:val="21"/>
                <w:szCs w:val="21"/>
              </w:rPr>
            </w:pPr>
            <w:r>
              <w:rPr>
                <w:rFonts w:hint="eastAsia"/>
                <w:snapToGrid w:val="0"/>
                <w:color w:val="000000"/>
                <w:kern w:val="21"/>
                <w:szCs w:val="21"/>
              </w:rPr>
              <w:t>/</w:t>
            </w:r>
          </w:p>
        </w:tc>
        <w:tc>
          <w:tcPr>
            <w:tcW w:w="1701" w:type="dxa"/>
            <w:vAlign w:val="center"/>
          </w:tcPr>
          <w:p w14:paraId="078A5BDD">
            <w:pPr>
              <w:jc w:val="center"/>
              <w:rPr>
                <w:snapToGrid w:val="0"/>
                <w:color w:val="000000"/>
                <w:kern w:val="21"/>
                <w:szCs w:val="21"/>
              </w:rPr>
            </w:pPr>
            <w:r>
              <w:rPr>
                <w:rFonts w:hint="eastAsia"/>
                <w:snapToGrid w:val="0"/>
                <w:color w:val="000000"/>
                <w:kern w:val="21"/>
                <w:szCs w:val="21"/>
              </w:rPr>
              <w:t>/</w:t>
            </w:r>
          </w:p>
        </w:tc>
        <w:tc>
          <w:tcPr>
            <w:tcW w:w="1559" w:type="dxa"/>
            <w:vAlign w:val="center"/>
          </w:tcPr>
          <w:p w14:paraId="61F2D1C6">
            <w:pPr>
              <w:jc w:val="center"/>
              <w:rPr>
                <w:snapToGrid w:val="0"/>
                <w:color w:val="000000"/>
                <w:kern w:val="21"/>
                <w:szCs w:val="21"/>
              </w:rPr>
            </w:pPr>
            <w:r>
              <w:rPr>
                <w:rFonts w:hint="eastAsia"/>
                <w:szCs w:val="21"/>
              </w:rPr>
              <w:t>1.5</w:t>
            </w:r>
          </w:p>
        </w:tc>
        <w:tc>
          <w:tcPr>
            <w:tcW w:w="1761" w:type="dxa"/>
            <w:vAlign w:val="center"/>
          </w:tcPr>
          <w:p w14:paraId="3B668461">
            <w:pPr>
              <w:jc w:val="center"/>
              <w:rPr>
                <w:snapToGrid w:val="0"/>
                <w:color w:val="000000"/>
                <w:kern w:val="21"/>
                <w:szCs w:val="21"/>
              </w:rPr>
            </w:pPr>
            <w:r>
              <w:rPr>
                <w:rFonts w:hint="eastAsia"/>
                <w:snapToGrid w:val="0"/>
                <w:color w:val="000000"/>
                <w:kern w:val="21"/>
                <w:szCs w:val="21"/>
              </w:rPr>
              <w:t>/</w:t>
            </w:r>
          </w:p>
        </w:tc>
        <w:tc>
          <w:tcPr>
            <w:tcW w:w="1825" w:type="dxa"/>
            <w:vAlign w:val="center"/>
          </w:tcPr>
          <w:p w14:paraId="66F142D8">
            <w:pPr>
              <w:jc w:val="center"/>
              <w:rPr>
                <w:snapToGrid w:val="0"/>
                <w:color w:val="000000"/>
                <w:kern w:val="21"/>
                <w:szCs w:val="21"/>
              </w:rPr>
            </w:pPr>
            <w:r>
              <w:rPr>
                <w:rFonts w:hint="eastAsia"/>
                <w:szCs w:val="21"/>
              </w:rPr>
              <w:t>1.5</w:t>
            </w:r>
          </w:p>
        </w:tc>
        <w:tc>
          <w:tcPr>
            <w:tcW w:w="960" w:type="dxa"/>
            <w:vAlign w:val="center"/>
          </w:tcPr>
          <w:p w14:paraId="509E4EDB">
            <w:pPr>
              <w:jc w:val="center"/>
              <w:rPr>
                <w:snapToGrid w:val="0"/>
                <w:color w:val="000000"/>
                <w:kern w:val="21"/>
                <w:szCs w:val="21"/>
              </w:rPr>
            </w:pPr>
            <w:r>
              <w:rPr>
                <w:szCs w:val="21"/>
              </w:rPr>
              <w:t>+</w:t>
            </w:r>
            <w:r>
              <w:rPr>
                <w:rFonts w:hint="eastAsia"/>
                <w:szCs w:val="21"/>
              </w:rPr>
              <w:t>1.5</w:t>
            </w:r>
          </w:p>
        </w:tc>
      </w:tr>
      <w:tr w14:paraId="2BA12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FEAF83F">
            <w:pPr>
              <w:pStyle w:val="47"/>
              <w:spacing w:beforeLines="0" w:afterLines="0" w:line="240" w:lineRule="auto"/>
              <w:rPr>
                <w:rFonts w:ascii="Times New Roman"/>
                <w:snapToGrid w:val="0"/>
                <w:color w:val="000000"/>
                <w:kern w:val="21"/>
                <w:szCs w:val="21"/>
              </w:rPr>
            </w:pPr>
          </w:p>
        </w:tc>
        <w:tc>
          <w:tcPr>
            <w:tcW w:w="1417" w:type="dxa"/>
            <w:vAlign w:val="center"/>
          </w:tcPr>
          <w:p w14:paraId="14424C66">
            <w:pPr>
              <w:jc w:val="center"/>
              <w:rPr>
                <w:snapToGrid w:val="0"/>
                <w:color w:val="000000"/>
                <w:kern w:val="21"/>
                <w:szCs w:val="21"/>
              </w:rPr>
            </w:pPr>
            <w:r>
              <w:rPr>
                <w:rFonts w:hint="eastAsia"/>
                <w:color w:val="000000" w:themeColor="text1"/>
                <w:szCs w:val="21"/>
                <w14:textFill>
                  <w14:solidFill>
                    <w14:schemeClr w14:val="tx1"/>
                  </w14:solidFill>
                </w14:textFill>
              </w:rPr>
              <w:t>灰渣</w:t>
            </w:r>
          </w:p>
        </w:tc>
        <w:tc>
          <w:tcPr>
            <w:tcW w:w="1701" w:type="dxa"/>
            <w:vAlign w:val="center"/>
          </w:tcPr>
          <w:p w14:paraId="4E79B1C8">
            <w:pPr>
              <w:jc w:val="center"/>
              <w:rPr>
                <w:snapToGrid w:val="0"/>
                <w:color w:val="000000"/>
                <w:kern w:val="21"/>
                <w:szCs w:val="21"/>
              </w:rPr>
            </w:pPr>
            <w:r>
              <w:rPr>
                <w:rFonts w:hint="eastAsia"/>
                <w:snapToGrid w:val="0"/>
                <w:color w:val="000000"/>
                <w:kern w:val="21"/>
                <w:szCs w:val="21"/>
              </w:rPr>
              <w:t>/</w:t>
            </w:r>
          </w:p>
        </w:tc>
        <w:tc>
          <w:tcPr>
            <w:tcW w:w="1276" w:type="dxa"/>
            <w:vAlign w:val="center"/>
          </w:tcPr>
          <w:p w14:paraId="2DA61F7F">
            <w:pPr>
              <w:jc w:val="center"/>
              <w:rPr>
                <w:snapToGrid w:val="0"/>
                <w:color w:val="000000"/>
                <w:kern w:val="21"/>
                <w:szCs w:val="21"/>
              </w:rPr>
            </w:pPr>
            <w:r>
              <w:rPr>
                <w:rFonts w:hint="eastAsia"/>
                <w:snapToGrid w:val="0"/>
                <w:color w:val="000000"/>
                <w:kern w:val="21"/>
                <w:szCs w:val="21"/>
              </w:rPr>
              <w:t>/</w:t>
            </w:r>
          </w:p>
        </w:tc>
        <w:tc>
          <w:tcPr>
            <w:tcW w:w="1701" w:type="dxa"/>
            <w:vAlign w:val="center"/>
          </w:tcPr>
          <w:p w14:paraId="59131CCF">
            <w:pPr>
              <w:jc w:val="center"/>
              <w:rPr>
                <w:snapToGrid w:val="0"/>
                <w:color w:val="000000"/>
                <w:kern w:val="21"/>
                <w:szCs w:val="21"/>
              </w:rPr>
            </w:pPr>
            <w:r>
              <w:rPr>
                <w:rFonts w:hint="eastAsia"/>
                <w:snapToGrid w:val="0"/>
                <w:color w:val="000000"/>
                <w:kern w:val="21"/>
                <w:szCs w:val="21"/>
              </w:rPr>
              <w:t>/</w:t>
            </w:r>
          </w:p>
        </w:tc>
        <w:tc>
          <w:tcPr>
            <w:tcW w:w="1559" w:type="dxa"/>
            <w:vAlign w:val="center"/>
          </w:tcPr>
          <w:p w14:paraId="4D450A97">
            <w:pPr>
              <w:jc w:val="center"/>
              <w:rPr>
                <w:snapToGrid w:val="0"/>
                <w:color w:val="000000"/>
                <w:kern w:val="21"/>
                <w:szCs w:val="21"/>
              </w:rPr>
            </w:pPr>
            <w:r>
              <w:rPr>
                <w:rFonts w:hint="eastAsia"/>
                <w:bCs/>
                <w:spacing w:val="-10"/>
                <w:szCs w:val="21"/>
              </w:rPr>
              <w:t>28.2</w:t>
            </w:r>
          </w:p>
        </w:tc>
        <w:tc>
          <w:tcPr>
            <w:tcW w:w="1761" w:type="dxa"/>
            <w:vAlign w:val="center"/>
          </w:tcPr>
          <w:p w14:paraId="6CB41114">
            <w:pPr>
              <w:jc w:val="center"/>
              <w:rPr>
                <w:snapToGrid w:val="0"/>
                <w:color w:val="000000"/>
                <w:kern w:val="21"/>
                <w:szCs w:val="21"/>
              </w:rPr>
            </w:pPr>
            <w:r>
              <w:rPr>
                <w:rFonts w:hint="eastAsia"/>
                <w:snapToGrid w:val="0"/>
                <w:color w:val="000000"/>
                <w:kern w:val="21"/>
                <w:szCs w:val="21"/>
              </w:rPr>
              <w:t>/</w:t>
            </w:r>
          </w:p>
        </w:tc>
        <w:tc>
          <w:tcPr>
            <w:tcW w:w="1825" w:type="dxa"/>
            <w:vAlign w:val="center"/>
          </w:tcPr>
          <w:p w14:paraId="53001E61">
            <w:pPr>
              <w:jc w:val="center"/>
              <w:rPr>
                <w:snapToGrid w:val="0"/>
                <w:color w:val="000000"/>
                <w:kern w:val="21"/>
                <w:szCs w:val="21"/>
              </w:rPr>
            </w:pPr>
            <w:r>
              <w:rPr>
                <w:rFonts w:hint="eastAsia"/>
                <w:bCs/>
                <w:spacing w:val="-10"/>
                <w:szCs w:val="21"/>
              </w:rPr>
              <w:t>28.2</w:t>
            </w:r>
          </w:p>
        </w:tc>
        <w:tc>
          <w:tcPr>
            <w:tcW w:w="960" w:type="dxa"/>
            <w:vAlign w:val="center"/>
          </w:tcPr>
          <w:p w14:paraId="469A61A7">
            <w:pPr>
              <w:jc w:val="center"/>
              <w:rPr>
                <w:snapToGrid w:val="0"/>
                <w:color w:val="000000"/>
                <w:kern w:val="21"/>
                <w:szCs w:val="21"/>
              </w:rPr>
            </w:pPr>
            <w:r>
              <w:rPr>
                <w:rFonts w:hint="eastAsia"/>
                <w:bCs/>
                <w:spacing w:val="-10"/>
                <w:szCs w:val="21"/>
              </w:rPr>
              <w:t>+28.2</w:t>
            </w:r>
          </w:p>
        </w:tc>
      </w:tr>
      <w:tr w14:paraId="466CC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10F5DB6">
            <w:pPr>
              <w:pStyle w:val="47"/>
              <w:spacing w:beforeLines="0" w:afterLines="0" w:line="240" w:lineRule="auto"/>
              <w:rPr>
                <w:rFonts w:ascii="Times New Roman"/>
                <w:snapToGrid w:val="0"/>
                <w:color w:val="000000"/>
                <w:kern w:val="21"/>
                <w:szCs w:val="21"/>
              </w:rPr>
            </w:pPr>
          </w:p>
        </w:tc>
        <w:tc>
          <w:tcPr>
            <w:tcW w:w="1417" w:type="dxa"/>
            <w:vAlign w:val="center"/>
          </w:tcPr>
          <w:p w14:paraId="258B0B80">
            <w:pPr>
              <w:jc w:val="center"/>
              <w:rPr>
                <w:snapToGrid w:val="0"/>
                <w:color w:val="000000"/>
                <w:kern w:val="21"/>
                <w:szCs w:val="21"/>
              </w:rPr>
            </w:pPr>
            <w:r>
              <w:rPr>
                <w:rFonts w:hint="eastAsia"/>
                <w:color w:val="000000" w:themeColor="text1"/>
                <w:szCs w:val="21"/>
                <w14:textFill>
                  <w14:solidFill>
                    <w14:schemeClr w14:val="tx1"/>
                  </w14:solidFill>
                </w14:textFill>
              </w:rPr>
              <w:t>废包装材料</w:t>
            </w:r>
          </w:p>
        </w:tc>
        <w:tc>
          <w:tcPr>
            <w:tcW w:w="1701" w:type="dxa"/>
            <w:vAlign w:val="center"/>
          </w:tcPr>
          <w:p w14:paraId="6244F50E">
            <w:pPr>
              <w:jc w:val="center"/>
              <w:rPr>
                <w:snapToGrid w:val="0"/>
                <w:color w:val="000000"/>
                <w:kern w:val="21"/>
                <w:szCs w:val="21"/>
              </w:rPr>
            </w:pPr>
            <w:r>
              <w:rPr>
                <w:rFonts w:hint="eastAsia"/>
                <w:snapToGrid w:val="0"/>
                <w:color w:val="000000"/>
                <w:kern w:val="21"/>
                <w:szCs w:val="21"/>
              </w:rPr>
              <w:t>/</w:t>
            </w:r>
          </w:p>
        </w:tc>
        <w:tc>
          <w:tcPr>
            <w:tcW w:w="1276" w:type="dxa"/>
            <w:vAlign w:val="center"/>
          </w:tcPr>
          <w:p w14:paraId="0A7A05D6">
            <w:pPr>
              <w:jc w:val="center"/>
              <w:rPr>
                <w:snapToGrid w:val="0"/>
                <w:color w:val="000000"/>
                <w:kern w:val="21"/>
                <w:szCs w:val="21"/>
              </w:rPr>
            </w:pPr>
            <w:r>
              <w:rPr>
                <w:rFonts w:hint="eastAsia"/>
                <w:snapToGrid w:val="0"/>
                <w:color w:val="000000"/>
                <w:kern w:val="21"/>
                <w:szCs w:val="21"/>
              </w:rPr>
              <w:t>/</w:t>
            </w:r>
          </w:p>
        </w:tc>
        <w:tc>
          <w:tcPr>
            <w:tcW w:w="1701" w:type="dxa"/>
            <w:vAlign w:val="center"/>
          </w:tcPr>
          <w:p w14:paraId="063E9DDD">
            <w:pPr>
              <w:jc w:val="center"/>
              <w:rPr>
                <w:snapToGrid w:val="0"/>
                <w:color w:val="000000"/>
                <w:kern w:val="21"/>
                <w:szCs w:val="21"/>
              </w:rPr>
            </w:pPr>
            <w:r>
              <w:rPr>
                <w:rFonts w:hint="eastAsia"/>
                <w:snapToGrid w:val="0"/>
                <w:color w:val="000000"/>
                <w:kern w:val="21"/>
                <w:szCs w:val="21"/>
              </w:rPr>
              <w:t>/</w:t>
            </w:r>
          </w:p>
        </w:tc>
        <w:tc>
          <w:tcPr>
            <w:tcW w:w="1559" w:type="dxa"/>
            <w:vAlign w:val="center"/>
          </w:tcPr>
          <w:p w14:paraId="2B3AE6D3">
            <w:pPr>
              <w:jc w:val="center"/>
              <w:rPr>
                <w:snapToGrid w:val="0"/>
                <w:color w:val="000000"/>
                <w:kern w:val="21"/>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8</w:t>
            </w:r>
          </w:p>
        </w:tc>
        <w:tc>
          <w:tcPr>
            <w:tcW w:w="1761" w:type="dxa"/>
            <w:vAlign w:val="center"/>
          </w:tcPr>
          <w:p w14:paraId="0DB607B2">
            <w:pPr>
              <w:jc w:val="center"/>
              <w:rPr>
                <w:snapToGrid w:val="0"/>
                <w:color w:val="000000"/>
                <w:kern w:val="21"/>
                <w:szCs w:val="21"/>
              </w:rPr>
            </w:pPr>
            <w:r>
              <w:rPr>
                <w:rFonts w:hint="eastAsia"/>
                <w:snapToGrid w:val="0"/>
                <w:color w:val="000000"/>
                <w:kern w:val="21"/>
                <w:szCs w:val="21"/>
              </w:rPr>
              <w:t>/</w:t>
            </w:r>
          </w:p>
        </w:tc>
        <w:tc>
          <w:tcPr>
            <w:tcW w:w="1825" w:type="dxa"/>
            <w:vAlign w:val="center"/>
          </w:tcPr>
          <w:p w14:paraId="1B51DF61">
            <w:pPr>
              <w:jc w:val="center"/>
              <w:rPr>
                <w:snapToGrid w:val="0"/>
                <w:color w:val="000000"/>
                <w:kern w:val="21"/>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8</w:t>
            </w:r>
          </w:p>
        </w:tc>
        <w:tc>
          <w:tcPr>
            <w:tcW w:w="960" w:type="dxa"/>
            <w:vAlign w:val="center"/>
          </w:tcPr>
          <w:p w14:paraId="2EF34A0E">
            <w:pPr>
              <w:jc w:val="center"/>
              <w:rPr>
                <w:snapToGrid w:val="0"/>
                <w:color w:val="000000"/>
                <w:kern w:val="21"/>
                <w:szCs w:val="21"/>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8</w:t>
            </w:r>
          </w:p>
        </w:tc>
      </w:tr>
      <w:tr w14:paraId="69108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759C378">
            <w:pPr>
              <w:pStyle w:val="47"/>
              <w:spacing w:beforeLines="0" w:afterLines="0" w:line="240" w:lineRule="auto"/>
              <w:rPr>
                <w:rFonts w:ascii="Times New Roman"/>
                <w:snapToGrid w:val="0"/>
                <w:color w:val="000000"/>
                <w:kern w:val="21"/>
                <w:szCs w:val="21"/>
              </w:rPr>
            </w:pPr>
          </w:p>
        </w:tc>
        <w:tc>
          <w:tcPr>
            <w:tcW w:w="1417" w:type="dxa"/>
            <w:vAlign w:val="center"/>
          </w:tcPr>
          <w:p w14:paraId="29ACAE28">
            <w:pPr>
              <w:jc w:val="center"/>
              <w:rPr>
                <w:snapToGrid w:val="0"/>
                <w:color w:val="000000" w:themeColor="text1"/>
                <w:kern w:val="21"/>
                <w:szCs w:val="21"/>
                <w:u w:val="single"/>
                <w14:textFill>
                  <w14:solidFill>
                    <w14:schemeClr w14:val="tx1"/>
                  </w14:solidFill>
                </w14:textFill>
              </w:rPr>
            </w:pPr>
            <w:r>
              <w:rPr>
                <w:color w:val="000000" w:themeColor="text1"/>
                <w:szCs w:val="21"/>
                <w14:textFill>
                  <w14:solidFill>
                    <w14:schemeClr w14:val="tx1"/>
                  </w14:solidFill>
                </w14:textFill>
              </w:rPr>
              <w:t>废离子交换树脂</w:t>
            </w:r>
          </w:p>
        </w:tc>
        <w:tc>
          <w:tcPr>
            <w:tcW w:w="1701" w:type="dxa"/>
            <w:vAlign w:val="center"/>
          </w:tcPr>
          <w:p w14:paraId="60A20D05">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276" w:type="dxa"/>
            <w:vAlign w:val="center"/>
          </w:tcPr>
          <w:p w14:paraId="43DA6683">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701" w:type="dxa"/>
            <w:vAlign w:val="center"/>
          </w:tcPr>
          <w:p w14:paraId="2C9B866F">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559" w:type="dxa"/>
            <w:vAlign w:val="center"/>
          </w:tcPr>
          <w:p w14:paraId="658117CE">
            <w:pPr>
              <w:jc w:val="center"/>
              <w:rPr>
                <w:snapToGrid w:val="0"/>
                <w:color w:val="000000" w:themeColor="text1"/>
                <w:kern w:val="21"/>
                <w:szCs w:val="21"/>
                <w:u w:val="single"/>
                <w14:textFill>
                  <w14:solidFill>
                    <w14:schemeClr w14:val="tx1"/>
                  </w14:solidFill>
                </w14:textFill>
              </w:rPr>
            </w:pPr>
            <w:r>
              <w:rPr>
                <w:rFonts w:hint="eastAsia"/>
                <w:color w:val="000000" w:themeColor="text1"/>
                <w:szCs w:val="21"/>
                <w14:textFill>
                  <w14:solidFill>
                    <w14:schemeClr w14:val="tx1"/>
                  </w14:solidFill>
                </w14:textFill>
              </w:rPr>
              <w:t>0.015</w:t>
            </w:r>
          </w:p>
        </w:tc>
        <w:tc>
          <w:tcPr>
            <w:tcW w:w="1761" w:type="dxa"/>
            <w:vAlign w:val="center"/>
          </w:tcPr>
          <w:p w14:paraId="247B1E9E">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825" w:type="dxa"/>
            <w:vAlign w:val="center"/>
          </w:tcPr>
          <w:p w14:paraId="225252A4">
            <w:pPr>
              <w:jc w:val="center"/>
              <w:rPr>
                <w:snapToGrid w:val="0"/>
                <w:color w:val="000000" w:themeColor="text1"/>
                <w:kern w:val="21"/>
                <w:szCs w:val="21"/>
                <w:u w:val="single"/>
                <w14:textFill>
                  <w14:solidFill>
                    <w14:schemeClr w14:val="tx1"/>
                  </w14:solidFill>
                </w14:textFill>
              </w:rPr>
            </w:pPr>
            <w:r>
              <w:rPr>
                <w:rFonts w:hint="eastAsia"/>
                <w:color w:val="000000" w:themeColor="text1"/>
                <w:szCs w:val="21"/>
                <w14:textFill>
                  <w14:solidFill>
                    <w14:schemeClr w14:val="tx1"/>
                  </w14:solidFill>
                </w14:textFill>
              </w:rPr>
              <w:t>0.015</w:t>
            </w:r>
          </w:p>
        </w:tc>
        <w:tc>
          <w:tcPr>
            <w:tcW w:w="960" w:type="dxa"/>
            <w:vAlign w:val="center"/>
          </w:tcPr>
          <w:p w14:paraId="4B391CBE">
            <w:pPr>
              <w:jc w:val="center"/>
              <w:rPr>
                <w:snapToGrid w:val="0"/>
                <w:color w:val="000000" w:themeColor="text1"/>
                <w:kern w:val="21"/>
                <w:szCs w:val="21"/>
                <w:u w:val="single"/>
                <w14:textFill>
                  <w14:solidFill>
                    <w14:schemeClr w14:val="tx1"/>
                  </w14:solidFill>
                </w14:textFill>
              </w:rPr>
            </w:pPr>
            <w:r>
              <w:rPr>
                <w:rFonts w:hint="eastAsia"/>
                <w:color w:val="000000" w:themeColor="text1"/>
                <w:szCs w:val="21"/>
                <w14:textFill>
                  <w14:solidFill>
                    <w14:schemeClr w14:val="tx1"/>
                  </w14:solidFill>
                </w14:textFill>
              </w:rPr>
              <w:t>+0.015</w:t>
            </w:r>
          </w:p>
        </w:tc>
      </w:tr>
      <w:tr w14:paraId="7A266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BD772E0">
            <w:pPr>
              <w:pStyle w:val="47"/>
              <w:spacing w:beforeLines="0" w:afterLines="0" w:line="240" w:lineRule="auto"/>
              <w:rPr>
                <w:rFonts w:ascii="Times New Roman"/>
                <w:snapToGrid w:val="0"/>
                <w:color w:val="000000"/>
                <w:kern w:val="21"/>
                <w:szCs w:val="21"/>
              </w:rPr>
            </w:pPr>
          </w:p>
        </w:tc>
        <w:tc>
          <w:tcPr>
            <w:tcW w:w="1417" w:type="dxa"/>
            <w:vAlign w:val="center"/>
          </w:tcPr>
          <w:p w14:paraId="035ECD0D">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水喷淋沉渣</w:t>
            </w:r>
          </w:p>
        </w:tc>
        <w:tc>
          <w:tcPr>
            <w:tcW w:w="1701" w:type="dxa"/>
            <w:vAlign w:val="center"/>
          </w:tcPr>
          <w:p w14:paraId="66ED1EBF">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276" w:type="dxa"/>
            <w:vAlign w:val="center"/>
          </w:tcPr>
          <w:p w14:paraId="31C179FA">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701" w:type="dxa"/>
            <w:vAlign w:val="center"/>
          </w:tcPr>
          <w:p w14:paraId="66713792">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559" w:type="dxa"/>
            <w:vAlign w:val="center"/>
          </w:tcPr>
          <w:p w14:paraId="206DCE62">
            <w:pPr>
              <w:jc w:val="cente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26</w:t>
            </w:r>
          </w:p>
        </w:tc>
        <w:tc>
          <w:tcPr>
            <w:tcW w:w="1761" w:type="dxa"/>
            <w:vAlign w:val="center"/>
          </w:tcPr>
          <w:p w14:paraId="2F93401F">
            <w:pPr>
              <w:jc w:val="center"/>
              <w:rPr>
                <w:snapToGrid w:val="0"/>
                <w:color w:val="000000" w:themeColor="text1"/>
                <w:kern w:val="21"/>
                <w:szCs w:val="21"/>
                <w:u w:val="single"/>
                <w14:textFill>
                  <w14:solidFill>
                    <w14:schemeClr w14:val="tx1"/>
                  </w14:solidFill>
                </w14:textFill>
              </w:rPr>
            </w:pPr>
          </w:p>
        </w:tc>
        <w:tc>
          <w:tcPr>
            <w:tcW w:w="1825" w:type="dxa"/>
            <w:vAlign w:val="center"/>
          </w:tcPr>
          <w:p w14:paraId="3F0FB9C8">
            <w:pPr>
              <w:jc w:val="cente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26</w:t>
            </w:r>
          </w:p>
        </w:tc>
        <w:tc>
          <w:tcPr>
            <w:tcW w:w="960" w:type="dxa"/>
            <w:vAlign w:val="center"/>
          </w:tcPr>
          <w:p w14:paraId="5957034C">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26</w:t>
            </w:r>
          </w:p>
        </w:tc>
      </w:tr>
      <w:tr w14:paraId="58C14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40D9796">
            <w:pPr>
              <w:pStyle w:val="47"/>
              <w:spacing w:beforeLines="0" w:afterLines="0" w:line="240" w:lineRule="auto"/>
              <w:rPr>
                <w:rFonts w:ascii="Times New Roman"/>
                <w:snapToGrid w:val="0"/>
                <w:color w:val="000000"/>
                <w:kern w:val="21"/>
                <w:szCs w:val="21"/>
              </w:rPr>
            </w:pPr>
          </w:p>
        </w:tc>
        <w:tc>
          <w:tcPr>
            <w:tcW w:w="1417" w:type="dxa"/>
            <w:vAlign w:val="center"/>
          </w:tcPr>
          <w:p w14:paraId="787D32ED">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沉淀池沉渣</w:t>
            </w:r>
          </w:p>
        </w:tc>
        <w:tc>
          <w:tcPr>
            <w:tcW w:w="1701" w:type="dxa"/>
            <w:vAlign w:val="center"/>
          </w:tcPr>
          <w:p w14:paraId="76179B57">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276" w:type="dxa"/>
            <w:vAlign w:val="center"/>
          </w:tcPr>
          <w:p w14:paraId="02AF5285">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701" w:type="dxa"/>
            <w:vAlign w:val="center"/>
          </w:tcPr>
          <w:p w14:paraId="1AFD59D0">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1559" w:type="dxa"/>
            <w:vAlign w:val="center"/>
          </w:tcPr>
          <w:p w14:paraId="046B3B76">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0.17</w:t>
            </w:r>
          </w:p>
        </w:tc>
        <w:tc>
          <w:tcPr>
            <w:tcW w:w="1761" w:type="dxa"/>
            <w:vAlign w:val="center"/>
          </w:tcPr>
          <w:p w14:paraId="20D4DF82">
            <w:pPr>
              <w:jc w:val="center"/>
              <w:rPr>
                <w:snapToGrid w:val="0"/>
                <w:color w:val="000000" w:themeColor="text1"/>
                <w:kern w:val="21"/>
                <w:szCs w:val="21"/>
                <w:u w:val="single"/>
                <w14:textFill>
                  <w14:solidFill>
                    <w14:schemeClr w14:val="tx1"/>
                  </w14:solidFill>
                </w14:textFill>
              </w:rPr>
            </w:pPr>
          </w:p>
        </w:tc>
        <w:tc>
          <w:tcPr>
            <w:tcW w:w="1825" w:type="dxa"/>
            <w:vAlign w:val="center"/>
          </w:tcPr>
          <w:p w14:paraId="218F3633">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0.17</w:t>
            </w:r>
          </w:p>
        </w:tc>
        <w:tc>
          <w:tcPr>
            <w:tcW w:w="960" w:type="dxa"/>
            <w:vAlign w:val="center"/>
          </w:tcPr>
          <w:p w14:paraId="0E1F104E">
            <w:pPr>
              <w:jc w:val="cente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+0.17</w:t>
            </w:r>
          </w:p>
        </w:tc>
      </w:tr>
    </w:tbl>
    <w:p w14:paraId="4DDF7C01">
      <w:pPr>
        <w:pStyle w:val="47"/>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11A51306"/>
    <w:p w14:paraId="4AEB9B11">
      <w:pPr>
        <w:sectPr>
          <w:footerReference r:id="rId7" w:type="default"/>
          <w:pgSz w:w="16838" w:h="11906" w:orient="landscape"/>
          <w:pgMar w:top="1701" w:right="1531" w:bottom="1701" w:left="1531" w:header="851" w:footer="851" w:gutter="0"/>
          <w:cols w:space="720" w:num="1"/>
          <w:docGrid w:linePitch="312" w:charSpace="0"/>
        </w:sectPr>
      </w:pPr>
    </w:p>
    <w:p w14:paraId="4BA8BFBB">
      <w:pPr>
        <w:rPr>
          <w:rFonts w:hint="eastAsia" w:ascii="宋体" w:hAnsi="宋体" w:eastAsia="黑体"/>
        </w:rPr>
      </w:pPr>
    </w:p>
    <w:sectPr>
      <w:footerReference r:id="rId8"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姚体">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BFA7">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D283">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3</w:t>
    </w:r>
    <w:r>
      <w:fldChar w:fldCharType="end"/>
    </w:r>
  </w:p>
  <w:p w14:paraId="08D3CA4E">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0CB5">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253400"/>
      <w:docPartObj>
        <w:docPartGallery w:val="AutoText"/>
      </w:docPartObj>
    </w:sdtPr>
    <w:sdtContent>
      <w:p w14:paraId="325E10B5">
        <w:pPr>
          <w:pStyle w:val="19"/>
          <w:jc w:val="center"/>
        </w:pPr>
        <w:r>
          <w:fldChar w:fldCharType="begin"/>
        </w:r>
        <w:r>
          <w:instrText xml:space="preserve">PAGE   \* MERGEFORMAT</w:instrText>
        </w:r>
        <w:r>
          <w:fldChar w:fldCharType="separate"/>
        </w:r>
        <w:r>
          <w:rPr>
            <w:lang w:val="zh-CN"/>
          </w:rPr>
          <w:t>2</w:t>
        </w:r>
        <w:r>
          <w:fldChar w:fldCharType="end"/>
        </w:r>
      </w:p>
    </w:sdtContent>
  </w:sdt>
  <w:p w14:paraId="391D0CA6">
    <w:pPr>
      <w:pStyle w:val="1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29C0">
    <w:pPr>
      <w:pStyle w:val="19"/>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C762">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2A85E"/>
    <w:multiLevelType w:val="singleLevel"/>
    <w:tmpl w:val="BB12A85E"/>
    <w:lvl w:ilvl="0" w:tentative="0">
      <w:start w:val="1"/>
      <w:numFmt w:val="decimal"/>
      <w:suff w:val="nothing"/>
      <w:lvlText w:val="%1、"/>
      <w:lvlJc w:val="left"/>
    </w:lvl>
  </w:abstractNum>
  <w:abstractNum w:abstractNumId="1">
    <w:nsid w:val="DE9C4AA9"/>
    <w:multiLevelType w:val="singleLevel"/>
    <w:tmpl w:val="DE9C4AA9"/>
    <w:lvl w:ilvl="0" w:tentative="0">
      <w:start w:val="1"/>
      <w:numFmt w:val="decimal"/>
      <w:lvlText w:val="%1."/>
      <w:lvlJc w:val="left"/>
      <w:pPr>
        <w:ind w:left="425" w:hanging="425"/>
      </w:pPr>
      <w:rPr>
        <w:rFonts w:hint="default"/>
      </w:rPr>
    </w:lvl>
  </w:abstractNum>
  <w:abstractNum w:abstractNumId="2">
    <w:nsid w:val="1131315D"/>
    <w:multiLevelType w:val="singleLevel"/>
    <w:tmpl w:val="1131315D"/>
    <w:lvl w:ilvl="0" w:tentative="0">
      <w:start w:val="1"/>
      <w:numFmt w:val="decimal"/>
      <w:lvlText w:val="%1."/>
      <w:lvlJc w:val="left"/>
      <w:pPr>
        <w:ind w:left="425" w:hanging="425"/>
      </w:pPr>
      <w:rPr>
        <w:rFonts w:hint="default"/>
      </w:rPr>
    </w:lvl>
  </w:abstractNum>
  <w:abstractNum w:abstractNumId="3">
    <w:nsid w:val="52960B10"/>
    <w:multiLevelType w:val="multilevel"/>
    <w:tmpl w:val="52960B1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2270CB0"/>
    <w:multiLevelType w:val="multilevel"/>
    <w:tmpl w:val="72270CB0"/>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EF54B7F"/>
    <w:multiLevelType w:val="multilevel"/>
    <w:tmpl w:val="7EF54B7F"/>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178C"/>
    <w:rsid w:val="00002891"/>
    <w:rsid w:val="00003392"/>
    <w:rsid w:val="00003933"/>
    <w:rsid w:val="00004F26"/>
    <w:rsid w:val="00005FA4"/>
    <w:rsid w:val="000060B3"/>
    <w:rsid w:val="00007735"/>
    <w:rsid w:val="000103BC"/>
    <w:rsid w:val="00010758"/>
    <w:rsid w:val="00011D05"/>
    <w:rsid w:val="00013863"/>
    <w:rsid w:val="00013CF4"/>
    <w:rsid w:val="00014B43"/>
    <w:rsid w:val="000159BE"/>
    <w:rsid w:val="00016080"/>
    <w:rsid w:val="000177F7"/>
    <w:rsid w:val="0002176A"/>
    <w:rsid w:val="00021B9E"/>
    <w:rsid w:val="00022441"/>
    <w:rsid w:val="00025285"/>
    <w:rsid w:val="00030EF8"/>
    <w:rsid w:val="00032620"/>
    <w:rsid w:val="0003282C"/>
    <w:rsid w:val="00035A84"/>
    <w:rsid w:val="00037167"/>
    <w:rsid w:val="000374A1"/>
    <w:rsid w:val="000379C9"/>
    <w:rsid w:val="0004196D"/>
    <w:rsid w:val="00042ED1"/>
    <w:rsid w:val="0004364B"/>
    <w:rsid w:val="00043BFC"/>
    <w:rsid w:val="00043D0E"/>
    <w:rsid w:val="000445F4"/>
    <w:rsid w:val="000476BE"/>
    <w:rsid w:val="00047891"/>
    <w:rsid w:val="00047DFA"/>
    <w:rsid w:val="00047EEF"/>
    <w:rsid w:val="0005208F"/>
    <w:rsid w:val="00052184"/>
    <w:rsid w:val="000533D8"/>
    <w:rsid w:val="00054EAA"/>
    <w:rsid w:val="00057CB7"/>
    <w:rsid w:val="00057FF4"/>
    <w:rsid w:val="00061008"/>
    <w:rsid w:val="00061B1F"/>
    <w:rsid w:val="00062A1B"/>
    <w:rsid w:val="00062C27"/>
    <w:rsid w:val="00063B7E"/>
    <w:rsid w:val="00070114"/>
    <w:rsid w:val="0007088D"/>
    <w:rsid w:val="0007137A"/>
    <w:rsid w:val="00071C53"/>
    <w:rsid w:val="00072CE9"/>
    <w:rsid w:val="000733C4"/>
    <w:rsid w:val="00073884"/>
    <w:rsid w:val="00074329"/>
    <w:rsid w:val="0007432F"/>
    <w:rsid w:val="00074783"/>
    <w:rsid w:val="000748E9"/>
    <w:rsid w:val="00074BC9"/>
    <w:rsid w:val="00075D8F"/>
    <w:rsid w:val="00075F29"/>
    <w:rsid w:val="000778D5"/>
    <w:rsid w:val="00077A01"/>
    <w:rsid w:val="000801FB"/>
    <w:rsid w:val="0008070B"/>
    <w:rsid w:val="00080E96"/>
    <w:rsid w:val="00080FDF"/>
    <w:rsid w:val="000810AC"/>
    <w:rsid w:val="00081A02"/>
    <w:rsid w:val="00081CC5"/>
    <w:rsid w:val="00081D0F"/>
    <w:rsid w:val="00081F9E"/>
    <w:rsid w:val="00082231"/>
    <w:rsid w:val="00082735"/>
    <w:rsid w:val="0008501C"/>
    <w:rsid w:val="0008583E"/>
    <w:rsid w:val="000878F3"/>
    <w:rsid w:val="00091CED"/>
    <w:rsid w:val="000929A1"/>
    <w:rsid w:val="00092C23"/>
    <w:rsid w:val="00092D38"/>
    <w:rsid w:val="0009377B"/>
    <w:rsid w:val="00094900"/>
    <w:rsid w:val="000950DB"/>
    <w:rsid w:val="00095171"/>
    <w:rsid w:val="00096386"/>
    <w:rsid w:val="00096FE7"/>
    <w:rsid w:val="00097733"/>
    <w:rsid w:val="000978D9"/>
    <w:rsid w:val="000A0B80"/>
    <w:rsid w:val="000A20C9"/>
    <w:rsid w:val="000A238C"/>
    <w:rsid w:val="000A2826"/>
    <w:rsid w:val="000A390A"/>
    <w:rsid w:val="000A4D53"/>
    <w:rsid w:val="000A5047"/>
    <w:rsid w:val="000A66DA"/>
    <w:rsid w:val="000A6D6A"/>
    <w:rsid w:val="000B0206"/>
    <w:rsid w:val="000B058F"/>
    <w:rsid w:val="000B11FC"/>
    <w:rsid w:val="000B12C9"/>
    <w:rsid w:val="000B1435"/>
    <w:rsid w:val="000B1C54"/>
    <w:rsid w:val="000B1E92"/>
    <w:rsid w:val="000B1FDD"/>
    <w:rsid w:val="000B24BE"/>
    <w:rsid w:val="000B2564"/>
    <w:rsid w:val="000B3868"/>
    <w:rsid w:val="000B3F76"/>
    <w:rsid w:val="000B4467"/>
    <w:rsid w:val="000B4DB9"/>
    <w:rsid w:val="000B5B11"/>
    <w:rsid w:val="000B5B79"/>
    <w:rsid w:val="000B5EA3"/>
    <w:rsid w:val="000B5F5D"/>
    <w:rsid w:val="000B64F9"/>
    <w:rsid w:val="000B67C0"/>
    <w:rsid w:val="000B698F"/>
    <w:rsid w:val="000B7AF7"/>
    <w:rsid w:val="000C09AC"/>
    <w:rsid w:val="000C0FE0"/>
    <w:rsid w:val="000C1656"/>
    <w:rsid w:val="000C199D"/>
    <w:rsid w:val="000C1F48"/>
    <w:rsid w:val="000C54E9"/>
    <w:rsid w:val="000C5568"/>
    <w:rsid w:val="000C6D36"/>
    <w:rsid w:val="000C7349"/>
    <w:rsid w:val="000C767F"/>
    <w:rsid w:val="000D04E7"/>
    <w:rsid w:val="000D0CA9"/>
    <w:rsid w:val="000D0E42"/>
    <w:rsid w:val="000D26B6"/>
    <w:rsid w:val="000D29DD"/>
    <w:rsid w:val="000D2B91"/>
    <w:rsid w:val="000D33B0"/>
    <w:rsid w:val="000D4441"/>
    <w:rsid w:val="000D5A44"/>
    <w:rsid w:val="000D693A"/>
    <w:rsid w:val="000D7203"/>
    <w:rsid w:val="000D78EF"/>
    <w:rsid w:val="000D7A60"/>
    <w:rsid w:val="000D7CE0"/>
    <w:rsid w:val="000E0635"/>
    <w:rsid w:val="000E185C"/>
    <w:rsid w:val="000E1A69"/>
    <w:rsid w:val="000E1DDA"/>
    <w:rsid w:val="000E3ED2"/>
    <w:rsid w:val="000E4EC3"/>
    <w:rsid w:val="000E7DE6"/>
    <w:rsid w:val="000F0232"/>
    <w:rsid w:val="000F1F53"/>
    <w:rsid w:val="000F3A40"/>
    <w:rsid w:val="000F51D7"/>
    <w:rsid w:val="000F5E98"/>
    <w:rsid w:val="001001DA"/>
    <w:rsid w:val="00101F4F"/>
    <w:rsid w:val="00102EE4"/>
    <w:rsid w:val="001066A1"/>
    <w:rsid w:val="001110D5"/>
    <w:rsid w:val="001127FA"/>
    <w:rsid w:val="00114FE3"/>
    <w:rsid w:val="001150F0"/>
    <w:rsid w:val="001179EC"/>
    <w:rsid w:val="001218D6"/>
    <w:rsid w:val="00124549"/>
    <w:rsid w:val="00125609"/>
    <w:rsid w:val="0012588E"/>
    <w:rsid w:val="001304E9"/>
    <w:rsid w:val="0013155E"/>
    <w:rsid w:val="00131DEF"/>
    <w:rsid w:val="00131F42"/>
    <w:rsid w:val="001326FB"/>
    <w:rsid w:val="001337B7"/>
    <w:rsid w:val="001339BC"/>
    <w:rsid w:val="00134A4E"/>
    <w:rsid w:val="00134D0E"/>
    <w:rsid w:val="00134D9B"/>
    <w:rsid w:val="00134E45"/>
    <w:rsid w:val="001357F1"/>
    <w:rsid w:val="00137E2C"/>
    <w:rsid w:val="00140095"/>
    <w:rsid w:val="00140A6A"/>
    <w:rsid w:val="00140FA8"/>
    <w:rsid w:val="0014102B"/>
    <w:rsid w:val="001415F2"/>
    <w:rsid w:val="00142281"/>
    <w:rsid w:val="00142FEB"/>
    <w:rsid w:val="00143A2D"/>
    <w:rsid w:val="00143AF3"/>
    <w:rsid w:val="00145A41"/>
    <w:rsid w:val="00145BCD"/>
    <w:rsid w:val="00146611"/>
    <w:rsid w:val="001468A2"/>
    <w:rsid w:val="00146CFD"/>
    <w:rsid w:val="00146E3F"/>
    <w:rsid w:val="00146E5F"/>
    <w:rsid w:val="0015156F"/>
    <w:rsid w:val="00151675"/>
    <w:rsid w:val="00151753"/>
    <w:rsid w:val="0015175D"/>
    <w:rsid w:val="001532A7"/>
    <w:rsid w:val="001541E3"/>
    <w:rsid w:val="00154B61"/>
    <w:rsid w:val="001556AF"/>
    <w:rsid w:val="001557E6"/>
    <w:rsid w:val="0015739A"/>
    <w:rsid w:val="00157435"/>
    <w:rsid w:val="00160306"/>
    <w:rsid w:val="00160B99"/>
    <w:rsid w:val="00162099"/>
    <w:rsid w:val="00163EA3"/>
    <w:rsid w:val="00164202"/>
    <w:rsid w:val="001648AC"/>
    <w:rsid w:val="00164D8E"/>
    <w:rsid w:val="001705AA"/>
    <w:rsid w:val="001706C2"/>
    <w:rsid w:val="00171E3D"/>
    <w:rsid w:val="001722DA"/>
    <w:rsid w:val="00172AAE"/>
    <w:rsid w:val="00172E2E"/>
    <w:rsid w:val="001738FF"/>
    <w:rsid w:val="0017504D"/>
    <w:rsid w:val="001754E7"/>
    <w:rsid w:val="00176099"/>
    <w:rsid w:val="001763DE"/>
    <w:rsid w:val="0017671A"/>
    <w:rsid w:val="00176C6A"/>
    <w:rsid w:val="00177422"/>
    <w:rsid w:val="00181D37"/>
    <w:rsid w:val="001828C3"/>
    <w:rsid w:val="001838CE"/>
    <w:rsid w:val="00183940"/>
    <w:rsid w:val="00184590"/>
    <w:rsid w:val="00185371"/>
    <w:rsid w:val="00185A37"/>
    <w:rsid w:val="001862DA"/>
    <w:rsid w:val="001869CF"/>
    <w:rsid w:val="001870D1"/>
    <w:rsid w:val="0018781E"/>
    <w:rsid w:val="00187A6A"/>
    <w:rsid w:val="0019262D"/>
    <w:rsid w:val="001938A5"/>
    <w:rsid w:val="00194282"/>
    <w:rsid w:val="00194484"/>
    <w:rsid w:val="00194C15"/>
    <w:rsid w:val="00195704"/>
    <w:rsid w:val="001957BA"/>
    <w:rsid w:val="00195D1D"/>
    <w:rsid w:val="001A1B35"/>
    <w:rsid w:val="001A294B"/>
    <w:rsid w:val="001A3281"/>
    <w:rsid w:val="001A481D"/>
    <w:rsid w:val="001A48A2"/>
    <w:rsid w:val="001A5039"/>
    <w:rsid w:val="001A6292"/>
    <w:rsid w:val="001A6449"/>
    <w:rsid w:val="001A65A1"/>
    <w:rsid w:val="001A6F61"/>
    <w:rsid w:val="001A7022"/>
    <w:rsid w:val="001B1173"/>
    <w:rsid w:val="001B1915"/>
    <w:rsid w:val="001B5051"/>
    <w:rsid w:val="001B5AA8"/>
    <w:rsid w:val="001B669C"/>
    <w:rsid w:val="001B72B8"/>
    <w:rsid w:val="001B769A"/>
    <w:rsid w:val="001C1B77"/>
    <w:rsid w:val="001C29AD"/>
    <w:rsid w:val="001C5D78"/>
    <w:rsid w:val="001C69B3"/>
    <w:rsid w:val="001C7351"/>
    <w:rsid w:val="001D016D"/>
    <w:rsid w:val="001D05E8"/>
    <w:rsid w:val="001D3111"/>
    <w:rsid w:val="001D407A"/>
    <w:rsid w:val="001D51DA"/>
    <w:rsid w:val="001D5595"/>
    <w:rsid w:val="001D5993"/>
    <w:rsid w:val="001D7874"/>
    <w:rsid w:val="001D7F22"/>
    <w:rsid w:val="001D7FCF"/>
    <w:rsid w:val="001E0303"/>
    <w:rsid w:val="001E1FE1"/>
    <w:rsid w:val="001E2B56"/>
    <w:rsid w:val="001E3C01"/>
    <w:rsid w:val="001E42B2"/>
    <w:rsid w:val="001E4EE2"/>
    <w:rsid w:val="001E68FF"/>
    <w:rsid w:val="001F0F17"/>
    <w:rsid w:val="001F1E08"/>
    <w:rsid w:val="001F3347"/>
    <w:rsid w:val="001F3F4A"/>
    <w:rsid w:val="001F4032"/>
    <w:rsid w:val="001F52E0"/>
    <w:rsid w:val="001F6870"/>
    <w:rsid w:val="001F69E4"/>
    <w:rsid w:val="001F6EF2"/>
    <w:rsid w:val="001F6F52"/>
    <w:rsid w:val="001F7A11"/>
    <w:rsid w:val="00201D88"/>
    <w:rsid w:val="00203E4D"/>
    <w:rsid w:val="00205B34"/>
    <w:rsid w:val="00206B69"/>
    <w:rsid w:val="002075F8"/>
    <w:rsid w:val="00207983"/>
    <w:rsid w:val="00210C80"/>
    <w:rsid w:val="002125B4"/>
    <w:rsid w:val="00214619"/>
    <w:rsid w:val="002155B8"/>
    <w:rsid w:val="00215A2B"/>
    <w:rsid w:val="00215C29"/>
    <w:rsid w:val="00215FAB"/>
    <w:rsid w:val="00217A46"/>
    <w:rsid w:val="00221CC0"/>
    <w:rsid w:val="002232C1"/>
    <w:rsid w:val="00223820"/>
    <w:rsid w:val="00224839"/>
    <w:rsid w:val="002249B2"/>
    <w:rsid w:val="002261AB"/>
    <w:rsid w:val="00226574"/>
    <w:rsid w:val="00226ECB"/>
    <w:rsid w:val="002278EC"/>
    <w:rsid w:val="00230859"/>
    <w:rsid w:val="00230867"/>
    <w:rsid w:val="00230B19"/>
    <w:rsid w:val="0023280E"/>
    <w:rsid w:val="00232861"/>
    <w:rsid w:val="002341E5"/>
    <w:rsid w:val="00234748"/>
    <w:rsid w:val="00235287"/>
    <w:rsid w:val="0023570F"/>
    <w:rsid w:val="002377D1"/>
    <w:rsid w:val="00237994"/>
    <w:rsid w:val="002379AF"/>
    <w:rsid w:val="00242E9D"/>
    <w:rsid w:val="002433E2"/>
    <w:rsid w:val="002450A8"/>
    <w:rsid w:val="00245EF8"/>
    <w:rsid w:val="00246D9B"/>
    <w:rsid w:val="002506BC"/>
    <w:rsid w:val="00251188"/>
    <w:rsid w:val="002517A0"/>
    <w:rsid w:val="00252FCE"/>
    <w:rsid w:val="002540D6"/>
    <w:rsid w:val="002541F4"/>
    <w:rsid w:val="00254345"/>
    <w:rsid w:val="00256B07"/>
    <w:rsid w:val="00256C99"/>
    <w:rsid w:val="00257056"/>
    <w:rsid w:val="00257219"/>
    <w:rsid w:val="00260196"/>
    <w:rsid w:val="0026073E"/>
    <w:rsid w:val="00260F21"/>
    <w:rsid w:val="0026185D"/>
    <w:rsid w:val="002629E9"/>
    <w:rsid w:val="00262C9A"/>
    <w:rsid w:val="00264530"/>
    <w:rsid w:val="00264557"/>
    <w:rsid w:val="00264F21"/>
    <w:rsid w:val="00265B47"/>
    <w:rsid w:val="00265C7D"/>
    <w:rsid w:val="002703FD"/>
    <w:rsid w:val="00270B01"/>
    <w:rsid w:val="00270B08"/>
    <w:rsid w:val="00273624"/>
    <w:rsid w:val="00273B52"/>
    <w:rsid w:val="0027442C"/>
    <w:rsid w:val="002744AE"/>
    <w:rsid w:val="00274FBD"/>
    <w:rsid w:val="002805AB"/>
    <w:rsid w:val="00281356"/>
    <w:rsid w:val="002813FC"/>
    <w:rsid w:val="00281889"/>
    <w:rsid w:val="00283507"/>
    <w:rsid w:val="0028364A"/>
    <w:rsid w:val="00283924"/>
    <w:rsid w:val="00284204"/>
    <w:rsid w:val="00284541"/>
    <w:rsid w:val="00284F6E"/>
    <w:rsid w:val="002855D7"/>
    <w:rsid w:val="002858C4"/>
    <w:rsid w:val="00285A75"/>
    <w:rsid w:val="002874CE"/>
    <w:rsid w:val="00287D39"/>
    <w:rsid w:val="00290C63"/>
    <w:rsid w:val="00290CBB"/>
    <w:rsid w:val="00291773"/>
    <w:rsid w:val="00291CEA"/>
    <w:rsid w:val="00293193"/>
    <w:rsid w:val="00293B68"/>
    <w:rsid w:val="00294039"/>
    <w:rsid w:val="002941FB"/>
    <w:rsid w:val="0029547F"/>
    <w:rsid w:val="00296404"/>
    <w:rsid w:val="0029671A"/>
    <w:rsid w:val="002A0681"/>
    <w:rsid w:val="002A0684"/>
    <w:rsid w:val="002A168C"/>
    <w:rsid w:val="002A2A63"/>
    <w:rsid w:val="002A3127"/>
    <w:rsid w:val="002A3DC7"/>
    <w:rsid w:val="002A5C7A"/>
    <w:rsid w:val="002A6E62"/>
    <w:rsid w:val="002B1159"/>
    <w:rsid w:val="002B1267"/>
    <w:rsid w:val="002B1BE8"/>
    <w:rsid w:val="002B318F"/>
    <w:rsid w:val="002B3C37"/>
    <w:rsid w:val="002B49E2"/>
    <w:rsid w:val="002B4D64"/>
    <w:rsid w:val="002B4E4C"/>
    <w:rsid w:val="002B7B00"/>
    <w:rsid w:val="002B7C44"/>
    <w:rsid w:val="002C01BB"/>
    <w:rsid w:val="002C1163"/>
    <w:rsid w:val="002C2B17"/>
    <w:rsid w:val="002C2B4C"/>
    <w:rsid w:val="002C2E6A"/>
    <w:rsid w:val="002C7B82"/>
    <w:rsid w:val="002C7F6E"/>
    <w:rsid w:val="002D000E"/>
    <w:rsid w:val="002D189A"/>
    <w:rsid w:val="002D2A74"/>
    <w:rsid w:val="002D358B"/>
    <w:rsid w:val="002D3912"/>
    <w:rsid w:val="002D3DD0"/>
    <w:rsid w:val="002D45BC"/>
    <w:rsid w:val="002D4825"/>
    <w:rsid w:val="002D4D74"/>
    <w:rsid w:val="002D5A0F"/>
    <w:rsid w:val="002D5D39"/>
    <w:rsid w:val="002E0674"/>
    <w:rsid w:val="002E0AB5"/>
    <w:rsid w:val="002E1AFD"/>
    <w:rsid w:val="002E1F3A"/>
    <w:rsid w:val="002E2154"/>
    <w:rsid w:val="002E298A"/>
    <w:rsid w:val="002E31AA"/>
    <w:rsid w:val="002E405A"/>
    <w:rsid w:val="002E4FA7"/>
    <w:rsid w:val="002E5664"/>
    <w:rsid w:val="002E572F"/>
    <w:rsid w:val="002E581C"/>
    <w:rsid w:val="002E5B8D"/>
    <w:rsid w:val="002E5BB5"/>
    <w:rsid w:val="002E6935"/>
    <w:rsid w:val="002E7578"/>
    <w:rsid w:val="002F33AD"/>
    <w:rsid w:val="002F720A"/>
    <w:rsid w:val="002F74D6"/>
    <w:rsid w:val="00301978"/>
    <w:rsid w:val="00302E58"/>
    <w:rsid w:val="00302F55"/>
    <w:rsid w:val="0030332C"/>
    <w:rsid w:val="00303B03"/>
    <w:rsid w:val="003051C2"/>
    <w:rsid w:val="003055AD"/>
    <w:rsid w:val="0030613A"/>
    <w:rsid w:val="00306907"/>
    <w:rsid w:val="00311715"/>
    <w:rsid w:val="00312296"/>
    <w:rsid w:val="00312B39"/>
    <w:rsid w:val="00314334"/>
    <w:rsid w:val="0031487F"/>
    <w:rsid w:val="00314F0E"/>
    <w:rsid w:val="003167BA"/>
    <w:rsid w:val="003167D1"/>
    <w:rsid w:val="00316A89"/>
    <w:rsid w:val="00316F61"/>
    <w:rsid w:val="0031766E"/>
    <w:rsid w:val="003202BE"/>
    <w:rsid w:val="0032045F"/>
    <w:rsid w:val="003207EC"/>
    <w:rsid w:val="0032114C"/>
    <w:rsid w:val="00321D8E"/>
    <w:rsid w:val="003221A3"/>
    <w:rsid w:val="00322D2F"/>
    <w:rsid w:val="0032365B"/>
    <w:rsid w:val="00323F48"/>
    <w:rsid w:val="00324FDF"/>
    <w:rsid w:val="00325928"/>
    <w:rsid w:val="00327445"/>
    <w:rsid w:val="003308A3"/>
    <w:rsid w:val="00330D60"/>
    <w:rsid w:val="00331C3A"/>
    <w:rsid w:val="003321FF"/>
    <w:rsid w:val="00332863"/>
    <w:rsid w:val="003335B8"/>
    <w:rsid w:val="00334D40"/>
    <w:rsid w:val="003350BC"/>
    <w:rsid w:val="00336146"/>
    <w:rsid w:val="0033684D"/>
    <w:rsid w:val="003369BC"/>
    <w:rsid w:val="003372FB"/>
    <w:rsid w:val="0033773C"/>
    <w:rsid w:val="00337B42"/>
    <w:rsid w:val="00340231"/>
    <w:rsid w:val="00340BDC"/>
    <w:rsid w:val="00340F23"/>
    <w:rsid w:val="003414F9"/>
    <w:rsid w:val="00341B42"/>
    <w:rsid w:val="003431D6"/>
    <w:rsid w:val="0034348F"/>
    <w:rsid w:val="00344AE5"/>
    <w:rsid w:val="00344EA6"/>
    <w:rsid w:val="00350B8F"/>
    <w:rsid w:val="00350E30"/>
    <w:rsid w:val="00354B9D"/>
    <w:rsid w:val="00356653"/>
    <w:rsid w:val="0035743F"/>
    <w:rsid w:val="00357BE2"/>
    <w:rsid w:val="00357FA5"/>
    <w:rsid w:val="0036170C"/>
    <w:rsid w:val="00361D1D"/>
    <w:rsid w:val="00363F9E"/>
    <w:rsid w:val="00364538"/>
    <w:rsid w:val="003645AC"/>
    <w:rsid w:val="00364AE5"/>
    <w:rsid w:val="003656E2"/>
    <w:rsid w:val="00365D28"/>
    <w:rsid w:val="00366BFD"/>
    <w:rsid w:val="00366E0F"/>
    <w:rsid w:val="0036715B"/>
    <w:rsid w:val="0037134A"/>
    <w:rsid w:val="00372440"/>
    <w:rsid w:val="00372E8A"/>
    <w:rsid w:val="00375080"/>
    <w:rsid w:val="003756D4"/>
    <w:rsid w:val="003756E7"/>
    <w:rsid w:val="00380B9C"/>
    <w:rsid w:val="00381009"/>
    <w:rsid w:val="00381A72"/>
    <w:rsid w:val="00381DA9"/>
    <w:rsid w:val="0038232D"/>
    <w:rsid w:val="00383509"/>
    <w:rsid w:val="00383E13"/>
    <w:rsid w:val="003843E3"/>
    <w:rsid w:val="00384676"/>
    <w:rsid w:val="00384844"/>
    <w:rsid w:val="003869C0"/>
    <w:rsid w:val="00390857"/>
    <w:rsid w:val="00390A59"/>
    <w:rsid w:val="00393858"/>
    <w:rsid w:val="00393B3F"/>
    <w:rsid w:val="003969A6"/>
    <w:rsid w:val="00396F2C"/>
    <w:rsid w:val="00397F03"/>
    <w:rsid w:val="003A01D6"/>
    <w:rsid w:val="003A2852"/>
    <w:rsid w:val="003A2A8E"/>
    <w:rsid w:val="003A3109"/>
    <w:rsid w:val="003A3690"/>
    <w:rsid w:val="003A3A91"/>
    <w:rsid w:val="003A40DE"/>
    <w:rsid w:val="003A4BF3"/>
    <w:rsid w:val="003A5603"/>
    <w:rsid w:val="003A59A8"/>
    <w:rsid w:val="003A5D1D"/>
    <w:rsid w:val="003A72DB"/>
    <w:rsid w:val="003A7549"/>
    <w:rsid w:val="003A78B1"/>
    <w:rsid w:val="003B189F"/>
    <w:rsid w:val="003B1BB1"/>
    <w:rsid w:val="003B2315"/>
    <w:rsid w:val="003B3331"/>
    <w:rsid w:val="003B3B37"/>
    <w:rsid w:val="003B3C99"/>
    <w:rsid w:val="003B3CB1"/>
    <w:rsid w:val="003B3E0E"/>
    <w:rsid w:val="003B420D"/>
    <w:rsid w:val="003B6C05"/>
    <w:rsid w:val="003B7133"/>
    <w:rsid w:val="003B7B81"/>
    <w:rsid w:val="003C0D87"/>
    <w:rsid w:val="003C0DD3"/>
    <w:rsid w:val="003C133C"/>
    <w:rsid w:val="003C13F6"/>
    <w:rsid w:val="003C299D"/>
    <w:rsid w:val="003C2D73"/>
    <w:rsid w:val="003C3B15"/>
    <w:rsid w:val="003C3C93"/>
    <w:rsid w:val="003C42D1"/>
    <w:rsid w:val="003C45CC"/>
    <w:rsid w:val="003C491E"/>
    <w:rsid w:val="003C4C74"/>
    <w:rsid w:val="003C5730"/>
    <w:rsid w:val="003C659F"/>
    <w:rsid w:val="003C6C16"/>
    <w:rsid w:val="003C732C"/>
    <w:rsid w:val="003C7AFC"/>
    <w:rsid w:val="003C7C02"/>
    <w:rsid w:val="003D0952"/>
    <w:rsid w:val="003D0A80"/>
    <w:rsid w:val="003D245C"/>
    <w:rsid w:val="003D2AC1"/>
    <w:rsid w:val="003D3132"/>
    <w:rsid w:val="003D3182"/>
    <w:rsid w:val="003D4510"/>
    <w:rsid w:val="003D4AE1"/>
    <w:rsid w:val="003D558A"/>
    <w:rsid w:val="003D5754"/>
    <w:rsid w:val="003D5F07"/>
    <w:rsid w:val="003D794D"/>
    <w:rsid w:val="003E0386"/>
    <w:rsid w:val="003E0C3E"/>
    <w:rsid w:val="003E114A"/>
    <w:rsid w:val="003E3058"/>
    <w:rsid w:val="003E3119"/>
    <w:rsid w:val="003E34B6"/>
    <w:rsid w:val="003E36DE"/>
    <w:rsid w:val="003E4898"/>
    <w:rsid w:val="003E500B"/>
    <w:rsid w:val="003E5349"/>
    <w:rsid w:val="003E76A9"/>
    <w:rsid w:val="003F0809"/>
    <w:rsid w:val="003F0D83"/>
    <w:rsid w:val="003F2C96"/>
    <w:rsid w:val="003F3AEC"/>
    <w:rsid w:val="003F6A8C"/>
    <w:rsid w:val="003F6CEA"/>
    <w:rsid w:val="003F6D05"/>
    <w:rsid w:val="003F6E7B"/>
    <w:rsid w:val="003F755C"/>
    <w:rsid w:val="003F7CF4"/>
    <w:rsid w:val="004007CA"/>
    <w:rsid w:val="00400BEA"/>
    <w:rsid w:val="00400DB4"/>
    <w:rsid w:val="00401685"/>
    <w:rsid w:val="00402896"/>
    <w:rsid w:val="00402BB4"/>
    <w:rsid w:val="004046EA"/>
    <w:rsid w:val="00404C79"/>
    <w:rsid w:val="00404F88"/>
    <w:rsid w:val="0040555E"/>
    <w:rsid w:val="004064E3"/>
    <w:rsid w:val="00406CA7"/>
    <w:rsid w:val="00406F01"/>
    <w:rsid w:val="004100C1"/>
    <w:rsid w:val="00410298"/>
    <w:rsid w:val="004106AA"/>
    <w:rsid w:val="00411723"/>
    <w:rsid w:val="00411A30"/>
    <w:rsid w:val="00412E0D"/>
    <w:rsid w:val="00412F92"/>
    <w:rsid w:val="004136CB"/>
    <w:rsid w:val="00413AE4"/>
    <w:rsid w:val="00416315"/>
    <w:rsid w:val="00416D50"/>
    <w:rsid w:val="00416FD5"/>
    <w:rsid w:val="004170A7"/>
    <w:rsid w:val="00417772"/>
    <w:rsid w:val="0041784A"/>
    <w:rsid w:val="00420E6A"/>
    <w:rsid w:val="00420E6B"/>
    <w:rsid w:val="00420EE3"/>
    <w:rsid w:val="00421083"/>
    <w:rsid w:val="0042256B"/>
    <w:rsid w:val="00423249"/>
    <w:rsid w:val="004236E6"/>
    <w:rsid w:val="0042473F"/>
    <w:rsid w:val="00425A9E"/>
    <w:rsid w:val="00426D6B"/>
    <w:rsid w:val="004311CD"/>
    <w:rsid w:val="00431E6C"/>
    <w:rsid w:val="0043224C"/>
    <w:rsid w:val="004334C5"/>
    <w:rsid w:val="00433CE7"/>
    <w:rsid w:val="00434332"/>
    <w:rsid w:val="00434E3C"/>
    <w:rsid w:val="004356F3"/>
    <w:rsid w:val="00436A0C"/>
    <w:rsid w:val="00437239"/>
    <w:rsid w:val="00440A66"/>
    <w:rsid w:val="0044164D"/>
    <w:rsid w:val="0044221D"/>
    <w:rsid w:val="004450E3"/>
    <w:rsid w:val="00445A00"/>
    <w:rsid w:val="00445B57"/>
    <w:rsid w:val="0044695B"/>
    <w:rsid w:val="00450D8A"/>
    <w:rsid w:val="00452738"/>
    <w:rsid w:val="00453362"/>
    <w:rsid w:val="00454457"/>
    <w:rsid w:val="0045537B"/>
    <w:rsid w:val="00455455"/>
    <w:rsid w:val="00456091"/>
    <w:rsid w:val="0045653A"/>
    <w:rsid w:val="00456BB6"/>
    <w:rsid w:val="004574AB"/>
    <w:rsid w:val="00460508"/>
    <w:rsid w:val="00460972"/>
    <w:rsid w:val="00462233"/>
    <w:rsid w:val="0046390E"/>
    <w:rsid w:val="00465594"/>
    <w:rsid w:val="00466321"/>
    <w:rsid w:val="004667FF"/>
    <w:rsid w:val="00467D28"/>
    <w:rsid w:val="004719E1"/>
    <w:rsid w:val="0047302D"/>
    <w:rsid w:val="00473D77"/>
    <w:rsid w:val="00474852"/>
    <w:rsid w:val="00474F32"/>
    <w:rsid w:val="00475B33"/>
    <w:rsid w:val="00475EA3"/>
    <w:rsid w:val="00477136"/>
    <w:rsid w:val="0048052E"/>
    <w:rsid w:val="00480DB4"/>
    <w:rsid w:val="00480E59"/>
    <w:rsid w:val="00483219"/>
    <w:rsid w:val="004833D9"/>
    <w:rsid w:val="00483FD3"/>
    <w:rsid w:val="00484244"/>
    <w:rsid w:val="004842A2"/>
    <w:rsid w:val="00484B9B"/>
    <w:rsid w:val="00484BE6"/>
    <w:rsid w:val="00484E68"/>
    <w:rsid w:val="004855F6"/>
    <w:rsid w:val="004856F1"/>
    <w:rsid w:val="0048661E"/>
    <w:rsid w:val="00486D78"/>
    <w:rsid w:val="00487A76"/>
    <w:rsid w:val="00491012"/>
    <w:rsid w:val="004920F4"/>
    <w:rsid w:val="00492AC1"/>
    <w:rsid w:val="00492DED"/>
    <w:rsid w:val="004930BD"/>
    <w:rsid w:val="004931E8"/>
    <w:rsid w:val="00494670"/>
    <w:rsid w:val="00495965"/>
    <w:rsid w:val="004974B1"/>
    <w:rsid w:val="004A144C"/>
    <w:rsid w:val="004A145E"/>
    <w:rsid w:val="004A1EEC"/>
    <w:rsid w:val="004A29AA"/>
    <w:rsid w:val="004A2E5B"/>
    <w:rsid w:val="004A3823"/>
    <w:rsid w:val="004A4E42"/>
    <w:rsid w:val="004A6499"/>
    <w:rsid w:val="004A76CD"/>
    <w:rsid w:val="004B1156"/>
    <w:rsid w:val="004B2E79"/>
    <w:rsid w:val="004B2F2F"/>
    <w:rsid w:val="004B3A9F"/>
    <w:rsid w:val="004B4649"/>
    <w:rsid w:val="004B4D6C"/>
    <w:rsid w:val="004B6DD6"/>
    <w:rsid w:val="004B7269"/>
    <w:rsid w:val="004B7D4E"/>
    <w:rsid w:val="004C0F85"/>
    <w:rsid w:val="004C24E9"/>
    <w:rsid w:val="004C3430"/>
    <w:rsid w:val="004C36F7"/>
    <w:rsid w:val="004C3C5B"/>
    <w:rsid w:val="004C4E28"/>
    <w:rsid w:val="004C55D0"/>
    <w:rsid w:val="004C6969"/>
    <w:rsid w:val="004C740E"/>
    <w:rsid w:val="004C7B23"/>
    <w:rsid w:val="004D0740"/>
    <w:rsid w:val="004D15FD"/>
    <w:rsid w:val="004D1EFC"/>
    <w:rsid w:val="004D2535"/>
    <w:rsid w:val="004D26F2"/>
    <w:rsid w:val="004D2B64"/>
    <w:rsid w:val="004D64F0"/>
    <w:rsid w:val="004D64F1"/>
    <w:rsid w:val="004D6D6A"/>
    <w:rsid w:val="004D7342"/>
    <w:rsid w:val="004D7F8B"/>
    <w:rsid w:val="004E015F"/>
    <w:rsid w:val="004E0D55"/>
    <w:rsid w:val="004E1C0E"/>
    <w:rsid w:val="004E3CDF"/>
    <w:rsid w:val="004E5C60"/>
    <w:rsid w:val="004E6527"/>
    <w:rsid w:val="004E6593"/>
    <w:rsid w:val="004E6946"/>
    <w:rsid w:val="004E7660"/>
    <w:rsid w:val="004E7B3C"/>
    <w:rsid w:val="004E7DA0"/>
    <w:rsid w:val="004E7EE5"/>
    <w:rsid w:val="004F0385"/>
    <w:rsid w:val="004F1AD8"/>
    <w:rsid w:val="004F27A9"/>
    <w:rsid w:val="004F2880"/>
    <w:rsid w:val="004F2B78"/>
    <w:rsid w:val="004F3EC2"/>
    <w:rsid w:val="004F519C"/>
    <w:rsid w:val="004F55B2"/>
    <w:rsid w:val="004F6A36"/>
    <w:rsid w:val="004F6D2D"/>
    <w:rsid w:val="004F6DF5"/>
    <w:rsid w:val="004F6DFB"/>
    <w:rsid w:val="0050044B"/>
    <w:rsid w:val="00500FCC"/>
    <w:rsid w:val="0050282C"/>
    <w:rsid w:val="00502F08"/>
    <w:rsid w:val="005039CB"/>
    <w:rsid w:val="0050558F"/>
    <w:rsid w:val="0050586A"/>
    <w:rsid w:val="00506286"/>
    <w:rsid w:val="005073DE"/>
    <w:rsid w:val="00510813"/>
    <w:rsid w:val="00511077"/>
    <w:rsid w:val="00511990"/>
    <w:rsid w:val="00511DE0"/>
    <w:rsid w:val="00512423"/>
    <w:rsid w:val="0051354B"/>
    <w:rsid w:val="00513748"/>
    <w:rsid w:val="00513C82"/>
    <w:rsid w:val="00514686"/>
    <w:rsid w:val="0051472D"/>
    <w:rsid w:val="00514870"/>
    <w:rsid w:val="00514B9B"/>
    <w:rsid w:val="005150AC"/>
    <w:rsid w:val="00515490"/>
    <w:rsid w:val="00515D49"/>
    <w:rsid w:val="005161C1"/>
    <w:rsid w:val="00517D1D"/>
    <w:rsid w:val="00517EA1"/>
    <w:rsid w:val="00517F02"/>
    <w:rsid w:val="0052094A"/>
    <w:rsid w:val="00521A88"/>
    <w:rsid w:val="00521ABC"/>
    <w:rsid w:val="005228CF"/>
    <w:rsid w:val="00524303"/>
    <w:rsid w:val="005258A2"/>
    <w:rsid w:val="00525A84"/>
    <w:rsid w:val="0052700E"/>
    <w:rsid w:val="005275B7"/>
    <w:rsid w:val="00527D44"/>
    <w:rsid w:val="005305F7"/>
    <w:rsid w:val="00530C1E"/>
    <w:rsid w:val="00530DA7"/>
    <w:rsid w:val="00531C7F"/>
    <w:rsid w:val="00531F39"/>
    <w:rsid w:val="005341D4"/>
    <w:rsid w:val="005345BE"/>
    <w:rsid w:val="00535DDA"/>
    <w:rsid w:val="00536797"/>
    <w:rsid w:val="00536D1F"/>
    <w:rsid w:val="00537F44"/>
    <w:rsid w:val="00540024"/>
    <w:rsid w:val="005401AE"/>
    <w:rsid w:val="00540845"/>
    <w:rsid w:val="00542E07"/>
    <w:rsid w:val="00544014"/>
    <w:rsid w:val="00545145"/>
    <w:rsid w:val="00545424"/>
    <w:rsid w:val="005459EF"/>
    <w:rsid w:val="005475D2"/>
    <w:rsid w:val="00551A34"/>
    <w:rsid w:val="0055264B"/>
    <w:rsid w:val="00554A7B"/>
    <w:rsid w:val="00555147"/>
    <w:rsid w:val="0055572C"/>
    <w:rsid w:val="005557A8"/>
    <w:rsid w:val="0056106A"/>
    <w:rsid w:val="0056109E"/>
    <w:rsid w:val="00562A77"/>
    <w:rsid w:val="00563622"/>
    <w:rsid w:val="00564226"/>
    <w:rsid w:val="00566426"/>
    <w:rsid w:val="005666F0"/>
    <w:rsid w:val="0056677F"/>
    <w:rsid w:val="00567051"/>
    <w:rsid w:val="005674D2"/>
    <w:rsid w:val="00567AE2"/>
    <w:rsid w:val="0057056F"/>
    <w:rsid w:val="0057071B"/>
    <w:rsid w:val="005720AE"/>
    <w:rsid w:val="005728ED"/>
    <w:rsid w:val="005753ED"/>
    <w:rsid w:val="00575762"/>
    <w:rsid w:val="00575EFB"/>
    <w:rsid w:val="00576982"/>
    <w:rsid w:val="005832DB"/>
    <w:rsid w:val="00583432"/>
    <w:rsid w:val="00583602"/>
    <w:rsid w:val="00583B41"/>
    <w:rsid w:val="00583C51"/>
    <w:rsid w:val="0058455B"/>
    <w:rsid w:val="005900CD"/>
    <w:rsid w:val="005909CB"/>
    <w:rsid w:val="00591FD3"/>
    <w:rsid w:val="00592314"/>
    <w:rsid w:val="00593C18"/>
    <w:rsid w:val="00593E77"/>
    <w:rsid w:val="00594D77"/>
    <w:rsid w:val="005969E4"/>
    <w:rsid w:val="00596EC2"/>
    <w:rsid w:val="00597306"/>
    <w:rsid w:val="00597C13"/>
    <w:rsid w:val="005A06B7"/>
    <w:rsid w:val="005A1759"/>
    <w:rsid w:val="005A2168"/>
    <w:rsid w:val="005A2401"/>
    <w:rsid w:val="005A2702"/>
    <w:rsid w:val="005A2884"/>
    <w:rsid w:val="005A2AC6"/>
    <w:rsid w:val="005A2AEB"/>
    <w:rsid w:val="005A3604"/>
    <w:rsid w:val="005A3A19"/>
    <w:rsid w:val="005A63D0"/>
    <w:rsid w:val="005A6514"/>
    <w:rsid w:val="005A68A7"/>
    <w:rsid w:val="005B171C"/>
    <w:rsid w:val="005B41CD"/>
    <w:rsid w:val="005B4DA2"/>
    <w:rsid w:val="005B5649"/>
    <w:rsid w:val="005B62FE"/>
    <w:rsid w:val="005C1387"/>
    <w:rsid w:val="005C1890"/>
    <w:rsid w:val="005C4420"/>
    <w:rsid w:val="005C47DB"/>
    <w:rsid w:val="005C542E"/>
    <w:rsid w:val="005C651C"/>
    <w:rsid w:val="005D0538"/>
    <w:rsid w:val="005D08BA"/>
    <w:rsid w:val="005D0C70"/>
    <w:rsid w:val="005D1C48"/>
    <w:rsid w:val="005D22CE"/>
    <w:rsid w:val="005D2B23"/>
    <w:rsid w:val="005D36AB"/>
    <w:rsid w:val="005D4AB0"/>
    <w:rsid w:val="005D4E9F"/>
    <w:rsid w:val="005D6597"/>
    <w:rsid w:val="005D6F7B"/>
    <w:rsid w:val="005E03EF"/>
    <w:rsid w:val="005E0D5D"/>
    <w:rsid w:val="005E4A2C"/>
    <w:rsid w:val="005E594A"/>
    <w:rsid w:val="005E6AC7"/>
    <w:rsid w:val="005E7324"/>
    <w:rsid w:val="005E7518"/>
    <w:rsid w:val="005E76AC"/>
    <w:rsid w:val="005F084E"/>
    <w:rsid w:val="005F0C3D"/>
    <w:rsid w:val="005F0EB0"/>
    <w:rsid w:val="005F194B"/>
    <w:rsid w:val="005F2982"/>
    <w:rsid w:val="005F35D9"/>
    <w:rsid w:val="005F48AC"/>
    <w:rsid w:val="005F5904"/>
    <w:rsid w:val="005F687B"/>
    <w:rsid w:val="00600328"/>
    <w:rsid w:val="006008F7"/>
    <w:rsid w:val="00601409"/>
    <w:rsid w:val="00601E34"/>
    <w:rsid w:val="00602351"/>
    <w:rsid w:val="00602D25"/>
    <w:rsid w:val="006038EB"/>
    <w:rsid w:val="00603E87"/>
    <w:rsid w:val="006066C3"/>
    <w:rsid w:val="00607CAD"/>
    <w:rsid w:val="00610B6E"/>
    <w:rsid w:val="00610BE5"/>
    <w:rsid w:val="00610CDC"/>
    <w:rsid w:val="00612541"/>
    <w:rsid w:val="006126E6"/>
    <w:rsid w:val="00612929"/>
    <w:rsid w:val="00613BE0"/>
    <w:rsid w:val="0061705A"/>
    <w:rsid w:val="00617433"/>
    <w:rsid w:val="00617CC3"/>
    <w:rsid w:val="00623154"/>
    <w:rsid w:val="00627799"/>
    <w:rsid w:val="00630A70"/>
    <w:rsid w:val="006314FD"/>
    <w:rsid w:val="006344C1"/>
    <w:rsid w:val="00634716"/>
    <w:rsid w:val="00636339"/>
    <w:rsid w:val="006377A6"/>
    <w:rsid w:val="00637A3D"/>
    <w:rsid w:val="006411EF"/>
    <w:rsid w:val="0064210A"/>
    <w:rsid w:val="006426F0"/>
    <w:rsid w:val="00642915"/>
    <w:rsid w:val="00642AFC"/>
    <w:rsid w:val="00643569"/>
    <w:rsid w:val="00643A92"/>
    <w:rsid w:val="006440D5"/>
    <w:rsid w:val="00645B05"/>
    <w:rsid w:val="00646F20"/>
    <w:rsid w:val="00647090"/>
    <w:rsid w:val="00650E42"/>
    <w:rsid w:val="0065124E"/>
    <w:rsid w:val="0065129B"/>
    <w:rsid w:val="006546D6"/>
    <w:rsid w:val="00660103"/>
    <w:rsid w:val="0066254C"/>
    <w:rsid w:val="00662703"/>
    <w:rsid w:val="00662E0E"/>
    <w:rsid w:val="0066382E"/>
    <w:rsid w:val="00666946"/>
    <w:rsid w:val="00666E4D"/>
    <w:rsid w:val="0067063F"/>
    <w:rsid w:val="00672D5E"/>
    <w:rsid w:val="006748B8"/>
    <w:rsid w:val="00675DFA"/>
    <w:rsid w:val="0067610B"/>
    <w:rsid w:val="006775C3"/>
    <w:rsid w:val="00677C71"/>
    <w:rsid w:val="00680537"/>
    <w:rsid w:val="00681D53"/>
    <w:rsid w:val="00682573"/>
    <w:rsid w:val="00683F97"/>
    <w:rsid w:val="00684C4B"/>
    <w:rsid w:val="006901F3"/>
    <w:rsid w:val="0069038A"/>
    <w:rsid w:val="006910E5"/>
    <w:rsid w:val="00691572"/>
    <w:rsid w:val="0069290A"/>
    <w:rsid w:val="00694912"/>
    <w:rsid w:val="00694B4B"/>
    <w:rsid w:val="00695E88"/>
    <w:rsid w:val="0069606A"/>
    <w:rsid w:val="00697363"/>
    <w:rsid w:val="006976CF"/>
    <w:rsid w:val="0069775A"/>
    <w:rsid w:val="00697813"/>
    <w:rsid w:val="006A084C"/>
    <w:rsid w:val="006A176D"/>
    <w:rsid w:val="006A1B66"/>
    <w:rsid w:val="006A37B0"/>
    <w:rsid w:val="006A3863"/>
    <w:rsid w:val="006A3EE8"/>
    <w:rsid w:val="006A5AC7"/>
    <w:rsid w:val="006A6557"/>
    <w:rsid w:val="006A72BF"/>
    <w:rsid w:val="006A7A49"/>
    <w:rsid w:val="006B03F2"/>
    <w:rsid w:val="006B1F72"/>
    <w:rsid w:val="006B2251"/>
    <w:rsid w:val="006B27F2"/>
    <w:rsid w:val="006B2F73"/>
    <w:rsid w:val="006B37DC"/>
    <w:rsid w:val="006B3F87"/>
    <w:rsid w:val="006B4F68"/>
    <w:rsid w:val="006B5831"/>
    <w:rsid w:val="006B5A8D"/>
    <w:rsid w:val="006B65E8"/>
    <w:rsid w:val="006B75E3"/>
    <w:rsid w:val="006B7A10"/>
    <w:rsid w:val="006C0592"/>
    <w:rsid w:val="006C1275"/>
    <w:rsid w:val="006C13B8"/>
    <w:rsid w:val="006C1CB2"/>
    <w:rsid w:val="006C272E"/>
    <w:rsid w:val="006C2C11"/>
    <w:rsid w:val="006C4EB9"/>
    <w:rsid w:val="006C5479"/>
    <w:rsid w:val="006C58BE"/>
    <w:rsid w:val="006C7C69"/>
    <w:rsid w:val="006D02AC"/>
    <w:rsid w:val="006D04A5"/>
    <w:rsid w:val="006D07E8"/>
    <w:rsid w:val="006D13B5"/>
    <w:rsid w:val="006D1617"/>
    <w:rsid w:val="006D2D67"/>
    <w:rsid w:val="006D3786"/>
    <w:rsid w:val="006D5074"/>
    <w:rsid w:val="006D5779"/>
    <w:rsid w:val="006E0430"/>
    <w:rsid w:val="006E0AE4"/>
    <w:rsid w:val="006E12FF"/>
    <w:rsid w:val="006E2A41"/>
    <w:rsid w:val="006E321B"/>
    <w:rsid w:val="006E607E"/>
    <w:rsid w:val="006E6AAE"/>
    <w:rsid w:val="006E79C7"/>
    <w:rsid w:val="006E7CFE"/>
    <w:rsid w:val="006F0310"/>
    <w:rsid w:val="006F1315"/>
    <w:rsid w:val="006F1D58"/>
    <w:rsid w:val="006F229F"/>
    <w:rsid w:val="006F324C"/>
    <w:rsid w:val="006F3CB6"/>
    <w:rsid w:val="006F46A8"/>
    <w:rsid w:val="006F54D0"/>
    <w:rsid w:val="006F5C53"/>
    <w:rsid w:val="006F7379"/>
    <w:rsid w:val="00703455"/>
    <w:rsid w:val="0070478B"/>
    <w:rsid w:val="007047D0"/>
    <w:rsid w:val="007048FD"/>
    <w:rsid w:val="0070539D"/>
    <w:rsid w:val="00706821"/>
    <w:rsid w:val="0070686C"/>
    <w:rsid w:val="00706C5D"/>
    <w:rsid w:val="00707EF8"/>
    <w:rsid w:val="0071035B"/>
    <w:rsid w:val="007107EE"/>
    <w:rsid w:val="00710C6E"/>
    <w:rsid w:val="0071269C"/>
    <w:rsid w:val="00712E74"/>
    <w:rsid w:val="007132EA"/>
    <w:rsid w:val="007139BA"/>
    <w:rsid w:val="007159E7"/>
    <w:rsid w:val="00721E6C"/>
    <w:rsid w:val="00724763"/>
    <w:rsid w:val="00724957"/>
    <w:rsid w:val="0072621E"/>
    <w:rsid w:val="007270A0"/>
    <w:rsid w:val="007279E9"/>
    <w:rsid w:val="00727AEE"/>
    <w:rsid w:val="00730064"/>
    <w:rsid w:val="007302C6"/>
    <w:rsid w:val="00732922"/>
    <w:rsid w:val="00732AB1"/>
    <w:rsid w:val="007332AB"/>
    <w:rsid w:val="0073370C"/>
    <w:rsid w:val="007340EE"/>
    <w:rsid w:val="00734223"/>
    <w:rsid w:val="00734AF9"/>
    <w:rsid w:val="00735DB2"/>
    <w:rsid w:val="00735EB4"/>
    <w:rsid w:val="00736092"/>
    <w:rsid w:val="007369DF"/>
    <w:rsid w:val="00736FA8"/>
    <w:rsid w:val="00737A13"/>
    <w:rsid w:val="00740299"/>
    <w:rsid w:val="007403A4"/>
    <w:rsid w:val="00740A48"/>
    <w:rsid w:val="00741846"/>
    <w:rsid w:val="0074303D"/>
    <w:rsid w:val="00743795"/>
    <w:rsid w:val="0074697F"/>
    <w:rsid w:val="00746C15"/>
    <w:rsid w:val="0074730B"/>
    <w:rsid w:val="007508D0"/>
    <w:rsid w:val="00750B47"/>
    <w:rsid w:val="0075162E"/>
    <w:rsid w:val="00752007"/>
    <w:rsid w:val="00752767"/>
    <w:rsid w:val="00753F40"/>
    <w:rsid w:val="00754034"/>
    <w:rsid w:val="00756020"/>
    <w:rsid w:val="00756556"/>
    <w:rsid w:val="00756F46"/>
    <w:rsid w:val="00756F48"/>
    <w:rsid w:val="00760253"/>
    <w:rsid w:val="007604F0"/>
    <w:rsid w:val="00760B23"/>
    <w:rsid w:val="007618C4"/>
    <w:rsid w:val="00761B26"/>
    <w:rsid w:val="00761D83"/>
    <w:rsid w:val="00761ED3"/>
    <w:rsid w:val="0076202A"/>
    <w:rsid w:val="007624AD"/>
    <w:rsid w:val="00763240"/>
    <w:rsid w:val="007637A9"/>
    <w:rsid w:val="00763830"/>
    <w:rsid w:val="007647A8"/>
    <w:rsid w:val="007650A7"/>
    <w:rsid w:val="00767980"/>
    <w:rsid w:val="00767B2A"/>
    <w:rsid w:val="00767D53"/>
    <w:rsid w:val="00770890"/>
    <w:rsid w:val="00770B19"/>
    <w:rsid w:val="00772B1F"/>
    <w:rsid w:val="0077463F"/>
    <w:rsid w:val="00776A0E"/>
    <w:rsid w:val="007802D8"/>
    <w:rsid w:val="00782806"/>
    <w:rsid w:val="0078287E"/>
    <w:rsid w:val="007836EA"/>
    <w:rsid w:val="0078392E"/>
    <w:rsid w:val="00784CDA"/>
    <w:rsid w:val="007853FD"/>
    <w:rsid w:val="007858C1"/>
    <w:rsid w:val="00787150"/>
    <w:rsid w:val="00787345"/>
    <w:rsid w:val="007901B8"/>
    <w:rsid w:val="0079031A"/>
    <w:rsid w:val="007906C4"/>
    <w:rsid w:val="00790920"/>
    <w:rsid w:val="00790994"/>
    <w:rsid w:val="007940EA"/>
    <w:rsid w:val="0079606C"/>
    <w:rsid w:val="007967E8"/>
    <w:rsid w:val="00797374"/>
    <w:rsid w:val="007A05A3"/>
    <w:rsid w:val="007A2170"/>
    <w:rsid w:val="007A22BF"/>
    <w:rsid w:val="007A3323"/>
    <w:rsid w:val="007A5200"/>
    <w:rsid w:val="007A5BD9"/>
    <w:rsid w:val="007A5C54"/>
    <w:rsid w:val="007A62C4"/>
    <w:rsid w:val="007A63BD"/>
    <w:rsid w:val="007B0523"/>
    <w:rsid w:val="007B1966"/>
    <w:rsid w:val="007B2443"/>
    <w:rsid w:val="007B3A2C"/>
    <w:rsid w:val="007B3C30"/>
    <w:rsid w:val="007B494A"/>
    <w:rsid w:val="007B4BE6"/>
    <w:rsid w:val="007B5950"/>
    <w:rsid w:val="007B62A7"/>
    <w:rsid w:val="007B72B8"/>
    <w:rsid w:val="007B75B1"/>
    <w:rsid w:val="007B7A58"/>
    <w:rsid w:val="007C21B5"/>
    <w:rsid w:val="007C2D24"/>
    <w:rsid w:val="007C444C"/>
    <w:rsid w:val="007C4A9F"/>
    <w:rsid w:val="007C4F50"/>
    <w:rsid w:val="007C6AA9"/>
    <w:rsid w:val="007D22C3"/>
    <w:rsid w:val="007D2CA5"/>
    <w:rsid w:val="007D2CB8"/>
    <w:rsid w:val="007D3BCD"/>
    <w:rsid w:val="007D485F"/>
    <w:rsid w:val="007D6C5D"/>
    <w:rsid w:val="007D7370"/>
    <w:rsid w:val="007D7397"/>
    <w:rsid w:val="007D7ABE"/>
    <w:rsid w:val="007E0B2F"/>
    <w:rsid w:val="007E1E3C"/>
    <w:rsid w:val="007E4008"/>
    <w:rsid w:val="007E423F"/>
    <w:rsid w:val="007E4BD2"/>
    <w:rsid w:val="007E5E0D"/>
    <w:rsid w:val="007E6733"/>
    <w:rsid w:val="007E736B"/>
    <w:rsid w:val="007F1903"/>
    <w:rsid w:val="007F374B"/>
    <w:rsid w:val="007F7073"/>
    <w:rsid w:val="00801393"/>
    <w:rsid w:val="00802E4A"/>
    <w:rsid w:val="00802F88"/>
    <w:rsid w:val="00803286"/>
    <w:rsid w:val="00803809"/>
    <w:rsid w:val="00803938"/>
    <w:rsid w:val="00804553"/>
    <w:rsid w:val="00804E24"/>
    <w:rsid w:val="00804F7C"/>
    <w:rsid w:val="0080517A"/>
    <w:rsid w:val="008060BD"/>
    <w:rsid w:val="00811879"/>
    <w:rsid w:val="00812379"/>
    <w:rsid w:val="00812835"/>
    <w:rsid w:val="0081293E"/>
    <w:rsid w:val="00813B84"/>
    <w:rsid w:val="00814486"/>
    <w:rsid w:val="00815465"/>
    <w:rsid w:val="0081587B"/>
    <w:rsid w:val="008173F6"/>
    <w:rsid w:val="00817505"/>
    <w:rsid w:val="00817E9A"/>
    <w:rsid w:val="008212B2"/>
    <w:rsid w:val="00821D41"/>
    <w:rsid w:val="00821F2F"/>
    <w:rsid w:val="00822B41"/>
    <w:rsid w:val="00822EFB"/>
    <w:rsid w:val="0082336D"/>
    <w:rsid w:val="0082459A"/>
    <w:rsid w:val="008253DA"/>
    <w:rsid w:val="00825B78"/>
    <w:rsid w:val="00826CA1"/>
    <w:rsid w:val="0082751A"/>
    <w:rsid w:val="008306BD"/>
    <w:rsid w:val="008308AB"/>
    <w:rsid w:val="00831A80"/>
    <w:rsid w:val="00831C9A"/>
    <w:rsid w:val="00833742"/>
    <w:rsid w:val="00833743"/>
    <w:rsid w:val="008340A4"/>
    <w:rsid w:val="00836BA9"/>
    <w:rsid w:val="00837DDA"/>
    <w:rsid w:val="00840110"/>
    <w:rsid w:val="008408FD"/>
    <w:rsid w:val="00840F3A"/>
    <w:rsid w:val="008413F9"/>
    <w:rsid w:val="008416A1"/>
    <w:rsid w:val="0084239D"/>
    <w:rsid w:val="008439B6"/>
    <w:rsid w:val="00847E04"/>
    <w:rsid w:val="008505B2"/>
    <w:rsid w:val="00850929"/>
    <w:rsid w:val="00851590"/>
    <w:rsid w:val="00851994"/>
    <w:rsid w:val="008520A5"/>
    <w:rsid w:val="008528C2"/>
    <w:rsid w:val="00852917"/>
    <w:rsid w:val="00853879"/>
    <w:rsid w:val="008539FB"/>
    <w:rsid w:val="00853A9D"/>
    <w:rsid w:val="00853F4D"/>
    <w:rsid w:val="00853F54"/>
    <w:rsid w:val="0085457A"/>
    <w:rsid w:val="00855B98"/>
    <w:rsid w:val="00855DD8"/>
    <w:rsid w:val="00855E51"/>
    <w:rsid w:val="008571C7"/>
    <w:rsid w:val="00857C63"/>
    <w:rsid w:val="00857CFE"/>
    <w:rsid w:val="00860541"/>
    <w:rsid w:val="008615B5"/>
    <w:rsid w:val="00861F49"/>
    <w:rsid w:val="00862FFD"/>
    <w:rsid w:val="00863C30"/>
    <w:rsid w:val="00864859"/>
    <w:rsid w:val="008666EB"/>
    <w:rsid w:val="008709D0"/>
    <w:rsid w:val="00870BD5"/>
    <w:rsid w:val="0087135F"/>
    <w:rsid w:val="00871A70"/>
    <w:rsid w:val="008726B0"/>
    <w:rsid w:val="00872D94"/>
    <w:rsid w:val="0087728B"/>
    <w:rsid w:val="0088007B"/>
    <w:rsid w:val="008800D2"/>
    <w:rsid w:val="00880364"/>
    <w:rsid w:val="008807D3"/>
    <w:rsid w:val="0088267E"/>
    <w:rsid w:val="0088412B"/>
    <w:rsid w:val="00885CAC"/>
    <w:rsid w:val="00886190"/>
    <w:rsid w:val="00887F0A"/>
    <w:rsid w:val="00891592"/>
    <w:rsid w:val="0089181D"/>
    <w:rsid w:val="00891DFE"/>
    <w:rsid w:val="00891E9E"/>
    <w:rsid w:val="0089226C"/>
    <w:rsid w:val="008924E9"/>
    <w:rsid w:val="008945A2"/>
    <w:rsid w:val="00894C51"/>
    <w:rsid w:val="00896579"/>
    <w:rsid w:val="008969C9"/>
    <w:rsid w:val="008A038F"/>
    <w:rsid w:val="008A2F68"/>
    <w:rsid w:val="008A3E2F"/>
    <w:rsid w:val="008A5E79"/>
    <w:rsid w:val="008A752E"/>
    <w:rsid w:val="008B009D"/>
    <w:rsid w:val="008B0DD5"/>
    <w:rsid w:val="008B2C01"/>
    <w:rsid w:val="008B335D"/>
    <w:rsid w:val="008B45B8"/>
    <w:rsid w:val="008B45DF"/>
    <w:rsid w:val="008B4FA6"/>
    <w:rsid w:val="008B5282"/>
    <w:rsid w:val="008B7C17"/>
    <w:rsid w:val="008B7C75"/>
    <w:rsid w:val="008C1ED6"/>
    <w:rsid w:val="008C2D01"/>
    <w:rsid w:val="008C2F6B"/>
    <w:rsid w:val="008C32CE"/>
    <w:rsid w:val="008C40E6"/>
    <w:rsid w:val="008C5063"/>
    <w:rsid w:val="008C622C"/>
    <w:rsid w:val="008C635E"/>
    <w:rsid w:val="008C6B0B"/>
    <w:rsid w:val="008C6C87"/>
    <w:rsid w:val="008C78F9"/>
    <w:rsid w:val="008D0773"/>
    <w:rsid w:val="008D0B51"/>
    <w:rsid w:val="008D0E90"/>
    <w:rsid w:val="008D0F7A"/>
    <w:rsid w:val="008D2ED9"/>
    <w:rsid w:val="008D31C0"/>
    <w:rsid w:val="008D4266"/>
    <w:rsid w:val="008D43EE"/>
    <w:rsid w:val="008D5014"/>
    <w:rsid w:val="008D5B3A"/>
    <w:rsid w:val="008D5C16"/>
    <w:rsid w:val="008D6389"/>
    <w:rsid w:val="008D68E4"/>
    <w:rsid w:val="008D6E46"/>
    <w:rsid w:val="008E0506"/>
    <w:rsid w:val="008E0CFF"/>
    <w:rsid w:val="008E29D7"/>
    <w:rsid w:val="008E3387"/>
    <w:rsid w:val="008E3692"/>
    <w:rsid w:val="008E3768"/>
    <w:rsid w:val="008E45EC"/>
    <w:rsid w:val="008E4C10"/>
    <w:rsid w:val="008E5D6B"/>
    <w:rsid w:val="008E60FF"/>
    <w:rsid w:val="008E6820"/>
    <w:rsid w:val="008E6B09"/>
    <w:rsid w:val="008E76F0"/>
    <w:rsid w:val="008F15FE"/>
    <w:rsid w:val="008F1791"/>
    <w:rsid w:val="008F1950"/>
    <w:rsid w:val="008F2D29"/>
    <w:rsid w:val="008F4383"/>
    <w:rsid w:val="008F5187"/>
    <w:rsid w:val="008F5F78"/>
    <w:rsid w:val="008F60D8"/>
    <w:rsid w:val="008F6307"/>
    <w:rsid w:val="00900230"/>
    <w:rsid w:val="0090062E"/>
    <w:rsid w:val="00900D4B"/>
    <w:rsid w:val="00902727"/>
    <w:rsid w:val="009027E3"/>
    <w:rsid w:val="0090312B"/>
    <w:rsid w:val="00904744"/>
    <w:rsid w:val="00905170"/>
    <w:rsid w:val="00906DAD"/>
    <w:rsid w:val="00907146"/>
    <w:rsid w:val="009073CA"/>
    <w:rsid w:val="009074AF"/>
    <w:rsid w:val="00910CDA"/>
    <w:rsid w:val="00912C5E"/>
    <w:rsid w:val="00913B90"/>
    <w:rsid w:val="009154A2"/>
    <w:rsid w:val="0091564F"/>
    <w:rsid w:val="0091569A"/>
    <w:rsid w:val="0091736D"/>
    <w:rsid w:val="0092047A"/>
    <w:rsid w:val="009206E9"/>
    <w:rsid w:val="00920C3F"/>
    <w:rsid w:val="00921A00"/>
    <w:rsid w:val="00922238"/>
    <w:rsid w:val="00924FBA"/>
    <w:rsid w:val="00925BAA"/>
    <w:rsid w:val="009262FA"/>
    <w:rsid w:val="00927288"/>
    <w:rsid w:val="0093037A"/>
    <w:rsid w:val="00931626"/>
    <w:rsid w:val="009322C8"/>
    <w:rsid w:val="009329A1"/>
    <w:rsid w:val="00932D29"/>
    <w:rsid w:val="00933A1E"/>
    <w:rsid w:val="00934DB9"/>
    <w:rsid w:val="00935550"/>
    <w:rsid w:val="00935664"/>
    <w:rsid w:val="009372C8"/>
    <w:rsid w:val="009400F1"/>
    <w:rsid w:val="009405FD"/>
    <w:rsid w:val="00941360"/>
    <w:rsid w:val="0094154D"/>
    <w:rsid w:val="00942750"/>
    <w:rsid w:val="0094302E"/>
    <w:rsid w:val="009438CA"/>
    <w:rsid w:val="009439ED"/>
    <w:rsid w:val="009448AD"/>
    <w:rsid w:val="00945BE3"/>
    <w:rsid w:val="00946E28"/>
    <w:rsid w:val="0095155F"/>
    <w:rsid w:val="00951823"/>
    <w:rsid w:val="00952C4A"/>
    <w:rsid w:val="00952DB7"/>
    <w:rsid w:val="009536DC"/>
    <w:rsid w:val="00954429"/>
    <w:rsid w:val="00956236"/>
    <w:rsid w:val="009563CE"/>
    <w:rsid w:val="0095711E"/>
    <w:rsid w:val="00957922"/>
    <w:rsid w:val="00957936"/>
    <w:rsid w:val="00960C24"/>
    <w:rsid w:val="009613A7"/>
    <w:rsid w:val="00962EAE"/>
    <w:rsid w:val="0096398F"/>
    <w:rsid w:val="00964241"/>
    <w:rsid w:val="0096593B"/>
    <w:rsid w:val="00965EC1"/>
    <w:rsid w:val="00966D3A"/>
    <w:rsid w:val="00970371"/>
    <w:rsid w:val="00970D74"/>
    <w:rsid w:val="00970E91"/>
    <w:rsid w:val="00972A77"/>
    <w:rsid w:val="00973B93"/>
    <w:rsid w:val="00973D01"/>
    <w:rsid w:val="009749EC"/>
    <w:rsid w:val="00976328"/>
    <w:rsid w:val="0097680D"/>
    <w:rsid w:val="00976E94"/>
    <w:rsid w:val="00976EAC"/>
    <w:rsid w:val="0098184D"/>
    <w:rsid w:val="00981C4A"/>
    <w:rsid w:val="00982438"/>
    <w:rsid w:val="00982F21"/>
    <w:rsid w:val="009832FF"/>
    <w:rsid w:val="00983FE2"/>
    <w:rsid w:val="0098404C"/>
    <w:rsid w:val="0098515E"/>
    <w:rsid w:val="009851E0"/>
    <w:rsid w:val="00985283"/>
    <w:rsid w:val="009854D9"/>
    <w:rsid w:val="009879D4"/>
    <w:rsid w:val="00987AE2"/>
    <w:rsid w:val="00990E7E"/>
    <w:rsid w:val="009936F0"/>
    <w:rsid w:val="00993832"/>
    <w:rsid w:val="00993960"/>
    <w:rsid w:val="00995646"/>
    <w:rsid w:val="00995992"/>
    <w:rsid w:val="0099603D"/>
    <w:rsid w:val="009965B4"/>
    <w:rsid w:val="00997ADD"/>
    <w:rsid w:val="00997C2C"/>
    <w:rsid w:val="009A03E5"/>
    <w:rsid w:val="009A0EE8"/>
    <w:rsid w:val="009A0F3B"/>
    <w:rsid w:val="009A1875"/>
    <w:rsid w:val="009A1BB4"/>
    <w:rsid w:val="009A2628"/>
    <w:rsid w:val="009A2720"/>
    <w:rsid w:val="009A285E"/>
    <w:rsid w:val="009A3200"/>
    <w:rsid w:val="009A4323"/>
    <w:rsid w:val="009A5B4E"/>
    <w:rsid w:val="009B0897"/>
    <w:rsid w:val="009B1868"/>
    <w:rsid w:val="009B30AF"/>
    <w:rsid w:val="009B33BD"/>
    <w:rsid w:val="009B466F"/>
    <w:rsid w:val="009B6B6F"/>
    <w:rsid w:val="009B6CC8"/>
    <w:rsid w:val="009B6DBD"/>
    <w:rsid w:val="009B7439"/>
    <w:rsid w:val="009B7650"/>
    <w:rsid w:val="009B7BD9"/>
    <w:rsid w:val="009C1B42"/>
    <w:rsid w:val="009C3171"/>
    <w:rsid w:val="009C39AA"/>
    <w:rsid w:val="009C3F3E"/>
    <w:rsid w:val="009C7189"/>
    <w:rsid w:val="009C7DD5"/>
    <w:rsid w:val="009D04EF"/>
    <w:rsid w:val="009D10A3"/>
    <w:rsid w:val="009D1BFB"/>
    <w:rsid w:val="009D3E61"/>
    <w:rsid w:val="009D4535"/>
    <w:rsid w:val="009D4B4B"/>
    <w:rsid w:val="009D4D7E"/>
    <w:rsid w:val="009D5033"/>
    <w:rsid w:val="009D5D0E"/>
    <w:rsid w:val="009D5DD9"/>
    <w:rsid w:val="009D6586"/>
    <w:rsid w:val="009D67DA"/>
    <w:rsid w:val="009E08A2"/>
    <w:rsid w:val="009E227D"/>
    <w:rsid w:val="009E5019"/>
    <w:rsid w:val="009E5371"/>
    <w:rsid w:val="009E59C8"/>
    <w:rsid w:val="009E5ACC"/>
    <w:rsid w:val="009E6AAD"/>
    <w:rsid w:val="009E6D52"/>
    <w:rsid w:val="009F04EE"/>
    <w:rsid w:val="009F090E"/>
    <w:rsid w:val="009F2D15"/>
    <w:rsid w:val="009F36BD"/>
    <w:rsid w:val="009F3A80"/>
    <w:rsid w:val="009F3BB7"/>
    <w:rsid w:val="009F3CA8"/>
    <w:rsid w:val="009F3F92"/>
    <w:rsid w:val="009F4AA3"/>
    <w:rsid w:val="009F735E"/>
    <w:rsid w:val="009F753D"/>
    <w:rsid w:val="00A005F8"/>
    <w:rsid w:val="00A00DF4"/>
    <w:rsid w:val="00A02E53"/>
    <w:rsid w:val="00A02EAC"/>
    <w:rsid w:val="00A0337D"/>
    <w:rsid w:val="00A04F1B"/>
    <w:rsid w:val="00A0501B"/>
    <w:rsid w:val="00A06006"/>
    <w:rsid w:val="00A06016"/>
    <w:rsid w:val="00A06445"/>
    <w:rsid w:val="00A07937"/>
    <w:rsid w:val="00A108D9"/>
    <w:rsid w:val="00A1314D"/>
    <w:rsid w:val="00A13F7F"/>
    <w:rsid w:val="00A14947"/>
    <w:rsid w:val="00A155FE"/>
    <w:rsid w:val="00A16048"/>
    <w:rsid w:val="00A16184"/>
    <w:rsid w:val="00A2148A"/>
    <w:rsid w:val="00A2186E"/>
    <w:rsid w:val="00A2190E"/>
    <w:rsid w:val="00A21F98"/>
    <w:rsid w:val="00A22BA7"/>
    <w:rsid w:val="00A22C06"/>
    <w:rsid w:val="00A24356"/>
    <w:rsid w:val="00A24980"/>
    <w:rsid w:val="00A24D6C"/>
    <w:rsid w:val="00A2727B"/>
    <w:rsid w:val="00A27A74"/>
    <w:rsid w:val="00A30143"/>
    <w:rsid w:val="00A302E1"/>
    <w:rsid w:val="00A320EE"/>
    <w:rsid w:val="00A32798"/>
    <w:rsid w:val="00A32A83"/>
    <w:rsid w:val="00A339D3"/>
    <w:rsid w:val="00A33B03"/>
    <w:rsid w:val="00A345D7"/>
    <w:rsid w:val="00A35CF5"/>
    <w:rsid w:val="00A36035"/>
    <w:rsid w:val="00A36865"/>
    <w:rsid w:val="00A368DB"/>
    <w:rsid w:val="00A36B25"/>
    <w:rsid w:val="00A373D8"/>
    <w:rsid w:val="00A407B5"/>
    <w:rsid w:val="00A40B21"/>
    <w:rsid w:val="00A4214B"/>
    <w:rsid w:val="00A423AA"/>
    <w:rsid w:val="00A435D5"/>
    <w:rsid w:val="00A45281"/>
    <w:rsid w:val="00A5060F"/>
    <w:rsid w:val="00A5171B"/>
    <w:rsid w:val="00A519A3"/>
    <w:rsid w:val="00A53EC6"/>
    <w:rsid w:val="00A54118"/>
    <w:rsid w:val="00A54A6D"/>
    <w:rsid w:val="00A55C0F"/>
    <w:rsid w:val="00A56070"/>
    <w:rsid w:val="00A56340"/>
    <w:rsid w:val="00A5660D"/>
    <w:rsid w:val="00A56C5C"/>
    <w:rsid w:val="00A60847"/>
    <w:rsid w:val="00A608CF"/>
    <w:rsid w:val="00A61532"/>
    <w:rsid w:val="00A61C44"/>
    <w:rsid w:val="00A6210E"/>
    <w:rsid w:val="00A62179"/>
    <w:rsid w:val="00A62702"/>
    <w:rsid w:val="00A64BC8"/>
    <w:rsid w:val="00A6502C"/>
    <w:rsid w:val="00A6616C"/>
    <w:rsid w:val="00A66237"/>
    <w:rsid w:val="00A66AC2"/>
    <w:rsid w:val="00A71BB2"/>
    <w:rsid w:val="00A72BD9"/>
    <w:rsid w:val="00A73428"/>
    <w:rsid w:val="00A7366D"/>
    <w:rsid w:val="00A74716"/>
    <w:rsid w:val="00A74DEB"/>
    <w:rsid w:val="00A75609"/>
    <w:rsid w:val="00A75ED7"/>
    <w:rsid w:val="00A76472"/>
    <w:rsid w:val="00A766F2"/>
    <w:rsid w:val="00A76D7D"/>
    <w:rsid w:val="00A77568"/>
    <w:rsid w:val="00A779AA"/>
    <w:rsid w:val="00A80615"/>
    <w:rsid w:val="00A80BB6"/>
    <w:rsid w:val="00A82ABC"/>
    <w:rsid w:val="00A835F2"/>
    <w:rsid w:val="00A86002"/>
    <w:rsid w:val="00A864EC"/>
    <w:rsid w:val="00A87127"/>
    <w:rsid w:val="00A8713F"/>
    <w:rsid w:val="00A876F3"/>
    <w:rsid w:val="00A87D67"/>
    <w:rsid w:val="00A87F79"/>
    <w:rsid w:val="00A90609"/>
    <w:rsid w:val="00A90763"/>
    <w:rsid w:val="00A90970"/>
    <w:rsid w:val="00A90BA1"/>
    <w:rsid w:val="00A92A60"/>
    <w:rsid w:val="00A93623"/>
    <w:rsid w:val="00A93892"/>
    <w:rsid w:val="00A946E6"/>
    <w:rsid w:val="00A958BF"/>
    <w:rsid w:val="00A95BF5"/>
    <w:rsid w:val="00A967C0"/>
    <w:rsid w:val="00A96DA5"/>
    <w:rsid w:val="00A97233"/>
    <w:rsid w:val="00A97A9A"/>
    <w:rsid w:val="00AA0671"/>
    <w:rsid w:val="00AA1864"/>
    <w:rsid w:val="00AA2137"/>
    <w:rsid w:val="00AA2531"/>
    <w:rsid w:val="00AA2810"/>
    <w:rsid w:val="00AA4B4E"/>
    <w:rsid w:val="00AA4BCC"/>
    <w:rsid w:val="00AA68DD"/>
    <w:rsid w:val="00AA77A7"/>
    <w:rsid w:val="00AA7DE4"/>
    <w:rsid w:val="00AB12F5"/>
    <w:rsid w:val="00AB1E09"/>
    <w:rsid w:val="00AB3063"/>
    <w:rsid w:val="00AB3E13"/>
    <w:rsid w:val="00AB4FE9"/>
    <w:rsid w:val="00AB5330"/>
    <w:rsid w:val="00AB687F"/>
    <w:rsid w:val="00AB6A45"/>
    <w:rsid w:val="00AB70B9"/>
    <w:rsid w:val="00AB7747"/>
    <w:rsid w:val="00AB77E5"/>
    <w:rsid w:val="00AC14CE"/>
    <w:rsid w:val="00AC20D6"/>
    <w:rsid w:val="00AC2A56"/>
    <w:rsid w:val="00AC3279"/>
    <w:rsid w:val="00AC411C"/>
    <w:rsid w:val="00AC5A0F"/>
    <w:rsid w:val="00AC662D"/>
    <w:rsid w:val="00AC6DC9"/>
    <w:rsid w:val="00AD0017"/>
    <w:rsid w:val="00AD055E"/>
    <w:rsid w:val="00AD17B8"/>
    <w:rsid w:val="00AD2719"/>
    <w:rsid w:val="00AD3386"/>
    <w:rsid w:val="00AD37D3"/>
    <w:rsid w:val="00AD43BD"/>
    <w:rsid w:val="00AD47A7"/>
    <w:rsid w:val="00AD4A8F"/>
    <w:rsid w:val="00AD4EBE"/>
    <w:rsid w:val="00AD52A8"/>
    <w:rsid w:val="00AD5327"/>
    <w:rsid w:val="00AD59ED"/>
    <w:rsid w:val="00AD60F2"/>
    <w:rsid w:val="00AD720D"/>
    <w:rsid w:val="00AD7B82"/>
    <w:rsid w:val="00AD7E4E"/>
    <w:rsid w:val="00AE10F3"/>
    <w:rsid w:val="00AE13C3"/>
    <w:rsid w:val="00AE1759"/>
    <w:rsid w:val="00AE2461"/>
    <w:rsid w:val="00AE3062"/>
    <w:rsid w:val="00AE3BAD"/>
    <w:rsid w:val="00AE3FE4"/>
    <w:rsid w:val="00AE5F25"/>
    <w:rsid w:val="00AE71C6"/>
    <w:rsid w:val="00AE7544"/>
    <w:rsid w:val="00AE7F2F"/>
    <w:rsid w:val="00AF0CBF"/>
    <w:rsid w:val="00AF257F"/>
    <w:rsid w:val="00AF33CF"/>
    <w:rsid w:val="00AF3779"/>
    <w:rsid w:val="00AF47E9"/>
    <w:rsid w:val="00AF4D50"/>
    <w:rsid w:val="00AF5780"/>
    <w:rsid w:val="00AF6179"/>
    <w:rsid w:val="00AF626B"/>
    <w:rsid w:val="00AF7FBB"/>
    <w:rsid w:val="00B0110C"/>
    <w:rsid w:val="00B058F4"/>
    <w:rsid w:val="00B06609"/>
    <w:rsid w:val="00B069CE"/>
    <w:rsid w:val="00B11D51"/>
    <w:rsid w:val="00B1295A"/>
    <w:rsid w:val="00B1392F"/>
    <w:rsid w:val="00B13DF9"/>
    <w:rsid w:val="00B15952"/>
    <w:rsid w:val="00B20A45"/>
    <w:rsid w:val="00B21135"/>
    <w:rsid w:val="00B22C5C"/>
    <w:rsid w:val="00B232D7"/>
    <w:rsid w:val="00B247A3"/>
    <w:rsid w:val="00B24F30"/>
    <w:rsid w:val="00B255E5"/>
    <w:rsid w:val="00B264D1"/>
    <w:rsid w:val="00B265C1"/>
    <w:rsid w:val="00B273E8"/>
    <w:rsid w:val="00B30E66"/>
    <w:rsid w:val="00B31ABF"/>
    <w:rsid w:val="00B320F4"/>
    <w:rsid w:val="00B32DAB"/>
    <w:rsid w:val="00B33BE3"/>
    <w:rsid w:val="00B33C50"/>
    <w:rsid w:val="00B33F3D"/>
    <w:rsid w:val="00B34661"/>
    <w:rsid w:val="00B350EF"/>
    <w:rsid w:val="00B35544"/>
    <w:rsid w:val="00B400C1"/>
    <w:rsid w:val="00B40A92"/>
    <w:rsid w:val="00B4120C"/>
    <w:rsid w:val="00B41664"/>
    <w:rsid w:val="00B427AE"/>
    <w:rsid w:val="00B4349B"/>
    <w:rsid w:val="00B44121"/>
    <w:rsid w:val="00B44859"/>
    <w:rsid w:val="00B46521"/>
    <w:rsid w:val="00B47139"/>
    <w:rsid w:val="00B474EE"/>
    <w:rsid w:val="00B47F62"/>
    <w:rsid w:val="00B506DA"/>
    <w:rsid w:val="00B515BB"/>
    <w:rsid w:val="00B52302"/>
    <w:rsid w:val="00B53248"/>
    <w:rsid w:val="00B533DF"/>
    <w:rsid w:val="00B53B5D"/>
    <w:rsid w:val="00B55D76"/>
    <w:rsid w:val="00B55E3F"/>
    <w:rsid w:val="00B57811"/>
    <w:rsid w:val="00B57EA4"/>
    <w:rsid w:val="00B6055E"/>
    <w:rsid w:val="00B60842"/>
    <w:rsid w:val="00B609E5"/>
    <w:rsid w:val="00B622EC"/>
    <w:rsid w:val="00B62F7B"/>
    <w:rsid w:val="00B6317D"/>
    <w:rsid w:val="00B643C9"/>
    <w:rsid w:val="00B644B1"/>
    <w:rsid w:val="00B65068"/>
    <w:rsid w:val="00B65490"/>
    <w:rsid w:val="00B661A9"/>
    <w:rsid w:val="00B67394"/>
    <w:rsid w:val="00B709A9"/>
    <w:rsid w:val="00B70B9A"/>
    <w:rsid w:val="00B715E3"/>
    <w:rsid w:val="00B71658"/>
    <w:rsid w:val="00B71C60"/>
    <w:rsid w:val="00B71D58"/>
    <w:rsid w:val="00B71D5C"/>
    <w:rsid w:val="00B71E00"/>
    <w:rsid w:val="00B7277A"/>
    <w:rsid w:val="00B73BEA"/>
    <w:rsid w:val="00B76B5B"/>
    <w:rsid w:val="00B76D7A"/>
    <w:rsid w:val="00B77138"/>
    <w:rsid w:val="00B7723F"/>
    <w:rsid w:val="00B80534"/>
    <w:rsid w:val="00B80E12"/>
    <w:rsid w:val="00B815A3"/>
    <w:rsid w:val="00B81B90"/>
    <w:rsid w:val="00B81DB6"/>
    <w:rsid w:val="00B82A17"/>
    <w:rsid w:val="00B82B33"/>
    <w:rsid w:val="00B8433C"/>
    <w:rsid w:val="00B86368"/>
    <w:rsid w:val="00B8637A"/>
    <w:rsid w:val="00B86EA4"/>
    <w:rsid w:val="00B87491"/>
    <w:rsid w:val="00B8791A"/>
    <w:rsid w:val="00B87B83"/>
    <w:rsid w:val="00B905A7"/>
    <w:rsid w:val="00B90BD5"/>
    <w:rsid w:val="00B9407E"/>
    <w:rsid w:val="00B946B6"/>
    <w:rsid w:val="00B948CA"/>
    <w:rsid w:val="00B94EDA"/>
    <w:rsid w:val="00B97E9F"/>
    <w:rsid w:val="00BA18B7"/>
    <w:rsid w:val="00BA24D1"/>
    <w:rsid w:val="00BA29E9"/>
    <w:rsid w:val="00BA4191"/>
    <w:rsid w:val="00BA4C9D"/>
    <w:rsid w:val="00BA4EDB"/>
    <w:rsid w:val="00BA563E"/>
    <w:rsid w:val="00BA5912"/>
    <w:rsid w:val="00BA62BB"/>
    <w:rsid w:val="00BA63FE"/>
    <w:rsid w:val="00BA7142"/>
    <w:rsid w:val="00BB0B09"/>
    <w:rsid w:val="00BB174A"/>
    <w:rsid w:val="00BB1811"/>
    <w:rsid w:val="00BB1E8B"/>
    <w:rsid w:val="00BB237C"/>
    <w:rsid w:val="00BB3074"/>
    <w:rsid w:val="00BB41A3"/>
    <w:rsid w:val="00BB4FB0"/>
    <w:rsid w:val="00BB5C6F"/>
    <w:rsid w:val="00BB5C85"/>
    <w:rsid w:val="00BB6821"/>
    <w:rsid w:val="00BB7A68"/>
    <w:rsid w:val="00BC11DB"/>
    <w:rsid w:val="00BC191E"/>
    <w:rsid w:val="00BC2EA0"/>
    <w:rsid w:val="00BC32DC"/>
    <w:rsid w:val="00BC35B6"/>
    <w:rsid w:val="00BC6CB5"/>
    <w:rsid w:val="00BC7E26"/>
    <w:rsid w:val="00BD1B51"/>
    <w:rsid w:val="00BD2C12"/>
    <w:rsid w:val="00BD3E3F"/>
    <w:rsid w:val="00BD3FDF"/>
    <w:rsid w:val="00BD4596"/>
    <w:rsid w:val="00BD49AD"/>
    <w:rsid w:val="00BD5B58"/>
    <w:rsid w:val="00BD5CC4"/>
    <w:rsid w:val="00BD637E"/>
    <w:rsid w:val="00BE1405"/>
    <w:rsid w:val="00BE312D"/>
    <w:rsid w:val="00BE373E"/>
    <w:rsid w:val="00BE4682"/>
    <w:rsid w:val="00BE65C4"/>
    <w:rsid w:val="00BE6A2B"/>
    <w:rsid w:val="00BE7D53"/>
    <w:rsid w:val="00BF115B"/>
    <w:rsid w:val="00BF190A"/>
    <w:rsid w:val="00BF1AE9"/>
    <w:rsid w:val="00BF1C20"/>
    <w:rsid w:val="00BF1C64"/>
    <w:rsid w:val="00BF1D84"/>
    <w:rsid w:val="00BF31B7"/>
    <w:rsid w:val="00BF3AE4"/>
    <w:rsid w:val="00BF4517"/>
    <w:rsid w:val="00BF4F08"/>
    <w:rsid w:val="00C00604"/>
    <w:rsid w:val="00C04C6F"/>
    <w:rsid w:val="00C061DC"/>
    <w:rsid w:val="00C10265"/>
    <w:rsid w:val="00C10578"/>
    <w:rsid w:val="00C1062A"/>
    <w:rsid w:val="00C10EF6"/>
    <w:rsid w:val="00C1219A"/>
    <w:rsid w:val="00C12708"/>
    <w:rsid w:val="00C135BC"/>
    <w:rsid w:val="00C144E8"/>
    <w:rsid w:val="00C15C95"/>
    <w:rsid w:val="00C15D76"/>
    <w:rsid w:val="00C16225"/>
    <w:rsid w:val="00C172E3"/>
    <w:rsid w:val="00C20624"/>
    <w:rsid w:val="00C22550"/>
    <w:rsid w:val="00C23368"/>
    <w:rsid w:val="00C23C62"/>
    <w:rsid w:val="00C24A08"/>
    <w:rsid w:val="00C24F02"/>
    <w:rsid w:val="00C25752"/>
    <w:rsid w:val="00C2596A"/>
    <w:rsid w:val="00C26EC9"/>
    <w:rsid w:val="00C27537"/>
    <w:rsid w:val="00C27A05"/>
    <w:rsid w:val="00C27B76"/>
    <w:rsid w:val="00C30193"/>
    <w:rsid w:val="00C309FA"/>
    <w:rsid w:val="00C31210"/>
    <w:rsid w:val="00C328FE"/>
    <w:rsid w:val="00C32F0C"/>
    <w:rsid w:val="00C333A9"/>
    <w:rsid w:val="00C33507"/>
    <w:rsid w:val="00C33B19"/>
    <w:rsid w:val="00C35034"/>
    <w:rsid w:val="00C3565A"/>
    <w:rsid w:val="00C35F6E"/>
    <w:rsid w:val="00C364DE"/>
    <w:rsid w:val="00C40556"/>
    <w:rsid w:val="00C40DAF"/>
    <w:rsid w:val="00C41C03"/>
    <w:rsid w:val="00C4372F"/>
    <w:rsid w:val="00C43863"/>
    <w:rsid w:val="00C43F6F"/>
    <w:rsid w:val="00C4409D"/>
    <w:rsid w:val="00C443C7"/>
    <w:rsid w:val="00C444F8"/>
    <w:rsid w:val="00C44E72"/>
    <w:rsid w:val="00C44F2B"/>
    <w:rsid w:val="00C45A06"/>
    <w:rsid w:val="00C47B53"/>
    <w:rsid w:val="00C47E5B"/>
    <w:rsid w:val="00C47F92"/>
    <w:rsid w:val="00C503DD"/>
    <w:rsid w:val="00C50CF2"/>
    <w:rsid w:val="00C546A3"/>
    <w:rsid w:val="00C5471B"/>
    <w:rsid w:val="00C54851"/>
    <w:rsid w:val="00C55196"/>
    <w:rsid w:val="00C55B8E"/>
    <w:rsid w:val="00C55FB8"/>
    <w:rsid w:val="00C5612F"/>
    <w:rsid w:val="00C56546"/>
    <w:rsid w:val="00C56FD3"/>
    <w:rsid w:val="00C571F5"/>
    <w:rsid w:val="00C5780B"/>
    <w:rsid w:val="00C60DD7"/>
    <w:rsid w:val="00C61E4B"/>
    <w:rsid w:val="00C61ED0"/>
    <w:rsid w:val="00C62A7D"/>
    <w:rsid w:val="00C62F00"/>
    <w:rsid w:val="00C640D6"/>
    <w:rsid w:val="00C640DF"/>
    <w:rsid w:val="00C64BFF"/>
    <w:rsid w:val="00C64DAF"/>
    <w:rsid w:val="00C704E9"/>
    <w:rsid w:val="00C71F99"/>
    <w:rsid w:val="00C72A60"/>
    <w:rsid w:val="00C73C3E"/>
    <w:rsid w:val="00C74197"/>
    <w:rsid w:val="00C74257"/>
    <w:rsid w:val="00C74C7A"/>
    <w:rsid w:val="00C751F6"/>
    <w:rsid w:val="00C754EA"/>
    <w:rsid w:val="00C75BCF"/>
    <w:rsid w:val="00C75FE2"/>
    <w:rsid w:val="00C763C9"/>
    <w:rsid w:val="00C76900"/>
    <w:rsid w:val="00C80057"/>
    <w:rsid w:val="00C8076A"/>
    <w:rsid w:val="00C82232"/>
    <w:rsid w:val="00C82913"/>
    <w:rsid w:val="00C82B9C"/>
    <w:rsid w:val="00C83453"/>
    <w:rsid w:val="00C83A01"/>
    <w:rsid w:val="00C848C2"/>
    <w:rsid w:val="00C85867"/>
    <w:rsid w:val="00C859DC"/>
    <w:rsid w:val="00C87A42"/>
    <w:rsid w:val="00C87D37"/>
    <w:rsid w:val="00C9063B"/>
    <w:rsid w:val="00C90B0E"/>
    <w:rsid w:val="00C9101C"/>
    <w:rsid w:val="00C91BC5"/>
    <w:rsid w:val="00C921FA"/>
    <w:rsid w:val="00C9423E"/>
    <w:rsid w:val="00C958C5"/>
    <w:rsid w:val="00C96EB6"/>
    <w:rsid w:val="00C972B1"/>
    <w:rsid w:val="00CA11E9"/>
    <w:rsid w:val="00CA18FD"/>
    <w:rsid w:val="00CA2332"/>
    <w:rsid w:val="00CA27A3"/>
    <w:rsid w:val="00CA29F9"/>
    <w:rsid w:val="00CA2CCE"/>
    <w:rsid w:val="00CA306D"/>
    <w:rsid w:val="00CA43FD"/>
    <w:rsid w:val="00CA512A"/>
    <w:rsid w:val="00CA6949"/>
    <w:rsid w:val="00CA7ADC"/>
    <w:rsid w:val="00CA7EF8"/>
    <w:rsid w:val="00CB009D"/>
    <w:rsid w:val="00CB03B8"/>
    <w:rsid w:val="00CB07D9"/>
    <w:rsid w:val="00CB3204"/>
    <w:rsid w:val="00CB3CE5"/>
    <w:rsid w:val="00CB7110"/>
    <w:rsid w:val="00CC058D"/>
    <w:rsid w:val="00CC0B5E"/>
    <w:rsid w:val="00CC1A19"/>
    <w:rsid w:val="00CC3883"/>
    <w:rsid w:val="00CC3FCE"/>
    <w:rsid w:val="00CC489B"/>
    <w:rsid w:val="00CC4EB0"/>
    <w:rsid w:val="00CC52F7"/>
    <w:rsid w:val="00CC553B"/>
    <w:rsid w:val="00CD0F09"/>
    <w:rsid w:val="00CD14A7"/>
    <w:rsid w:val="00CD267C"/>
    <w:rsid w:val="00CD2BCD"/>
    <w:rsid w:val="00CD3A4C"/>
    <w:rsid w:val="00CD46C4"/>
    <w:rsid w:val="00CD74B2"/>
    <w:rsid w:val="00CD77A2"/>
    <w:rsid w:val="00CE0099"/>
    <w:rsid w:val="00CE025D"/>
    <w:rsid w:val="00CE10E9"/>
    <w:rsid w:val="00CE2910"/>
    <w:rsid w:val="00CE3B6F"/>
    <w:rsid w:val="00CE48EF"/>
    <w:rsid w:val="00CE5393"/>
    <w:rsid w:val="00CE539F"/>
    <w:rsid w:val="00CE6CA8"/>
    <w:rsid w:val="00CE7994"/>
    <w:rsid w:val="00CF2DBC"/>
    <w:rsid w:val="00CF3595"/>
    <w:rsid w:val="00CF36BE"/>
    <w:rsid w:val="00CF4CDE"/>
    <w:rsid w:val="00CF5C1E"/>
    <w:rsid w:val="00CF6000"/>
    <w:rsid w:val="00CF7788"/>
    <w:rsid w:val="00D003F3"/>
    <w:rsid w:val="00D00F58"/>
    <w:rsid w:val="00D0110E"/>
    <w:rsid w:val="00D035C7"/>
    <w:rsid w:val="00D0364F"/>
    <w:rsid w:val="00D03BFB"/>
    <w:rsid w:val="00D03CB6"/>
    <w:rsid w:val="00D05E27"/>
    <w:rsid w:val="00D06834"/>
    <w:rsid w:val="00D06B11"/>
    <w:rsid w:val="00D06B9F"/>
    <w:rsid w:val="00D07C3C"/>
    <w:rsid w:val="00D11824"/>
    <w:rsid w:val="00D11DAB"/>
    <w:rsid w:val="00D15060"/>
    <w:rsid w:val="00D1599B"/>
    <w:rsid w:val="00D15BBC"/>
    <w:rsid w:val="00D160A9"/>
    <w:rsid w:val="00D175A1"/>
    <w:rsid w:val="00D20E67"/>
    <w:rsid w:val="00D22BCF"/>
    <w:rsid w:val="00D23BA2"/>
    <w:rsid w:val="00D23C5C"/>
    <w:rsid w:val="00D24452"/>
    <w:rsid w:val="00D2721E"/>
    <w:rsid w:val="00D27393"/>
    <w:rsid w:val="00D3084E"/>
    <w:rsid w:val="00D308ED"/>
    <w:rsid w:val="00D31861"/>
    <w:rsid w:val="00D3302B"/>
    <w:rsid w:val="00D36D86"/>
    <w:rsid w:val="00D37403"/>
    <w:rsid w:val="00D417F1"/>
    <w:rsid w:val="00D418C7"/>
    <w:rsid w:val="00D41DC5"/>
    <w:rsid w:val="00D428AA"/>
    <w:rsid w:val="00D4438E"/>
    <w:rsid w:val="00D45AC8"/>
    <w:rsid w:val="00D50A34"/>
    <w:rsid w:val="00D5103A"/>
    <w:rsid w:val="00D5144A"/>
    <w:rsid w:val="00D51A78"/>
    <w:rsid w:val="00D52B3B"/>
    <w:rsid w:val="00D53EFA"/>
    <w:rsid w:val="00D547C6"/>
    <w:rsid w:val="00D56230"/>
    <w:rsid w:val="00D564A1"/>
    <w:rsid w:val="00D57459"/>
    <w:rsid w:val="00D57E56"/>
    <w:rsid w:val="00D61E91"/>
    <w:rsid w:val="00D62DFB"/>
    <w:rsid w:val="00D64BDB"/>
    <w:rsid w:val="00D65C21"/>
    <w:rsid w:val="00D65C95"/>
    <w:rsid w:val="00D66791"/>
    <w:rsid w:val="00D67367"/>
    <w:rsid w:val="00D67765"/>
    <w:rsid w:val="00D71CF0"/>
    <w:rsid w:val="00D742CE"/>
    <w:rsid w:val="00D74E67"/>
    <w:rsid w:val="00D750BC"/>
    <w:rsid w:val="00D75CD0"/>
    <w:rsid w:val="00D761C6"/>
    <w:rsid w:val="00D80EE6"/>
    <w:rsid w:val="00D80EF6"/>
    <w:rsid w:val="00D81025"/>
    <w:rsid w:val="00D81871"/>
    <w:rsid w:val="00D824DF"/>
    <w:rsid w:val="00D851D3"/>
    <w:rsid w:val="00D8607B"/>
    <w:rsid w:val="00D861A2"/>
    <w:rsid w:val="00D90368"/>
    <w:rsid w:val="00D9182C"/>
    <w:rsid w:val="00D91AD6"/>
    <w:rsid w:val="00D92D24"/>
    <w:rsid w:val="00D93435"/>
    <w:rsid w:val="00D93BF4"/>
    <w:rsid w:val="00D94A7C"/>
    <w:rsid w:val="00D95896"/>
    <w:rsid w:val="00D965C4"/>
    <w:rsid w:val="00D96EC3"/>
    <w:rsid w:val="00D97375"/>
    <w:rsid w:val="00D97473"/>
    <w:rsid w:val="00D97595"/>
    <w:rsid w:val="00D97B8E"/>
    <w:rsid w:val="00DA068D"/>
    <w:rsid w:val="00DA0CB4"/>
    <w:rsid w:val="00DA1A35"/>
    <w:rsid w:val="00DA2F2D"/>
    <w:rsid w:val="00DA690E"/>
    <w:rsid w:val="00DA7121"/>
    <w:rsid w:val="00DB26EB"/>
    <w:rsid w:val="00DB2983"/>
    <w:rsid w:val="00DB2C9A"/>
    <w:rsid w:val="00DB50B6"/>
    <w:rsid w:val="00DB5190"/>
    <w:rsid w:val="00DB63E5"/>
    <w:rsid w:val="00DB6713"/>
    <w:rsid w:val="00DB69B1"/>
    <w:rsid w:val="00DB6D25"/>
    <w:rsid w:val="00DB6E9D"/>
    <w:rsid w:val="00DB7649"/>
    <w:rsid w:val="00DB7EAD"/>
    <w:rsid w:val="00DC1257"/>
    <w:rsid w:val="00DC1691"/>
    <w:rsid w:val="00DC1DA5"/>
    <w:rsid w:val="00DC2277"/>
    <w:rsid w:val="00DC3BFD"/>
    <w:rsid w:val="00DC3DC0"/>
    <w:rsid w:val="00DC40A3"/>
    <w:rsid w:val="00DC411E"/>
    <w:rsid w:val="00DC590E"/>
    <w:rsid w:val="00DC5B2B"/>
    <w:rsid w:val="00DC721A"/>
    <w:rsid w:val="00DD1994"/>
    <w:rsid w:val="00DD318D"/>
    <w:rsid w:val="00DD3AC2"/>
    <w:rsid w:val="00DD3ED9"/>
    <w:rsid w:val="00DD4B05"/>
    <w:rsid w:val="00DD6006"/>
    <w:rsid w:val="00DD789A"/>
    <w:rsid w:val="00DE050B"/>
    <w:rsid w:val="00DE0727"/>
    <w:rsid w:val="00DE0D12"/>
    <w:rsid w:val="00DE1183"/>
    <w:rsid w:val="00DE18E2"/>
    <w:rsid w:val="00DE1DA7"/>
    <w:rsid w:val="00DE2B79"/>
    <w:rsid w:val="00DE3405"/>
    <w:rsid w:val="00DE4105"/>
    <w:rsid w:val="00DE776C"/>
    <w:rsid w:val="00DF1C2F"/>
    <w:rsid w:val="00DF1F14"/>
    <w:rsid w:val="00DF2E12"/>
    <w:rsid w:val="00DF316C"/>
    <w:rsid w:val="00DF38C7"/>
    <w:rsid w:val="00DF3963"/>
    <w:rsid w:val="00DF47F5"/>
    <w:rsid w:val="00DF4F5B"/>
    <w:rsid w:val="00DF514A"/>
    <w:rsid w:val="00DF529E"/>
    <w:rsid w:val="00DF56C4"/>
    <w:rsid w:val="00DF6690"/>
    <w:rsid w:val="00DF6804"/>
    <w:rsid w:val="00DF68D6"/>
    <w:rsid w:val="00E013E1"/>
    <w:rsid w:val="00E01B3A"/>
    <w:rsid w:val="00E0284E"/>
    <w:rsid w:val="00E0358D"/>
    <w:rsid w:val="00E03A8D"/>
    <w:rsid w:val="00E040A2"/>
    <w:rsid w:val="00E04323"/>
    <w:rsid w:val="00E05849"/>
    <w:rsid w:val="00E070A2"/>
    <w:rsid w:val="00E07EF3"/>
    <w:rsid w:val="00E10E4D"/>
    <w:rsid w:val="00E117E6"/>
    <w:rsid w:val="00E11A86"/>
    <w:rsid w:val="00E1347A"/>
    <w:rsid w:val="00E14AEB"/>
    <w:rsid w:val="00E14E00"/>
    <w:rsid w:val="00E15A42"/>
    <w:rsid w:val="00E15B77"/>
    <w:rsid w:val="00E17576"/>
    <w:rsid w:val="00E210A2"/>
    <w:rsid w:val="00E22280"/>
    <w:rsid w:val="00E247A7"/>
    <w:rsid w:val="00E24DF8"/>
    <w:rsid w:val="00E2656A"/>
    <w:rsid w:val="00E2667A"/>
    <w:rsid w:val="00E26EA5"/>
    <w:rsid w:val="00E26F7C"/>
    <w:rsid w:val="00E27295"/>
    <w:rsid w:val="00E27341"/>
    <w:rsid w:val="00E273EC"/>
    <w:rsid w:val="00E334F9"/>
    <w:rsid w:val="00E350D2"/>
    <w:rsid w:val="00E3542B"/>
    <w:rsid w:val="00E36C9B"/>
    <w:rsid w:val="00E37D8A"/>
    <w:rsid w:val="00E37FE9"/>
    <w:rsid w:val="00E412D0"/>
    <w:rsid w:val="00E41810"/>
    <w:rsid w:val="00E42A4B"/>
    <w:rsid w:val="00E42B88"/>
    <w:rsid w:val="00E4471B"/>
    <w:rsid w:val="00E44D0F"/>
    <w:rsid w:val="00E44F44"/>
    <w:rsid w:val="00E450BE"/>
    <w:rsid w:val="00E45F50"/>
    <w:rsid w:val="00E51D45"/>
    <w:rsid w:val="00E5284A"/>
    <w:rsid w:val="00E53AB0"/>
    <w:rsid w:val="00E54351"/>
    <w:rsid w:val="00E55A2D"/>
    <w:rsid w:val="00E56322"/>
    <w:rsid w:val="00E56D56"/>
    <w:rsid w:val="00E5709C"/>
    <w:rsid w:val="00E60982"/>
    <w:rsid w:val="00E62C62"/>
    <w:rsid w:val="00E6355D"/>
    <w:rsid w:val="00E654C1"/>
    <w:rsid w:val="00E65D97"/>
    <w:rsid w:val="00E67895"/>
    <w:rsid w:val="00E679BA"/>
    <w:rsid w:val="00E701AD"/>
    <w:rsid w:val="00E70944"/>
    <w:rsid w:val="00E72397"/>
    <w:rsid w:val="00E72451"/>
    <w:rsid w:val="00E72A5A"/>
    <w:rsid w:val="00E73354"/>
    <w:rsid w:val="00E74423"/>
    <w:rsid w:val="00E74726"/>
    <w:rsid w:val="00E74D7A"/>
    <w:rsid w:val="00E75918"/>
    <w:rsid w:val="00E76029"/>
    <w:rsid w:val="00E76DA2"/>
    <w:rsid w:val="00E8178D"/>
    <w:rsid w:val="00E83AAE"/>
    <w:rsid w:val="00E864E8"/>
    <w:rsid w:val="00E86CFE"/>
    <w:rsid w:val="00E87123"/>
    <w:rsid w:val="00E9069B"/>
    <w:rsid w:val="00E91E68"/>
    <w:rsid w:val="00E9242D"/>
    <w:rsid w:val="00E928AF"/>
    <w:rsid w:val="00E9364C"/>
    <w:rsid w:val="00E9657C"/>
    <w:rsid w:val="00EA3919"/>
    <w:rsid w:val="00EA3E86"/>
    <w:rsid w:val="00EA50E9"/>
    <w:rsid w:val="00EA6BD6"/>
    <w:rsid w:val="00EB03F2"/>
    <w:rsid w:val="00EB0E56"/>
    <w:rsid w:val="00EB5255"/>
    <w:rsid w:val="00EB5C47"/>
    <w:rsid w:val="00EB62E9"/>
    <w:rsid w:val="00EB756C"/>
    <w:rsid w:val="00EB7E8E"/>
    <w:rsid w:val="00EB7EE7"/>
    <w:rsid w:val="00EC3D39"/>
    <w:rsid w:val="00EC473D"/>
    <w:rsid w:val="00EC5FC0"/>
    <w:rsid w:val="00ED0639"/>
    <w:rsid w:val="00ED08DB"/>
    <w:rsid w:val="00ED0C9E"/>
    <w:rsid w:val="00ED1136"/>
    <w:rsid w:val="00ED1939"/>
    <w:rsid w:val="00ED1D22"/>
    <w:rsid w:val="00ED22B3"/>
    <w:rsid w:val="00ED303B"/>
    <w:rsid w:val="00ED540E"/>
    <w:rsid w:val="00ED7259"/>
    <w:rsid w:val="00ED7BD2"/>
    <w:rsid w:val="00ED7C9E"/>
    <w:rsid w:val="00EE02E0"/>
    <w:rsid w:val="00EE26B1"/>
    <w:rsid w:val="00EE3F0F"/>
    <w:rsid w:val="00EE437C"/>
    <w:rsid w:val="00EE4AEE"/>
    <w:rsid w:val="00EE5B88"/>
    <w:rsid w:val="00EE5CE8"/>
    <w:rsid w:val="00EE6071"/>
    <w:rsid w:val="00EE68C1"/>
    <w:rsid w:val="00EE7846"/>
    <w:rsid w:val="00EE7A48"/>
    <w:rsid w:val="00EF023B"/>
    <w:rsid w:val="00EF1352"/>
    <w:rsid w:val="00EF3888"/>
    <w:rsid w:val="00EF3F91"/>
    <w:rsid w:val="00EF4755"/>
    <w:rsid w:val="00EF51F0"/>
    <w:rsid w:val="00EF5D30"/>
    <w:rsid w:val="00EF7135"/>
    <w:rsid w:val="00F008A3"/>
    <w:rsid w:val="00F0254A"/>
    <w:rsid w:val="00F027DB"/>
    <w:rsid w:val="00F052C2"/>
    <w:rsid w:val="00F05DA7"/>
    <w:rsid w:val="00F0745D"/>
    <w:rsid w:val="00F07A16"/>
    <w:rsid w:val="00F07D0C"/>
    <w:rsid w:val="00F07E5E"/>
    <w:rsid w:val="00F100E7"/>
    <w:rsid w:val="00F10435"/>
    <w:rsid w:val="00F1096D"/>
    <w:rsid w:val="00F11860"/>
    <w:rsid w:val="00F1465D"/>
    <w:rsid w:val="00F14A7A"/>
    <w:rsid w:val="00F15B65"/>
    <w:rsid w:val="00F1622E"/>
    <w:rsid w:val="00F1640A"/>
    <w:rsid w:val="00F22985"/>
    <w:rsid w:val="00F235C1"/>
    <w:rsid w:val="00F24F74"/>
    <w:rsid w:val="00F27204"/>
    <w:rsid w:val="00F305ED"/>
    <w:rsid w:val="00F30DA5"/>
    <w:rsid w:val="00F3215F"/>
    <w:rsid w:val="00F32505"/>
    <w:rsid w:val="00F32629"/>
    <w:rsid w:val="00F3383E"/>
    <w:rsid w:val="00F34E2D"/>
    <w:rsid w:val="00F35AF7"/>
    <w:rsid w:val="00F36968"/>
    <w:rsid w:val="00F3714A"/>
    <w:rsid w:val="00F402AE"/>
    <w:rsid w:val="00F404EE"/>
    <w:rsid w:val="00F42016"/>
    <w:rsid w:val="00F42D01"/>
    <w:rsid w:val="00F42E73"/>
    <w:rsid w:val="00F43A38"/>
    <w:rsid w:val="00F465A7"/>
    <w:rsid w:val="00F505B3"/>
    <w:rsid w:val="00F50B7C"/>
    <w:rsid w:val="00F50F3A"/>
    <w:rsid w:val="00F51135"/>
    <w:rsid w:val="00F520BA"/>
    <w:rsid w:val="00F540E5"/>
    <w:rsid w:val="00F550E6"/>
    <w:rsid w:val="00F552EB"/>
    <w:rsid w:val="00F56098"/>
    <w:rsid w:val="00F6071B"/>
    <w:rsid w:val="00F63D79"/>
    <w:rsid w:val="00F65403"/>
    <w:rsid w:val="00F6629A"/>
    <w:rsid w:val="00F66A27"/>
    <w:rsid w:val="00F66A29"/>
    <w:rsid w:val="00F67256"/>
    <w:rsid w:val="00F70355"/>
    <w:rsid w:val="00F70F06"/>
    <w:rsid w:val="00F713C1"/>
    <w:rsid w:val="00F71722"/>
    <w:rsid w:val="00F73077"/>
    <w:rsid w:val="00F74345"/>
    <w:rsid w:val="00F74C04"/>
    <w:rsid w:val="00F74C98"/>
    <w:rsid w:val="00F75063"/>
    <w:rsid w:val="00F762C2"/>
    <w:rsid w:val="00F7643D"/>
    <w:rsid w:val="00F77738"/>
    <w:rsid w:val="00F77E51"/>
    <w:rsid w:val="00F80A0A"/>
    <w:rsid w:val="00F80F1B"/>
    <w:rsid w:val="00F82B19"/>
    <w:rsid w:val="00F837B2"/>
    <w:rsid w:val="00F84524"/>
    <w:rsid w:val="00F85204"/>
    <w:rsid w:val="00F85E3A"/>
    <w:rsid w:val="00F8748C"/>
    <w:rsid w:val="00F8791D"/>
    <w:rsid w:val="00F90239"/>
    <w:rsid w:val="00F911F1"/>
    <w:rsid w:val="00F9212D"/>
    <w:rsid w:val="00F92EC9"/>
    <w:rsid w:val="00F9599D"/>
    <w:rsid w:val="00F965DA"/>
    <w:rsid w:val="00FA0185"/>
    <w:rsid w:val="00FA036D"/>
    <w:rsid w:val="00FA0A99"/>
    <w:rsid w:val="00FA0C3C"/>
    <w:rsid w:val="00FA1694"/>
    <w:rsid w:val="00FA3819"/>
    <w:rsid w:val="00FA406A"/>
    <w:rsid w:val="00FA6F91"/>
    <w:rsid w:val="00FA7581"/>
    <w:rsid w:val="00FB06AF"/>
    <w:rsid w:val="00FB15AF"/>
    <w:rsid w:val="00FB23EC"/>
    <w:rsid w:val="00FB34F3"/>
    <w:rsid w:val="00FB3E61"/>
    <w:rsid w:val="00FB4F02"/>
    <w:rsid w:val="00FB503A"/>
    <w:rsid w:val="00FB516C"/>
    <w:rsid w:val="00FB5A47"/>
    <w:rsid w:val="00FB6225"/>
    <w:rsid w:val="00FB66EA"/>
    <w:rsid w:val="00FB6BB0"/>
    <w:rsid w:val="00FC16B4"/>
    <w:rsid w:val="00FC1BC2"/>
    <w:rsid w:val="00FC5362"/>
    <w:rsid w:val="00FC69CC"/>
    <w:rsid w:val="00FC6A88"/>
    <w:rsid w:val="00FC6ADD"/>
    <w:rsid w:val="00FC6B9E"/>
    <w:rsid w:val="00FC6E8B"/>
    <w:rsid w:val="00FD0236"/>
    <w:rsid w:val="00FD0344"/>
    <w:rsid w:val="00FD06BC"/>
    <w:rsid w:val="00FD13EB"/>
    <w:rsid w:val="00FD17BD"/>
    <w:rsid w:val="00FD18F4"/>
    <w:rsid w:val="00FD1D3F"/>
    <w:rsid w:val="00FD31AE"/>
    <w:rsid w:val="00FD39BA"/>
    <w:rsid w:val="00FD4958"/>
    <w:rsid w:val="00FD54DB"/>
    <w:rsid w:val="00FD5D76"/>
    <w:rsid w:val="00FD619F"/>
    <w:rsid w:val="00FD6346"/>
    <w:rsid w:val="00FD655E"/>
    <w:rsid w:val="00FD65E0"/>
    <w:rsid w:val="00FD6A94"/>
    <w:rsid w:val="00FD77C2"/>
    <w:rsid w:val="00FE0544"/>
    <w:rsid w:val="00FE43AC"/>
    <w:rsid w:val="00FE464C"/>
    <w:rsid w:val="00FE6067"/>
    <w:rsid w:val="00FE770A"/>
    <w:rsid w:val="00FE7DCE"/>
    <w:rsid w:val="00FF046B"/>
    <w:rsid w:val="00FF05FA"/>
    <w:rsid w:val="00FF244A"/>
    <w:rsid w:val="00FF3D7C"/>
    <w:rsid w:val="00FF402A"/>
    <w:rsid w:val="00FF4AC3"/>
    <w:rsid w:val="00FF792C"/>
    <w:rsid w:val="01290F7E"/>
    <w:rsid w:val="015D1E09"/>
    <w:rsid w:val="015D5F2D"/>
    <w:rsid w:val="01936C47"/>
    <w:rsid w:val="020337FD"/>
    <w:rsid w:val="021E3E29"/>
    <w:rsid w:val="02564FD5"/>
    <w:rsid w:val="02697903"/>
    <w:rsid w:val="02A81442"/>
    <w:rsid w:val="02A951FA"/>
    <w:rsid w:val="02C12818"/>
    <w:rsid w:val="02CA41BA"/>
    <w:rsid w:val="02E14AF2"/>
    <w:rsid w:val="02F96569"/>
    <w:rsid w:val="03313BBA"/>
    <w:rsid w:val="037827D8"/>
    <w:rsid w:val="03D65A1C"/>
    <w:rsid w:val="03EA7B21"/>
    <w:rsid w:val="03F21924"/>
    <w:rsid w:val="040072B2"/>
    <w:rsid w:val="043529E0"/>
    <w:rsid w:val="045508BE"/>
    <w:rsid w:val="04A17E89"/>
    <w:rsid w:val="04FD06C6"/>
    <w:rsid w:val="05160534"/>
    <w:rsid w:val="056D4EBD"/>
    <w:rsid w:val="05A24EA8"/>
    <w:rsid w:val="05E308AF"/>
    <w:rsid w:val="05ED4B21"/>
    <w:rsid w:val="05F83EAE"/>
    <w:rsid w:val="063E7D85"/>
    <w:rsid w:val="06AB6847"/>
    <w:rsid w:val="06AD0C66"/>
    <w:rsid w:val="06AE12B7"/>
    <w:rsid w:val="06C257F4"/>
    <w:rsid w:val="06CC35FE"/>
    <w:rsid w:val="07293586"/>
    <w:rsid w:val="07295285"/>
    <w:rsid w:val="07636392"/>
    <w:rsid w:val="07770C56"/>
    <w:rsid w:val="078B3FEE"/>
    <w:rsid w:val="0864103F"/>
    <w:rsid w:val="088C7E80"/>
    <w:rsid w:val="08AB50F9"/>
    <w:rsid w:val="08F71C3B"/>
    <w:rsid w:val="090E304D"/>
    <w:rsid w:val="09163343"/>
    <w:rsid w:val="092217DD"/>
    <w:rsid w:val="092A51B9"/>
    <w:rsid w:val="0936159E"/>
    <w:rsid w:val="093A7294"/>
    <w:rsid w:val="094D63BF"/>
    <w:rsid w:val="099B7953"/>
    <w:rsid w:val="09AE14EA"/>
    <w:rsid w:val="0A1B667B"/>
    <w:rsid w:val="0A263993"/>
    <w:rsid w:val="0A2B5992"/>
    <w:rsid w:val="0A2D3AC2"/>
    <w:rsid w:val="0A395718"/>
    <w:rsid w:val="0A7C7F04"/>
    <w:rsid w:val="0AA5127F"/>
    <w:rsid w:val="0AA755DF"/>
    <w:rsid w:val="0B120D44"/>
    <w:rsid w:val="0B2B571F"/>
    <w:rsid w:val="0B5415DA"/>
    <w:rsid w:val="0B5F0746"/>
    <w:rsid w:val="0B7C4A6A"/>
    <w:rsid w:val="0B8E51BC"/>
    <w:rsid w:val="0BA2656B"/>
    <w:rsid w:val="0BAF6B47"/>
    <w:rsid w:val="0BD015AA"/>
    <w:rsid w:val="0BD27BF6"/>
    <w:rsid w:val="0BE83098"/>
    <w:rsid w:val="0BF71DAF"/>
    <w:rsid w:val="0C022D24"/>
    <w:rsid w:val="0C0A0C46"/>
    <w:rsid w:val="0C2236C2"/>
    <w:rsid w:val="0C3B3C7D"/>
    <w:rsid w:val="0C494AA6"/>
    <w:rsid w:val="0C6C2952"/>
    <w:rsid w:val="0C9B4BA8"/>
    <w:rsid w:val="0CAB2EAE"/>
    <w:rsid w:val="0CDA5987"/>
    <w:rsid w:val="0D066D1B"/>
    <w:rsid w:val="0D621C7D"/>
    <w:rsid w:val="0D7F062B"/>
    <w:rsid w:val="0D8D371C"/>
    <w:rsid w:val="0D921378"/>
    <w:rsid w:val="0DA66875"/>
    <w:rsid w:val="0E223FA6"/>
    <w:rsid w:val="0E296AEF"/>
    <w:rsid w:val="0E4C1F51"/>
    <w:rsid w:val="0E73034D"/>
    <w:rsid w:val="0E7F1381"/>
    <w:rsid w:val="0E9E25D2"/>
    <w:rsid w:val="0EB81D3A"/>
    <w:rsid w:val="0F13775A"/>
    <w:rsid w:val="0F4433A8"/>
    <w:rsid w:val="0F5F45FE"/>
    <w:rsid w:val="0F9A112B"/>
    <w:rsid w:val="0FD46539"/>
    <w:rsid w:val="10082DF1"/>
    <w:rsid w:val="100F0F39"/>
    <w:rsid w:val="10216AB2"/>
    <w:rsid w:val="10416171"/>
    <w:rsid w:val="10527DBE"/>
    <w:rsid w:val="105F4A60"/>
    <w:rsid w:val="10613DB1"/>
    <w:rsid w:val="10634589"/>
    <w:rsid w:val="106D2F64"/>
    <w:rsid w:val="10783C6D"/>
    <w:rsid w:val="107A0EFB"/>
    <w:rsid w:val="109A0A34"/>
    <w:rsid w:val="10B36C33"/>
    <w:rsid w:val="10B63710"/>
    <w:rsid w:val="10BB0EC9"/>
    <w:rsid w:val="10DE5F87"/>
    <w:rsid w:val="10F10820"/>
    <w:rsid w:val="110A6C99"/>
    <w:rsid w:val="111C2866"/>
    <w:rsid w:val="111C2F7A"/>
    <w:rsid w:val="112A2091"/>
    <w:rsid w:val="115B441C"/>
    <w:rsid w:val="11665CA1"/>
    <w:rsid w:val="11930A81"/>
    <w:rsid w:val="11B36C13"/>
    <w:rsid w:val="123927D9"/>
    <w:rsid w:val="1251627B"/>
    <w:rsid w:val="12650CAB"/>
    <w:rsid w:val="12755C89"/>
    <w:rsid w:val="12B258EC"/>
    <w:rsid w:val="12C813A7"/>
    <w:rsid w:val="13610660"/>
    <w:rsid w:val="13762662"/>
    <w:rsid w:val="13831F21"/>
    <w:rsid w:val="138F5172"/>
    <w:rsid w:val="13951726"/>
    <w:rsid w:val="13A34B0A"/>
    <w:rsid w:val="14024474"/>
    <w:rsid w:val="1413677C"/>
    <w:rsid w:val="1423494F"/>
    <w:rsid w:val="14396509"/>
    <w:rsid w:val="144548A0"/>
    <w:rsid w:val="144D0667"/>
    <w:rsid w:val="145B3582"/>
    <w:rsid w:val="148E2D53"/>
    <w:rsid w:val="14DD2C3C"/>
    <w:rsid w:val="14E7755B"/>
    <w:rsid w:val="14FD11F7"/>
    <w:rsid w:val="15016DDA"/>
    <w:rsid w:val="15253159"/>
    <w:rsid w:val="1535249A"/>
    <w:rsid w:val="15427F5D"/>
    <w:rsid w:val="1554303B"/>
    <w:rsid w:val="15773431"/>
    <w:rsid w:val="15903232"/>
    <w:rsid w:val="159F32BB"/>
    <w:rsid w:val="15A37D40"/>
    <w:rsid w:val="15A5792E"/>
    <w:rsid w:val="15BF7647"/>
    <w:rsid w:val="16087E1D"/>
    <w:rsid w:val="16194204"/>
    <w:rsid w:val="16295DF5"/>
    <w:rsid w:val="16396AA1"/>
    <w:rsid w:val="164B7F3D"/>
    <w:rsid w:val="164C1AC8"/>
    <w:rsid w:val="16D16AE3"/>
    <w:rsid w:val="17013326"/>
    <w:rsid w:val="17033ECD"/>
    <w:rsid w:val="170638C6"/>
    <w:rsid w:val="17184AC7"/>
    <w:rsid w:val="172C0815"/>
    <w:rsid w:val="173223B8"/>
    <w:rsid w:val="17521B72"/>
    <w:rsid w:val="17701D14"/>
    <w:rsid w:val="17735226"/>
    <w:rsid w:val="17884EC8"/>
    <w:rsid w:val="179F4971"/>
    <w:rsid w:val="17BA705B"/>
    <w:rsid w:val="18210B4C"/>
    <w:rsid w:val="183A5798"/>
    <w:rsid w:val="1870788F"/>
    <w:rsid w:val="18715284"/>
    <w:rsid w:val="187F19FD"/>
    <w:rsid w:val="18913D73"/>
    <w:rsid w:val="189D0495"/>
    <w:rsid w:val="189F624C"/>
    <w:rsid w:val="18AB2488"/>
    <w:rsid w:val="18B2596E"/>
    <w:rsid w:val="18D17427"/>
    <w:rsid w:val="18FB2B28"/>
    <w:rsid w:val="19934117"/>
    <w:rsid w:val="199B3BB7"/>
    <w:rsid w:val="19A37944"/>
    <w:rsid w:val="19CF4FD5"/>
    <w:rsid w:val="1A1C66C0"/>
    <w:rsid w:val="1A3D5939"/>
    <w:rsid w:val="1A4172D2"/>
    <w:rsid w:val="1A42393B"/>
    <w:rsid w:val="1A4A080A"/>
    <w:rsid w:val="1AAD45DE"/>
    <w:rsid w:val="1AB33AF2"/>
    <w:rsid w:val="1AE814A8"/>
    <w:rsid w:val="1AEE5F1D"/>
    <w:rsid w:val="1B046F80"/>
    <w:rsid w:val="1B05655B"/>
    <w:rsid w:val="1B1C62BB"/>
    <w:rsid w:val="1B3156EE"/>
    <w:rsid w:val="1B3267B5"/>
    <w:rsid w:val="1B40161D"/>
    <w:rsid w:val="1B441859"/>
    <w:rsid w:val="1B4521C0"/>
    <w:rsid w:val="1B5778A4"/>
    <w:rsid w:val="1B62768B"/>
    <w:rsid w:val="1B6606B1"/>
    <w:rsid w:val="1B753A8E"/>
    <w:rsid w:val="1B9575F6"/>
    <w:rsid w:val="1BA4747F"/>
    <w:rsid w:val="1BCC212B"/>
    <w:rsid w:val="1BD55EA4"/>
    <w:rsid w:val="1BD72C4B"/>
    <w:rsid w:val="1BE857ED"/>
    <w:rsid w:val="1BE8654A"/>
    <w:rsid w:val="1BF711F2"/>
    <w:rsid w:val="1C224766"/>
    <w:rsid w:val="1C362480"/>
    <w:rsid w:val="1C5E7925"/>
    <w:rsid w:val="1C635AF0"/>
    <w:rsid w:val="1C6F6FCC"/>
    <w:rsid w:val="1C7A6434"/>
    <w:rsid w:val="1C7F727A"/>
    <w:rsid w:val="1CD35D83"/>
    <w:rsid w:val="1CE43892"/>
    <w:rsid w:val="1CFD070F"/>
    <w:rsid w:val="1D3533A1"/>
    <w:rsid w:val="1D5F3D2D"/>
    <w:rsid w:val="1D5F6196"/>
    <w:rsid w:val="1D6132A5"/>
    <w:rsid w:val="1D622366"/>
    <w:rsid w:val="1D8208FE"/>
    <w:rsid w:val="1D84211C"/>
    <w:rsid w:val="1D8E56D5"/>
    <w:rsid w:val="1DC34FF6"/>
    <w:rsid w:val="1DF104C0"/>
    <w:rsid w:val="1E264BC0"/>
    <w:rsid w:val="1E325C04"/>
    <w:rsid w:val="1E3B5065"/>
    <w:rsid w:val="1E5C46C9"/>
    <w:rsid w:val="1E7A43DA"/>
    <w:rsid w:val="1E7E7ACB"/>
    <w:rsid w:val="1E9946ED"/>
    <w:rsid w:val="1EB84699"/>
    <w:rsid w:val="1F2A4C57"/>
    <w:rsid w:val="1F2F1CDE"/>
    <w:rsid w:val="1F744F49"/>
    <w:rsid w:val="1FE7539E"/>
    <w:rsid w:val="1FE95082"/>
    <w:rsid w:val="201340AD"/>
    <w:rsid w:val="20301205"/>
    <w:rsid w:val="2030279D"/>
    <w:rsid w:val="20671BE0"/>
    <w:rsid w:val="20804348"/>
    <w:rsid w:val="20963CB8"/>
    <w:rsid w:val="20A81A1B"/>
    <w:rsid w:val="20AD52D7"/>
    <w:rsid w:val="20B07FB6"/>
    <w:rsid w:val="20B646FB"/>
    <w:rsid w:val="20BC3DF8"/>
    <w:rsid w:val="20F2487C"/>
    <w:rsid w:val="210B2D1E"/>
    <w:rsid w:val="213B74B1"/>
    <w:rsid w:val="215A2310"/>
    <w:rsid w:val="2171202A"/>
    <w:rsid w:val="217B27D2"/>
    <w:rsid w:val="2187450F"/>
    <w:rsid w:val="218D12E5"/>
    <w:rsid w:val="21A6247F"/>
    <w:rsid w:val="21A62DA2"/>
    <w:rsid w:val="21B71FE3"/>
    <w:rsid w:val="21D85543"/>
    <w:rsid w:val="21DE318A"/>
    <w:rsid w:val="21EF5B80"/>
    <w:rsid w:val="21F726B1"/>
    <w:rsid w:val="21FE6B67"/>
    <w:rsid w:val="221243A5"/>
    <w:rsid w:val="22494FF3"/>
    <w:rsid w:val="22576990"/>
    <w:rsid w:val="22785192"/>
    <w:rsid w:val="229B15E4"/>
    <w:rsid w:val="22AB5C10"/>
    <w:rsid w:val="22B55A9A"/>
    <w:rsid w:val="22F47480"/>
    <w:rsid w:val="231E6249"/>
    <w:rsid w:val="232606A5"/>
    <w:rsid w:val="23600908"/>
    <w:rsid w:val="236045D7"/>
    <w:rsid w:val="236B50B0"/>
    <w:rsid w:val="23700D72"/>
    <w:rsid w:val="23890B88"/>
    <w:rsid w:val="23920FF6"/>
    <w:rsid w:val="23DE1C48"/>
    <w:rsid w:val="240210CD"/>
    <w:rsid w:val="242B2542"/>
    <w:rsid w:val="247034BA"/>
    <w:rsid w:val="24BF09F7"/>
    <w:rsid w:val="24C525F3"/>
    <w:rsid w:val="24CF05AA"/>
    <w:rsid w:val="24DB4DF1"/>
    <w:rsid w:val="24FE44FA"/>
    <w:rsid w:val="24FF19F8"/>
    <w:rsid w:val="252D53FE"/>
    <w:rsid w:val="25651337"/>
    <w:rsid w:val="258F19ED"/>
    <w:rsid w:val="2594333C"/>
    <w:rsid w:val="25C0343A"/>
    <w:rsid w:val="25D95C2E"/>
    <w:rsid w:val="25E638C7"/>
    <w:rsid w:val="25EC2D81"/>
    <w:rsid w:val="26696071"/>
    <w:rsid w:val="267D4D78"/>
    <w:rsid w:val="2702639F"/>
    <w:rsid w:val="271C7E64"/>
    <w:rsid w:val="273161A0"/>
    <w:rsid w:val="27447D74"/>
    <w:rsid w:val="276B05DA"/>
    <w:rsid w:val="277057A2"/>
    <w:rsid w:val="277D689D"/>
    <w:rsid w:val="277E7A16"/>
    <w:rsid w:val="27C5217C"/>
    <w:rsid w:val="280210FE"/>
    <w:rsid w:val="28114B4B"/>
    <w:rsid w:val="28275439"/>
    <w:rsid w:val="282E04AF"/>
    <w:rsid w:val="28477B68"/>
    <w:rsid w:val="284866D5"/>
    <w:rsid w:val="284C2D69"/>
    <w:rsid w:val="28562D16"/>
    <w:rsid w:val="28744C5A"/>
    <w:rsid w:val="288A5341"/>
    <w:rsid w:val="28C55917"/>
    <w:rsid w:val="28D45B13"/>
    <w:rsid w:val="28E3622E"/>
    <w:rsid w:val="29206EB8"/>
    <w:rsid w:val="29572195"/>
    <w:rsid w:val="29595666"/>
    <w:rsid w:val="29874881"/>
    <w:rsid w:val="29BF7E82"/>
    <w:rsid w:val="29C72EC6"/>
    <w:rsid w:val="29E325E0"/>
    <w:rsid w:val="2A452503"/>
    <w:rsid w:val="2AAA3748"/>
    <w:rsid w:val="2AAE5E0B"/>
    <w:rsid w:val="2AC43E1B"/>
    <w:rsid w:val="2ACE60D5"/>
    <w:rsid w:val="2AD97F04"/>
    <w:rsid w:val="2AE35C45"/>
    <w:rsid w:val="2AF2761D"/>
    <w:rsid w:val="2AF9250D"/>
    <w:rsid w:val="2BA936A8"/>
    <w:rsid w:val="2BBA3AEB"/>
    <w:rsid w:val="2BC23DE6"/>
    <w:rsid w:val="2C0D65DA"/>
    <w:rsid w:val="2C120F60"/>
    <w:rsid w:val="2C152E22"/>
    <w:rsid w:val="2C315A5A"/>
    <w:rsid w:val="2C456439"/>
    <w:rsid w:val="2C4B1C25"/>
    <w:rsid w:val="2C62095B"/>
    <w:rsid w:val="2C885982"/>
    <w:rsid w:val="2CA00B31"/>
    <w:rsid w:val="2CDF7FCA"/>
    <w:rsid w:val="2CF5247B"/>
    <w:rsid w:val="2D823D83"/>
    <w:rsid w:val="2D9E56F5"/>
    <w:rsid w:val="2DBB28B7"/>
    <w:rsid w:val="2DE07AF6"/>
    <w:rsid w:val="2E3A6022"/>
    <w:rsid w:val="2E667F96"/>
    <w:rsid w:val="2E8226AB"/>
    <w:rsid w:val="2F384362"/>
    <w:rsid w:val="2F5E1510"/>
    <w:rsid w:val="2FD065E6"/>
    <w:rsid w:val="2FD96870"/>
    <w:rsid w:val="2FF430A1"/>
    <w:rsid w:val="3022475A"/>
    <w:rsid w:val="303C1C5F"/>
    <w:rsid w:val="30580BC9"/>
    <w:rsid w:val="30AD5471"/>
    <w:rsid w:val="30FE308A"/>
    <w:rsid w:val="311E2ED7"/>
    <w:rsid w:val="315619EE"/>
    <w:rsid w:val="315C449C"/>
    <w:rsid w:val="31A45BA3"/>
    <w:rsid w:val="31B82709"/>
    <w:rsid w:val="31D05482"/>
    <w:rsid w:val="323D4136"/>
    <w:rsid w:val="32400B34"/>
    <w:rsid w:val="324A33A9"/>
    <w:rsid w:val="328C4452"/>
    <w:rsid w:val="328D35E3"/>
    <w:rsid w:val="329E6876"/>
    <w:rsid w:val="32AA4E09"/>
    <w:rsid w:val="32CD1A93"/>
    <w:rsid w:val="32F463FF"/>
    <w:rsid w:val="33034376"/>
    <w:rsid w:val="332C18B3"/>
    <w:rsid w:val="333015F2"/>
    <w:rsid w:val="333D0137"/>
    <w:rsid w:val="334B6320"/>
    <w:rsid w:val="334B66D0"/>
    <w:rsid w:val="33697489"/>
    <w:rsid w:val="33703368"/>
    <w:rsid w:val="33D934D4"/>
    <w:rsid w:val="33E03DD4"/>
    <w:rsid w:val="33FE2F6A"/>
    <w:rsid w:val="340E07E5"/>
    <w:rsid w:val="34235BF7"/>
    <w:rsid w:val="34EB36D8"/>
    <w:rsid w:val="34F04FA0"/>
    <w:rsid w:val="355A05E2"/>
    <w:rsid w:val="355B4C53"/>
    <w:rsid w:val="35736C76"/>
    <w:rsid w:val="357E033A"/>
    <w:rsid w:val="358C5FA8"/>
    <w:rsid w:val="35B91D00"/>
    <w:rsid w:val="35C15DF1"/>
    <w:rsid w:val="35EA1B59"/>
    <w:rsid w:val="35EE6E64"/>
    <w:rsid w:val="36074A7F"/>
    <w:rsid w:val="361F4F51"/>
    <w:rsid w:val="362F47A3"/>
    <w:rsid w:val="36637A16"/>
    <w:rsid w:val="36923549"/>
    <w:rsid w:val="36B75FBF"/>
    <w:rsid w:val="36BD0C45"/>
    <w:rsid w:val="36EE220B"/>
    <w:rsid w:val="37181F3B"/>
    <w:rsid w:val="37457F8D"/>
    <w:rsid w:val="37D86BDA"/>
    <w:rsid w:val="37E00298"/>
    <w:rsid w:val="381F2E88"/>
    <w:rsid w:val="38220ED3"/>
    <w:rsid w:val="388246C2"/>
    <w:rsid w:val="388F214A"/>
    <w:rsid w:val="38B236C9"/>
    <w:rsid w:val="38B302F9"/>
    <w:rsid w:val="38DF5CCA"/>
    <w:rsid w:val="38F12CD3"/>
    <w:rsid w:val="38F94775"/>
    <w:rsid w:val="392971ED"/>
    <w:rsid w:val="39325651"/>
    <w:rsid w:val="39501BFE"/>
    <w:rsid w:val="395C1552"/>
    <w:rsid w:val="39B84FC4"/>
    <w:rsid w:val="39C53E29"/>
    <w:rsid w:val="39D952F3"/>
    <w:rsid w:val="3A1C0270"/>
    <w:rsid w:val="3A4041AB"/>
    <w:rsid w:val="3A872856"/>
    <w:rsid w:val="3A8E6951"/>
    <w:rsid w:val="3A9D66C5"/>
    <w:rsid w:val="3AB53EA9"/>
    <w:rsid w:val="3ACD7139"/>
    <w:rsid w:val="3AE80D43"/>
    <w:rsid w:val="3B0576B6"/>
    <w:rsid w:val="3B156063"/>
    <w:rsid w:val="3B3763D1"/>
    <w:rsid w:val="3BE73686"/>
    <w:rsid w:val="3C2F6E1E"/>
    <w:rsid w:val="3C4F64BA"/>
    <w:rsid w:val="3C5938F5"/>
    <w:rsid w:val="3CDA245A"/>
    <w:rsid w:val="3CE53DCB"/>
    <w:rsid w:val="3CEA24B9"/>
    <w:rsid w:val="3CF31E3D"/>
    <w:rsid w:val="3D031447"/>
    <w:rsid w:val="3D1E06B7"/>
    <w:rsid w:val="3D62469C"/>
    <w:rsid w:val="3D8A5557"/>
    <w:rsid w:val="3DEE48EA"/>
    <w:rsid w:val="3DF47EE4"/>
    <w:rsid w:val="3E1C606B"/>
    <w:rsid w:val="3E69702F"/>
    <w:rsid w:val="3E886FFE"/>
    <w:rsid w:val="3E89169A"/>
    <w:rsid w:val="3EA124EB"/>
    <w:rsid w:val="3EDA0523"/>
    <w:rsid w:val="3F32451E"/>
    <w:rsid w:val="3F907726"/>
    <w:rsid w:val="4032413E"/>
    <w:rsid w:val="403B60B9"/>
    <w:rsid w:val="40636991"/>
    <w:rsid w:val="407133D3"/>
    <w:rsid w:val="407A6329"/>
    <w:rsid w:val="407A6407"/>
    <w:rsid w:val="40AE30EF"/>
    <w:rsid w:val="40BC02BE"/>
    <w:rsid w:val="40BF4F59"/>
    <w:rsid w:val="40EA1F17"/>
    <w:rsid w:val="414A4DBE"/>
    <w:rsid w:val="41707D47"/>
    <w:rsid w:val="419D432E"/>
    <w:rsid w:val="41A77661"/>
    <w:rsid w:val="41CA7960"/>
    <w:rsid w:val="41CF56E2"/>
    <w:rsid w:val="4200449D"/>
    <w:rsid w:val="42254FB3"/>
    <w:rsid w:val="423A3BCC"/>
    <w:rsid w:val="424A1F26"/>
    <w:rsid w:val="424E57D2"/>
    <w:rsid w:val="42A639F1"/>
    <w:rsid w:val="42A93777"/>
    <w:rsid w:val="42B26C49"/>
    <w:rsid w:val="43011463"/>
    <w:rsid w:val="430F1BEF"/>
    <w:rsid w:val="43377419"/>
    <w:rsid w:val="433A6FE6"/>
    <w:rsid w:val="43480868"/>
    <w:rsid w:val="4350713C"/>
    <w:rsid w:val="436653E0"/>
    <w:rsid w:val="436D1DC9"/>
    <w:rsid w:val="439858F9"/>
    <w:rsid w:val="43C4431A"/>
    <w:rsid w:val="43F4048C"/>
    <w:rsid w:val="44386F6D"/>
    <w:rsid w:val="443B020D"/>
    <w:rsid w:val="44A62960"/>
    <w:rsid w:val="44AD2FD5"/>
    <w:rsid w:val="44B951CC"/>
    <w:rsid w:val="44CD14E0"/>
    <w:rsid w:val="44D4251A"/>
    <w:rsid w:val="44D823A5"/>
    <w:rsid w:val="44E316D9"/>
    <w:rsid w:val="44EE5D4E"/>
    <w:rsid w:val="44F20B0B"/>
    <w:rsid w:val="44F27707"/>
    <w:rsid w:val="452764C6"/>
    <w:rsid w:val="452E5F4C"/>
    <w:rsid w:val="45612018"/>
    <w:rsid w:val="45796908"/>
    <w:rsid w:val="45892831"/>
    <w:rsid w:val="458946E9"/>
    <w:rsid w:val="45A47C0E"/>
    <w:rsid w:val="45B0307D"/>
    <w:rsid w:val="45C9287E"/>
    <w:rsid w:val="460F78F6"/>
    <w:rsid w:val="46577FD6"/>
    <w:rsid w:val="467A4F1B"/>
    <w:rsid w:val="46B21C2E"/>
    <w:rsid w:val="46D955A7"/>
    <w:rsid w:val="46DF6106"/>
    <w:rsid w:val="46F04A35"/>
    <w:rsid w:val="47133957"/>
    <w:rsid w:val="4743089E"/>
    <w:rsid w:val="4764399F"/>
    <w:rsid w:val="47667494"/>
    <w:rsid w:val="476A6321"/>
    <w:rsid w:val="477074B7"/>
    <w:rsid w:val="4785195A"/>
    <w:rsid w:val="478A1785"/>
    <w:rsid w:val="47A07E0C"/>
    <w:rsid w:val="47BF6D06"/>
    <w:rsid w:val="480E3A52"/>
    <w:rsid w:val="4814607F"/>
    <w:rsid w:val="484A4A39"/>
    <w:rsid w:val="484C77F7"/>
    <w:rsid w:val="48572661"/>
    <w:rsid w:val="4870272E"/>
    <w:rsid w:val="488D63CF"/>
    <w:rsid w:val="48BD54A3"/>
    <w:rsid w:val="48D665B1"/>
    <w:rsid w:val="495F6976"/>
    <w:rsid w:val="499F1E51"/>
    <w:rsid w:val="49DC7715"/>
    <w:rsid w:val="4A023139"/>
    <w:rsid w:val="4A1452E8"/>
    <w:rsid w:val="4A3F3BEF"/>
    <w:rsid w:val="4A7B576F"/>
    <w:rsid w:val="4A873D23"/>
    <w:rsid w:val="4A9323C3"/>
    <w:rsid w:val="4AA12859"/>
    <w:rsid w:val="4AB27B9F"/>
    <w:rsid w:val="4AB41401"/>
    <w:rsid w:val="4AF561A9"/>
    <w:rsid w:val="4AFF3F0C"/>
    <w:rsid w:val="4AFF6311"/>
    <w:rsid w:val="4B011AFE"/>
    <w:rsid w:val="4B4919D9"/>
    <w:rsid w:val="4B4C1780"/>
    <w:rsid w:val="4B4F545C"/>
    <w:rsid w:val="4B5D14B8"/>
    <w:rsid w:val="4BAF63DD"/>
    <w:rsid w:val="4C232806"/>
    <w:rsid w:val="4C397865"/>
    <w:rsid w:val="4C4A0649"/>
    <w:rsid w:val="4C5D688E"/>
    <w:rsid w:val="4C754796"/>
    <w:rsid w:val="4C7C5BCF"/>
    <w:rsid w:val="4C7E5ECA"/>
    <w:rsid w:val="4C85233E"/>
    <w:rsid w:val="4C876AA5"/>
    <w:rsid w:val="4CE310F2"/>
    <w:rsid w:val="4D0E00FB"/>
    <w:rsid w:val="4D176606"/>
    <w:rsid w:val="4D547A61"/>
    <w:rsid w:val="4D896C76"/>
    <w:rsid w:val="4DEC4FB0"/>
    <w:rsid w:val="4E075D8A"/>
    <w:rsid w:val="4E10624E"/>
    <w:rsid w:val="4E196D0D"/>
    <w:rsid w:val="4E1A1C05"/>
    <w:rsid w:val="4E310B63"/>
    <w:rsid w:val="4E5A2027"/>
    <w:rsid w:val="4E6C5A1E"/>
    <w:rsid w:val="4EC00FAD"/>
    <w:rsid w:val="4EC64B5A"/>
    <w:rsid w:val="4F346C9E"/>
    <w:rsid w:val="4F7A1909"/>
    <w:rsid w:val="4F894C8C"/>
    <w:rsid w:val="4F9843DC"/>
    <w:rsid w:val="4F993BE5"/>
    <w:rsid w:val="4FC62A8C"/>
    <w:rsid w:val="4FE20F0D"/>
    <w:rsid w:val="4FE51552"/>
    <w:rsid w:val="4FED6AF0"/>
    <w:rsid w:val="4FF87C75"/>
    <w:rsid w:val="4FFD18FB"/>
    <w:rsid w:val="50355819"/>
    <w:rsid w:val="50504C4B"/>
    <w:rsid w:val="505608DB"/>
    <w:rsid w:val="509C6E7C"/>
    <w:rsid w:val="50A124DF"/>
    <w:rsid w:val="50C4393B"/>
    <w:rsid w:val="50F056C7"/>
    <w:rsid w:val="51054FBD"/>
    <w:rsid w:val="51080090"/>
    <w:rsid w:val="51151591"/>
    <w:rsid w:val="5162104E"/>
    <w:rsid w:val="51655D2D"/>
    <w:rsid w:val="517E2526"/>
    <w:rsid w:val="51897C31"/>
    <w:rsid w:val="51B126F1"/>
    <w:rsid w:val="527D16C5"/>
    <w:rsid w:val="527F3497"/>
    <w:rsid w:val="527F6963"/>
    <w:rsid w:val="52B54061"/>
    <w:rsid w:val="53331D89"/>
    <w:rsid w:val="535E06C6"/>
    <w:rsid w:val="536A7D05"/>
    <w:rsid w:val="538C05FC"/>
    <w:rsid w:val="53901E9A"/>
    <w:rsid w:val="539D20A3"/>
    <w:rsid w:val="53A039CC"/>
    <w:rsid w:val="53A1505A"/>
    <w:rsid w:val="53BD7912"/>
    <w:rsid w:val="53F14935"/>
    <w:rsid w:val="54063E08"/>
    <w:rsid w:val="54107E5D"/>
    <w:rsid w:val="541E0085"/>
    <w:rsid w:val="542A6709"/>
    <w:rsid w:val="543437E8"/>
    <w:rsid w:val="54352AC1"/>
    <w:rsid w:val="54C8169F"/>
    <w:rsid w:val="54EA4272"/>
    <w:rsid w:val="54F73313"/>
    <w:rsid w:val="54F80955"/>
    <w:rsid w:val="55202344"/>
    <w:rsid w:val="554B6139"/>
    <w:rsid w:val="555170A7"/>
    <w:rsid w:val="5587536D"/>
    <w:rsid w:val="55977CE7"/>
    <w:rsid w:val="559B174B"/>
    <w:rsid w:val="55CE0CF4"/>
    <w:rsid w:val="55D84BEF"/>
    <w:rsid w:val="55D933BA"/>
    <w:rsid w:val="56114F1D"/>
    <w:rsid w:val="562331DA"/>
    <w:rsid w:val="56272368"/>
    <w:rsid w:val="562A18C2"/>
    <w:rsid w:val="563B6A15"/>
    <w:rsid w:val="56A67F87"/>
    <w:rsid w:val="56B22A9C"/>
    <w:rsid w:val="57193C9E"/>
    <w:rsid w:val="5722681B"/>
    <w:rsid w:val="57446DAD"/>
    <w:rsid w:val="574E7EC8"/>
    <w:rsid w:val="576E67CA"/>
    <w:rsid w:val="579F5077"/>
    <w:rsid w:val="57B72A76"/>
    <w:rsid w:val="57B74104"/>
    <w:rsid w:val="57C3426C"/>
    <w:rsid w:val="57CE1F93"/>
    <w:rsid w:val="58355B3C"/>
    <w:rsid w:val="58630B68"/>
    <w:rsid w:val="58750E05"/>
    <w:rsid w:val="588743D1"/>
    <w:rsid w:val="5887701A"/>
    <w:rsid w:val="58AD40D3"/>
    <w:rsid w:val="58B137D1"/>
    <w:rsid w:val="58B56CD8"/>
    <w:rsid w:val="58F52D3B"/>
    <w:rsid w:val="591B5098"/>
    <w:rsid w:val="5931079B"/>
    <w:rsid w:val="59694F6E"/>
    <w:rsid w:val="59856067"/>
    <w:rsid w:val="59BD44E4"/>
    <w:rsid w:val="59C0439F"/>
    <w:rsid w:val="59CE7261"/>
    <w:rsid w:val="59E430D2"/>
    <w:rsid w:val="5A2D1926"/>
    <w:rsid w:val="5A6B702F"/>
    <w:rsid w:val="5A753CCA"/>
    <w:rsid w:val="5ABE2233"/>
    <w:rsid w:val="5B0913DA"/>
    <w:rsid w:val="5B117127"/>
    <w:rsid w:val="5B1A3CB1"/>
    <w:rsid w:val="5B1B684C"/>
    <w:rsid w:val="5B89775C"/>
    <w:rsid w:val="5B9B06A7"/>
    <w:rsid w:val="5B9B09B4"/>
    <w:rsid w:val="5BAB63CF"/>
    <w:rsid w:val="5BB44616"/>
    <w:rsid w:val="5BDF5D95"/>
    <w:rsid w:val="5BFE7528"/>
    <w:rsid w:val="5C0607E2"/>
    <w:rsid w:val="5C2D3ED0"/>
    <w:rsid w:val="5C4F79BE"/>
    <w:rsid w:val="5C6C3ECD"/>
    <w:rsid w:val="5CA01B70"/>
    <w:rsid w:val="5CB43DD7"/>
    <w:rsid w:val="5CED3EA2"/>
    <w:rsid w:val="5CF96C0B"/>
    <w:rsid w:val="5D1F031D"/>
    <w:rsid w:val="5D5822A5"/>
    <w:rsid w:val="5D5F2696"/>
    <w:rsid w:val="5DA4378F"/>
    <w:rsid w:val="5DAD6E5B"/>
    <w:rsid w:val="5DBA3AB1"/>
    <w:rsid w:val="5DCD5826"/>
    <w:rsid w:val="5E2467F1"/>
    <w:rsid w:val="5E4360BC"/>
    <w:rsid w:val="5ED926B1"/>
    <w:rsid w:val="5F1A2B43"/>
    <w:rsid w:val="5F5D3118"/>
    <w:rsid w:val="5F6048C4"/>
    <w:rsid w:val="5F6C0D4F"/>
    <w:rsid w:val="5FB837BB"/>
    <w:rsid w:val="5FFA1C33"/>
    <w:rsid w:val="602705BE"/>
    <w:rsid w:val="60311107"/>
    <w:rsid w:val="60460A81"/>
    <w:rsid w:val="60C2035E"/>
    <w:rsid w:val="60CC405A"/>
    <w:rsid w:val="612B67C4"/>
    <w:rsid w:val="61387A9B"/>
    <w:rsid w:val="61455554"/>
    <w:rsid w:val="615D5E85"/>
    <w:rsid w:val="616D1DE5"/>
    <w:rsid w:val="61C16D0B"/>
    <w:rsid w:val="61E215D8"/>
    <w:rsid w:val="620D65F4"/>
    <w:rsid w:val="620E0BEC"/>
    <w:rsid w:val="621B3775"/>
    <w:rsid w:val="62233ED9"/>
    <w:rsid w:val="62364782"/>
    <w:rsid w:val="625260F1"/>
    <w:rsid w:val="6293285A"/>
    <w:rsid w:val="62A50CBD"/>
    <w:rsid w:val="62A77652"/>
    <w:rsid w:val="62EC6E00"/>
    <w:rsid w:val="633920F2"/>
    <w:rsid w:val="63633DE9"/>
    <w:rsid w:val="6394356A"/>
    <w:rsid w:val="63A95070"/>
    <w:rsid w:val="63C61B2C"/>
    <w:rsid w:val="63D40BE9"/>
    <w:rsid w:val="64102431"/>
    <w:rsid w:val="64175282"/>
    <w:rsid w:val="641E6E09"/>
    <w:rsid w:val="64501433"/>
    <w:rsid w:val="648D669A"/>
    <w:rsid w:val="649779E7"/>
    <w:rsid w:val="64A5243A"/>
    <w:rsid w:val="64F531DE"/>
    <w:rsid w:val="64F53E7D"/>
    <w:rsid w:val="652A3C12"/>
    <w:rsid w:val="65373578"/>
    <w:rsid w:val="65846BD5"/>
    <w:rsid w:val="65BC41EB"/>
    <w:rsid w:val="65F73F52"/>
    <w:rsid w:val="6603632F"/>
    <w:rsid w:val="66074973"/>
    <w:rsid w:val="66652ED8"/>
    <w:rsid w:val="66735589"/>
    <w:rsid w:val="667B0920"/>
    <w:rsid w:val="669D00E5"/>
    <w:rsid w:val="669F1A3F"/>
    <w:rsid w:val="66A5150B"/>
    <w:rsid w:val="66DD79B2"/>
    <w:rsid w:val="66EF100D"/>
    <w:rsid w:val="66F443E8"/>
    <w:rsid w:val="670E6A2F"/>
    <w:rsid w:val="670F0822"/>
    <w:rsid w:val="671F124A"/>
    <w:rsid w:val="67483879"/>
    <w:rsid w:val="677A33C6"/>
    <w:rsid w:val="67B01941"/>
    <w:rsid w:val="67BD2D0C"/>
    <w:rsid w:val="67DA0FC4"/>
    <w:rsid w:val="67F8635C"/>
    <w:rsid w:val="67FF6323"/>
    <w:rsid w:val="68040DA4"/>
    <w:rsid w:val="681F6961"/>
    <w:rsid w:val="6825333F"/>
    <w:rsid w:val="684311D7"/>
    <w:rsid w:val="68610A2F"/>
    <w:rsid w:val="687002AB"/>
    <w:rsid w:val="68805514"/>
    <w:rsid w:val="68C41D96"/>
    <w:rsid w:val="68E50B40"/>
    <w:rsid w:val="68F82459"/>
    <w:rsid w:val="69316E2F"/>
    <w:rsid w:val="694E2071"/>
    <w:rsid w:val="69766163"/>
    <w:rsid w:val="697A3B33"/>
    <w:rsid w:val="697F6816"/>
    <w:rsid w:val="69D44760"/>
    <w:rsid w:val="69E63468"/>
    <w:rsid w:val="6A17556E"/>
    <w:rsid w:val="6A1E4C1B"/>
    <w:rsid w:val="6A520EC7"/>
    <w:rsid w:val="6A785C48"/>
    <w:rsid w:val="6A822C5D"/>
    <w:rsid w:val="6A8350EB"/>
    <w:rsid w:val="6ADF2E10"/>
    <w:rsid w:val="6AF36CE3"/>
    <w:rsid w:val="6AF87E20"/>
    <w:rsid w:val="6AFE5CF0"/>
    <w:rsid w:val="6B182569"/>
    <w:rsid w:val="6B1D578F"/>
    <w:rsid w:val="6B322639"/>
    <w:rsid w:val="6B3E4238"/>
    <w:rsid w:val="6B44752C"/>
    <w:rsid w:val="6B553B12"/>
    <w:rsid w:val="6B630614"/>
    <w:rsid w:val="6B7B6D9B"/>
    <w:rsid w:val="6B9B35C9"/>
    <w:rsid w:val="6B9E780A"/>
    <w:rsid w:val="6BE14B35"/>
    <w:rsid w:val="6BED4A66"/>
    <w:rsid w:val="6BF37CAE"/>
    <w:rsid w:val="6BF5575A"/>
    <w:rsid w:val="6C0D733B"/>
    <w:rsid w:val="6C2F1B14"/>
    <w:rsid w:val="6C302162"/>
    <w:rsid w:val="6C636C38"/>
    <w:rsid w:val="6CB70C54"/>
    <w:rsid w:val="6CC74298"/>
    <w:rsid w:val="6CCB7EA9"/>
    <w:rsid w:val="6CDA3020"/>
    <w:rsid w:val="6CE02047"/>
    <w:rsid w:val="6CED6CF2"/>
    <w:rsid w:val="6CF16E49"/>
    <w:rsid w:val="6D490ED9"/>
    <w:rsid w:val="6D5B0D1C"/>
    <w:rsid w:val="6DB34098"/>
    <w:rsid w:val="6DB545B6"/>
    <w:rsid w:val="6DE02FB4"/>
    <w:rsid w:val="6E117757"/>
    <w:rsid w:val="6E1D7510"/>
    <w:rsid w:val="6E2B791C"/>
    <w:rsid w:val="6E38432D"/>
    <w:rsid w:val="6E514CED"/>
    <w:rsid w:val="6E6E62CE"/>
    <w:rsid w:val="6EA164AD"/>
    <w:rsid w:val="6EB563D5"/>
    <w:rsid w:val="6EB86AB0"/>
    <w:rsid w:val="6ECB3AAA"/>
    <w:rsid w:val="6ED92677"/>
    <w:rsid w:val="6F0809AD"/>
    <w:rsid w:val="6F204387"/>
    <w:rsid w:val="6F225983"/>
    <w:rsid w:val="6F225BCC"/>
    <w:rsid w:val="6F2748C1"/>
    <w:rsid w:val="6F8B1155"/>
    <w:rsid w:val="6FB712AF"/>
    <w:rsid w:val="6FBD3BBF"/>
    <w:rsid w:val="6FC57980"/>
    <w:rsid w:val="6FD77669"/>
    <w:rsid w:val="6FE95D22"/>
    <w:rsid w:val="6FFC5590"/>
    <w:rsid w:val="704804ED"/>
    <w:rsid w:val="706D1DD0"/>
    <w:rsid w:val="708055F5"/>
    <w:rsid w:val="70856B87"/>
    <w:rsid w:val="70D527EE"/>
    <w:rsid w:val="70D76262"/>
    <w:rsid w:val="70E17847"/>
    <w:rsid w:val="70F8360B"/>
    <w:rsid w:val="711B1096"/>
    <w:rsid w:val="711D1403"/>
    <w:rsid w:val="715B5300"/>
    <w:rsid w:val="71702B61"/>
    <w:rsid w:val="71871D85"/>
    <w:rsid w:val="71A23AA9"/>
    <w:rsid w:val="71A6174A"/>
    <w:rsid w:val="71A97262"/>
    <w:rsid w:val="71D27F8A"/>
    <w:rsid w:val="71D40BD2"/>
    <w:rsid w:val="72553024"/>
    <w:rsid w:val="725F77F4"/>
    <w:rsid w:val="728B234D"/>
    <w:rsid w:val="729C2192"/>
    <w:rsid w:val="729D5625"/>
    <w:rsid w:val="72B16FF1"/>
    <w:rsid w:val="73122968"/>
    <w:rsid w:val="731A1881"/>
    <w:rsid w:val="731F5D5E"/>
    <w:rsid w:val="735C6288"/>
    <w:rsid w:val="73952549"/>
    <w:rsid w:val="73A90E3E"/>
    <w:rsid w:val="73C410B8"/>
    <w:rsid w:val="73C51AD5"/>
    <w:rsid w:val="73E51E24"/>
    <w:rsid w:val="741E793C"/>
    <w:rsid w:val="74280F13"/>
    <w:rsid w:val="743B25F1"/>
    <w:rsid w:val="743B73C3"/>
    <w:rsid w:val="7443464E"/>
    <w:rsid w:val="745E3944"/>
    <w:rsid w:val="74E64FB6"/>
    <w:rsid w:val="75873AAA"/>
    <w:rsid w:val="75DE2703"/>
    <w:rsid w:val="75E03510"/>
    <w:rsid w:val="760953E4"/>
    <w:rsid w:val="7635099D"/>
    <w:rsid w:val="765F6319"/>
    <w:rsid w:val="76811EDF"/>
    <w:rsid w:val="769636F2"/>
    <w:rsid w:val="76993F54"/>
    <w:rsid w:val="76B86882"/>
    <w:rsid w:val="76C82905"/>
    <w:rsid w:val="76DC6DBA"/>
    <w:rsid w:val="76DE4659"/>
    <w:rsid w:val="77762421"/>
    <w:rsid w:val="77833FE0"/>
    <w:rsid w:val="77B56B1F"/>
    <w:rsid w:val="77F5327A"/>
    <w:rsid w:val="77F913DE"/>
    <w:rsid w:val="77FF7427"/>
    <w:rsid w:val="78083F86"/>
    <w:rsid w:val="780E7B90"/>
    <w:rsid w:val="780F09F4"/>
    <w:rsid w:val="780F1D8C"/>
    <w:rsid w:val="783B1B25"/>
    <w:rsid w:val="785E4BDC"/>
    <w:rsid w:val="787A6483"/>
    <w:rsid w:val="789336F8"/>
    <w:rsid w:val="78A90480"/>
    <w:rsid w:val="78AC2A23"/>
    <w:rsid w:val="78D5065B"/>
    <w:rsid w:val="794959B2"/>
    <w:rsid w:val="79F125C5"/>
    <w:rsid w:val="7A364017"/>
    <w:rsid w:val="7A601671"/>
    <w:rsid w:val="7A8265E1"/>
    <w:rsid w:val="7AB12745"/>
    <w:rsid w:val="7AD641FA"/>
    <w:rsid w:val="7ADB173A"/>
    <w:rsid w:val="7ADE2EF1"/>
    <w:rsid w:val="7AF108B6"/>
    <w:rsid w:val="7AF26851"/>
    <w:rsid w:val="7AFB6E00"/>
    <w:rsid w:val="7B575A97"/>
    <w:rsid w:val="7B686D42"/>
    <w:rsid w:val="7B841746"/>
    <w:rsid w:val="7C06353E"/>
    <w:rsid w:val="7C44444D"/>
    <w:rsid w:val="7C610AAD"/>
    <w:rsid w:val="7C684E66"/>
    <w:rsid w:val="7C694787"/>
    <w:rsid w:val="7C6C5AC7"/>
    <w:rsid w:val="7C741852"/>
    <w:rsid w:val="7C86358B"/>
    <w:rsid w:val="7CAA222C"/>
    <w:rsid w:val="7CC6544B"/>
    <w:rsid w:val="7CED7CBD"/>
    <w:rsid w:val="7D0239FF"/>
    <w:rsid w:val="7D0F3580"/>
    <w:rsid w:val="7D472D33"/>
    <w:rsid w:val="7D5E40CD"/>
    <w:rsid w:val="7DBE72ED"/>
    <w:rsid w:val="7DCD56F2"/>
    <w:rsid w:val="7DDD6C4A"/>
    <w:rsid w:val="7E0B6193"/>
    <w:rsid w:val="7E3868F1"/>
    <w:rsid w:val="7E402F74"/>
    <w:rsid w:val="7E4542BE"/>
    <w:rsid w:val="7E711635"/>
    <w:rsid w:val="7E797ED1"/>
    <w:rsid w:val="7EE81351"/>
    <w:rsid w:val="7F001CE7"/>
    <w:rsid w:val="7F2A6E09"/>
    <w:rsid w:val="7F2D232C"/>
    <w:rsid w:val="7F8073E3"/>
    <w:rsid w:val="7F831404"/>
    <w:rsid w:val="7F986258"/>
    <w:rsid w:val="7FD06A75"/>
    <w:rsid w:val="7FE224A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6"/>
    <w:next w:val="1"/>
    <w:qFormat/>
    <w:locked/>
    <w:uiPriority w:val="0"/>
    <w:pPr>
      <w:keepNext/>
      <w:keepLines/>
      <w:spacing w:line="416" w:lineRule="auto"/>
      <w:outlineLvl w:val="1"/>
    </w:pPr>
    <w:rPr>
      <w:rFonts w:ascii="Arial" w:hAnsi="Arial"/>
      <w:b/>
      <w:bCs/>
      <w:sz w:val="32"/>
      <w:szCs w:val="32"/>
    </w:rPr>
  </w:style>
  <w:style w:type="paragraph" w:styleId="7">
    <w:name w:val="heading 3"/>
    <w:basedOn w:val="1"/>
    <w:next w:val="1"/>
    <w:link w:val="79"/>
    <w:semiHidden/>
    <w:unhideWhenUsed/>
    <w:qFormat/>
    <w:locked/>
    <w:uiPriority w:val="0"/>
    <w:pPr>
      <w:keepNext/>
      <w:keepLines/>
      <w:spacing w:before="260" w:after="260" w:line="416" w:lineRule="auto"/>
      <w:outlineLvl w:val="2"/>
    </w:pPr>
    <w:rPr>
      <w:b/>
      <w:bCs/>
      <w:sz w:val="32"/>
      <w:szCs w:val="32"/>
    </w:rPr>
  </w:style>
  <w:style w:type="paragraph" w:styleId="8">
    <w:name w:val="heading 4"/>
    <w:basedOn w:val="1"/>
    <w:next w:val="1"/>
    <w:link w:val="77"/>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0"/>
    <w:qFormat/>
    <w:locked/>
    <w:uiPriority w:val="0"/>
    <w:pPr>
      <w:spacing w:line="360" w:lineRule="auto"/>
      <w:ind w:firstLine="420" w:firstLineChars="200"/>
    </w:pPr>
  </w:style>
  <w:style w:type="paragraph" w:styleId="3">
    <w:name w:val="Body Text Indent"/>
    <w:basedOn w:val="1"/>
    <w:next w:val="2"/>
    <w:link w:val="34"/>
    <w:qFormat/>
    <w:uiPriority w:val="0"/>
    <w:pPr>
      <w:spacing w:after="120"/>
      <w:ind w:left="420" w:leftChars="200"/>
    </w:pPr>
    <w:rPr>
      <w:kern w:val="0"/>
      <w:sz w:val="24"/>
      <w:szCs w:val="20"/>
    </w:rPr>
  </w:style>
  <w:style w:type="paragraph" w:customStyle="1" w:styleId="6">
    <w:name w:val="一级条标题"/>
    <w:next w:val="1"/>
    <w:qFormat/>
    <w:uiPriority w:val="0"/>
    <w:pPr>
      <w:outlineLvl w:val="2"/>
    </w:pPr>
    <w:rPr>
      <w:rFonts w:ascii="Times New Roman" w:hAnsi="Times New Roman" w:eastAsia="黑体" w:cs="Times New Roman"/>
      <w:sz w:val="21"/>
      <w:lang w:val="en-US" w:eastAsia="zh-CN" w:bidi="ar-SA"/>
    </w:rPr>
  </w:style>
  <w:style w:type="paragraph" w:styleId="9">
    <w:name w:val="Normal Indent"/>
    <w:basedOn w:val="1"/>
    <w:unhideWhenUsed/>
    <w:qFormat/>
    <w:locked/>
    <w:uiPriority w:val="0"/>
    <w:pPr>
      <w:widowControl/>
      <w:ind w:firstLine="420"/>
      <w:jc w:val="left"/>
    </w:pPr>
    <w:rPr>
      <w:kern w:val="0"/>
      <w:sz w:val="20"/>
      <w:szCs w:val="20"/>
    </w:rPr>
  </w:style>
  <w:style w:type="paragraph" w:styleId="10">
    <w:name w:val="caption"/>
    <w:basedOn w:val="1"/>
    <w:next w:val="11"/>
    <w:link w:val="81"/>
    <w:qFormat/>
    <w:locked/>
    <w:uiPriority w:val="0"/>
    <w:rPr>
      <w:rFonts w:ascii="Calibri Light" w:hAnsi="Calibri Light" w:eastAsia="黑体"/>
      <w:sz w:val="20"/>
      <w:szCs w:val="20"/>
    </w:rPr>
  </w:style>
  <w:style w:type="paragraph" w:styleId="11">
    <w:name w:val="Body Text First Indent"/>
    <w:basedOn w:val="12"/>
    <w:next w:val="1"/>
    <w:qFormat/>
    <w:locked/>
    <w:uiPriority w:val="0"/>
    <w:pPr>
      <w:ind w:firstLine="420" w:firstLineChars="100"/>
    </w:pPr>
  </w:style>
  <w:style w:type="paragraph" w:styleId="12">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13">
    <w:name w:val="annotation text"/>
    <w:basedOn w:val="1"/>
    <w:link w:val="36"/>
    <w:semiHidden/>
    <w:qFormat/>
    <w:uiPriority w:val="0"/>
    <w:pPr>
      <w:jc w:val="left"/>
    </w:pPr>
    <w:rPr>
      <w:kern w:val="0"/>
      <w:sz w:val="24"/>
      <w:szCs w:val="20"/>
    </w:rPr>
  </w:style>
  <w:style w:type="paragraph" w:styleId="14">
    <w:name w:val="Plain Text"/>
    <w:basedOn w:val="1"/>
    <w:next w:val="15"/>
    <w:qFormat/>
    <w:locked/>
    <w:uiPriority w:val="0"/>
    <w:rPr>
      <w:rFonts w:ascii="宋体" w:hAnsi="Courier New"/>
    </w:rPr>
  </w:style>
  <w:style w:type="paragraph" w:customStyle="1" w:styleId="15">
    <w:name w:val="正本"/>
    <w:basedOn w:val="1"/>
    <w:qFormat/>
    <w:uiPriority w:val="0"/>
    <w:pPr>
      <w:adjustRightInd w:val="0"/>
      <w:snapToGrid w:val="0"/>
      <w:spacing w:line="360" w:lineRule="auto"/>
      <w:ind w:firstLine="200" w:firstLineChars="200"/>
    </w:pPr>
    <w:rPr>
      <w:rFonts w:ascii="宋体"/>
      <w:sz w:val="24"/>
    </w:rPr>
  </w:style>
  <w:style w:type="paragraph" w:styleId="16">
    <w:name w:val="Date"/>
    <w:basedOn w:val="1"/>
    <w:next w:val="1"/>
    <w:link w:val="37"/>
    <w:qFormat/>
    <w:uiPriority w:val="0"/>
    <w:pPr>
      <w:ind w:left="100" w:leftChars="2500"/>
    </w:pPr>
    <w:rPr>
      <w:kern w:val="0"/>
      <w:sz w:val="24"/>
      <w:szCs w:val="20"/>
    </w:rPr>
  </w:style>
  <w:style w:type="paragraph" w:styleId="17">
    <w:name w:val="Body Text Indent 2"/>
    <w:basedOn w:val="1"/>
    <w:link w:val="78"/>
    <w:qFormat/>
    <w:locked/>
    <w:uiPriority w:val="0"/>
    <w:pPr>
      <w:spacing w:after="120" w:line="480" w:lineRule="auto"/>
      <w:ind w:left="420" w:leftChars="200"/>
    </w:pPr>
  </w:style>
  <w:style w:type="paragraph" w:styleId="18">
    <w:name w:val="Balloon Text"/>
    <w:basedOn w:val="1"/>
    <w:link w:val="38"/>
    <w:semiHidden/>
    <w:qFormat/>
    <w:uiPriority w:val="0"/>
    <w:rPr>
      <w:kern w:val="0"/>
      <w:sz w:val="18"/>
      <w:szCs w:val="20"/>
    </w:rPr>
  </w:style>
  <w:style w:type="paragraph" w:styleId="19">
    <w:name w:val="footer"/>
    <w:basedOn w:val="1"/>
    <w:link w:val="39"/>
    <w:qFormat/>
    <w:uiPriority w:val="99"/>
    <w:pPr>
      <w:tabs>
        <w:tab w:val="center" w:pos="4153"/>
        <w:tab w:val="right" w:pos="8306"/>
      </w:tabs>
      <w:snapToGrid w:val="0"/>
      <w:jc w:val="left"/>
    </w:pPr>
    <w:rPr>
      <w:kern w:val="0"/>
      <w:sz w:val="18"/>
      <w:szCs w:val="20"/>
    </w:rPr>
  </w:style>
  <w:style w:type="paragraph" w:styleId="20">
    <w:name w:val="header"/>
    <w:basedOn w:val="1"/>
    <w:next w:val="1"/>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next w:val="1"/>
    <w:qFormat/>
    <w:locked/>
    <w:uiPriority w:val="0"/>
    <w:pPr>
      <w:ind w:left="200" w:hanging="200" w:hangingChars="200"/>
    </w:pPr>
  </w:style>
  <w:style w:type="paragraph" w:styleId="22">
    <w:name w:val="table of figures"/>
    <w:basedOn w:val="1"/>
    <w:next w:val="1"/>
    <w:qFormat/>
    <w:locked/>
    <w:uiPriority w:val="0"/>
    <w:pPr>
      <w:ind w:left="1920" w:leftChars="200"/>
      <w:jc w:val="center"/>
    </w:pPr>
    <w:rPr>
      <w:b/>
      <w:kern w:val="0"/>
      <w:szCs w:val="20"/>
    </w:rPr>
  </w:style>
  <w:style w:type="paragraph" w:styleId="23">
    <w:name w:val="Body Text 2"/>
    <w:basedOn w:val="1"/>
    <w:qFormat/>
    <w:locked/>
    <w:uiPriority w:val="0"/>
    <w:pPr>
      <w:spacing w:after="120" w:line="480" w:lineRule="auto"/>
    </w:pPr>
  </w:style>
  <w:style w:type="paragraph" w:styleId="24">
    <w:name w:val="Normal (Web)"/>
    <w:basedOn w:val="1"/>
    <w:link w:val="41"/>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3"/>
    <w:next w:val="13"/>
    <w:link w:val="42"/>
    <w:semiHidden/>
    <w:qFormat/>
    <w:uiPriority w:val="0"/>
    <w:rPr>
      <w:b/>
      <w:kern w:val="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locked/>
    <w:uiPriority w:val="0"/>
  </w:style>
  <w:style w:type="character" w:styleId="30">
    <w:name w:val="Hyperlink"/>
    <w:basedOn w:val="28"/>
    <w:unhideWhenUsed/>
    <w:qFormat/>
    <w:locked/>
    <w:uiPriority w:val="99"/>
    <w:rPr>
      <w:color w:val="0000FF"/>
      <w:u w:val="single"/>
    </w:rPr>
  </w:style>
  <w:style w:type="character" w:styleId="31">
    <w:name w:val="annotation reference"/>
    <w:qFormat/>
    <w:uiPriority w:val="0"/>
    <w:rPr>
      <w:sz w:val="21"/>
    </w:rPr>
  </w:style>
  <w:style w:type="paragraph" w:customStyle="1" w:styleId="32">
    <w:name w:val="Default"/>
    <w:basedOn w:val="33"/>
    <w:next w:val="1"/>
    <w:link w:val="71"/>
    <w:qFormat/>
    <w:uiPriority w:val="0"/>
    <w:pPr>
      <w:autoSpaceDE w:val="0"/>
      <w:autoSpaceDN w:val="0"/>
      <w:spacing w:line="360" w:lineRule="atLeast"/>
      <w:textAlignment w:val="baseline"/>
    </w:pPr>
    <w:rPr>
      <w:rFonts w:hAnsi="Times New Roman" w:cs="宋体"/>
      <w:color w:val="000000"/>
      <w:sz w:val="24"/>
      <w:szCs w:val="24"/>
    </w:rPr>
  </w:style>
  <w:style w:type="paragraph" w:customStyle="1" w:styleId="33">
    <w:name w:val="纯文本1"/>
    <w:basedOn w:val="1"/>
    <w:qFormat/>
    <w:uiPriority w:val="0"/>
    <w:pPr>
      <w:adjustRightInd w:val="0"/>
    </w:pPr>
    <w:rPr>
      <w:rFonts w:ascii="宋体" w:hAnsi="Courier New"/>
      <w:szCs w:val="20"/>
    </w:rPr>
  </w:style>
  <w:style w:type="character" w:customStyle="1" w:styleId="34">
    <w:name w:val="正文文本缩进 字符"/>
    <w:link w:val="3"/>
    <w:semiHidden/>
    <w:qFormat/>
    <w:locked/>
    <w:uiPriority w:val="0"/>
    <w:rPr>
      <w:rFonts w:ascii="Times New Roman" w:hAnsi="Times New Roman" w:eastAsia="宋体"/>
      <w:sz w:val="24"/>
    </w:rPr>
  </w:style>
  <w:style w:type="character" w:customStyle="1" w:styleId="35">
    <w:name w:val="正文文本 字符"/>
    <w:link w:val="12"/>
    <w:qFormat/>
    <w:locked/>
    <w:uiPriority w:val="0"/>
    <w:rPr>
      <w:sz w:val="18"/>
    </w:rPr>
  </w:style>
  <w:style w:type="character" w:customStyle="1" w:styleId="36">
    <w:name w:val="批注文字 字符"/>
    <w:link w:val="13"/>
    <w:qFormat/>
    <w:locked/>
    <w:uiPriority w:val="0"/>
    <w:rPr>
      <w:rFonts w:ascii="Times New Roman" w:hAnsi="Times New Roman" w:eastAsia="宋体"/>
      <w:sz w:val="24"/>
    </w:rPr>
  </w:style>
  <w:style w:type="character" w:customStyle="1" w:styleId="37">
    <w:name w:val="日期 字符1"/>
    <w:link w:val="16"/>
    <w:qFormat/>
    <w:locked/>
    <w:uiPriority w:val="0"/>
    <w:rPr>
      <w:rFonts w:ascii="Times New Roman" w:hAnsi="Times New Roman" w:eastAsia="宋体"/>
      <w:sz w:val="24"/>
    </w:rPr>
  </w:style>
  <w:style w:type="character" w:customStyle="1" w:styleId="38">
    <w:name w:val="批注框文本 字符"/>
    <w:link w:val="18"/>
    <w:semiHidden/>
    <w:qFormat/>
    <w:locked/>
    <w:uiPriority w:val="0"/>
    <w:rPr>
      <w:rFonts w:ascii="Times New Roman" w:hAnsi="Times New Roman" w:eastAsia="宋体"/>
      <w:sz w:val="18"/>
    </w:rPr>
  </w:style>
  <w:style w:type="character" w:customStyle="1" w:styleId="39">
    <w:name w:val="页脚 字符1"/>
    <w:link w:val="19"/>
    <w:qFormat/>
    <w:locked/>
    <w:uiPriority w:val="99"/>
    <w:rPr>
      <w:sz w:val="18"/>
    </w:rPr>
  </w:style>
  <w:style w:type="character" w:customStyle="1" w:styleId="40">
    <w:name w:val="页眉 字符"/>
    <w:link w:val="20"/>
    <w:qFormat/>
    <w:locked/>
    <w:uiPriority w:val="0"/>
    <w:rPr>
      <w:sz w:val="18"/>
    </w:rPr>
  </w:style>
  <w:style w:type="character" w:customStyle="1" w:styleId="41">
    <w:name w:val="普通(网站) 字符"/>
    <w:link w:val="24"/>
    <w:qFormat/>
    <w:locked/>
    <w:uiPriority w:val="0"/>
    <w:rPr>
      <w:rFonts w:ascii="宋体" w:hAnsi="宋体" w:eastAsia="宋体"/>
      <w:sz w:val="24"/>
    </w:rPr>
  </w:style>
  <w:style w:type="character" w:customStyle="1" w:styleId="42">
    <w:name w:val="批注主题 字符"/>
    <w:link w:val="25"/>
    <w:semiHidden/>
    <w:qFormat/>
    <w:locked/>
    <w:uiPriority w:val="0"/>
    <w:rPr>
      <w:rFonts w:ascii="Times New Roman" w:hAnsi="Times New Roman" w:eastAsia="宋体"/>
      <w:b/>
      <w:kern w:val="2"/>
      <w:sz w:val="24"/>
    </w:rPr>
  </w:style>
  <w:style w:type="character" w:customStyle="1" w:styleId="43">
    <w:name w:val="页脚 字符"/>
    <w:qFormat/>
    <w:uiPriority w:val="99"/>
  </w:style>
  <w:style w:type="character" w:customStyle="1" w:styleId="44">
    <w:name w:val="批注文字 字符1"/>
    <w:semiHidden/>
    <w:qFormat/>
    <w:uiPriority w:val="0"/>
    <w:rPr>
      <w:rFonts w:ascii="Times New Roman" w:hAnsi="Times New Roman" w:eastAsia="宋体"/>
      <w:sz w:val="24"/>
    </w:rPr>
  </w:style>
  <w:style w:type="character" w:customStyle="1" w:styleId="45">
    <w:name w:val="日期 字符"/>
    <w:semiHidden/>
    <w:qFormat/>
    <w:uiPriority w:val="0"/>
    <w:rPr>
      <w:rFonts w:ascii="Times New Roman" w:hAnsi="Times New Roman" w:eastAsia="宋体"/>
      <w:sz w:val="24"/>
    </w:rPr>
  </w:style>
  <w:style w:type="character" w:customStyle="1" w:styleId="46">
    <w:name w:val="表格 Char"/>
    <w:link w:val="47"/>
    <w:qFormat/>
    <w:locked/>
    <w:uiPriority w:val="0"/>
    <w:rPr>
      <w:rFonts w:ascii="宋体"/>
      <w:sz w:val="21"/>
    </w:rPr>
  </w:style>
  <w:style w:type="paragraph" w:customStyle="1" w:styleId="47">
    <w:name w:val="表格"/>
    <w:basedOn w:val="1"/>
    <w:next w:val="48"/>
    <w:link w:val="46"/>
    <w:qFormat/>
    <w:uiPriority w:val="0"/>
    <w:pPr>
      <w:adjustRightInd w:val="0"/>
      <w:snapToGrid w:val="0"/>
      <w:spacing w:beforeLines="10" w:afterLines="10" w:line="259" w:lineRule="auto"/>
      <w:jc w:val="center"/>
    </w:pPr>
    <w:rPr>
      <w:rFonts w:ascii="宋体"/>
      <w:kern w:val="0"/>
      <w:szCs w:val="20"/>
    </w:rPr>
  </w:style>
  <w:style w:type="paragraph" w:customStyle="1" w:styleId="48">
    <w:name w:val="正文首行"/>
    <w:basedOn w:val="9"/>
    <w:qFormat/>
    <w:uiPriority w:val="0"/>
    <w:pPr>
      <w:spacing w:line="480" w:lineRule="exact"/>
      <w:ind w:firstLine="200" w:firstLineChars="200"/>
    </w:pPr>
  </w:style>
  <w:style w:type="character" w:customStyle="1" w:styleId="49">
    <w:name w:val="正文文本 字符1"/>
    <w:semiHidden/>
    <w:qFormat/>
    <w:uiPriority w:val="0"/>
    <w:rPr>
      <w:rFonts w:ascii="Times New Roman" w:hAnsi="Times New Roman" w:eastAsia="宋体"/>
      <w:sz w:val="24"/>
    </w:rPr>
  </w:style>
  <w:style w:type="paragraph" w:customStyle="1" w:styleId="50">
    <w:name w:val="表头"/>
    <w:basedOn w:val="1"/>
    <w:link w:val="84"/>
    <w:qFormat/>
    <w:uiPriority w:val="0"/>
    <w:pPr>
      <w:adjustRightInd w:val="0"/>
      <w:snapToGrid w:val="0"/>
      <w:jc w:val="center"/>
    </w:pPr>
    <w:rPr>
      <w:b/>
      <w:color w:val="000000"/>
      <w:szCs w:val="20"/>
    </w:rPr>
  </w:style>
  <w:style w:type="paragraph" w:customStyle="1" w:styleId="5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表文"/>
    <w:basedOn w:val="1"/>
    <w:qFormat/>
    <w:uiPriority w:val="0"/>
    <w:pPr>
      <w:spacing w:line="240" w:lineRule="atLeast"/>
      <w:jc w:val="center"/>
    </w:pPr>
    <w:rPr>
      <w:szCs w:val="21"/>
    </w:rPr>
  </w:style>
  <w:style w:type="paragraph" w:customStyle="1" w:styleId="53">
    <w:name w:val="表格标题"/>
    <w:basedOn w:val="54"/>
    <w:next w:val="1"/>
    <w:qFormat/>
    <w:uiPriority w:val="0"/>
    <w:pPr>
      <w:keepNext/>
      <w:widowControl/>
      <w:jc w:val="center"/>
    </w:pPr>
    <w:rPr>
      <w:b/>
      <w:kern w:val="0"/>
    </w:rPr>
  </w:style>
  <w:style w:type="paragraph" w:styleId="54">
    <w:name w:val="List Paragraph"/>
    <w:basedOn w:val="1"/>
    <w:qFormat/>
    <w:uiPriority w:val="34"/>
    <w:pPr>
      <w:ind w:firstLine="420" w:firstLineChars="200"/>
    </w:pPr>
  </w:style>
  <w:style w:type="paragraph" w:customStyle="1" w:styleId="55">
    <w:name w:val="正文01"/>
    <w:basedOn w:val="1"/>
    <w:qFormat/>
    <w:uiPriority w:val="0"/>
    <w:pPr>
      <w:spacing w:line="360" w:lineRule="auto"/>
      <w:ind w:firstLine="480"/>
    </w:pPr>
    <w:rPr>
      <w:sz w:val="24"/>
      <w:szCs w:val="20"/>
    </w:rPr>
  </w:style>
  <w:style w:type="paragraph" w:customStyle="1" w:styleId="56">
    <w:name w:val="文本正文"/>
    <w:basedOn w:val="1"/>
    <w:qFormat/>
    <w:uiPriority w:val="0"/>
    <w:pPr>
      <w:spacing w:line="360" w:lineRule="auto"/>
      <w:ind w:firstLine="480" w:firstLineChars="200"/>
    </w:pPr>
    <w:rPr>
      <w:sz w:val="24"/>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8">
    <w:name w:val="图表标题"/>
    <w:basedOn w:val="22"/>
    <w:next w:val="47"/>
    <w:qFormat/>
    <w:uiPriority w:val="0"/>
    <w:pPr>
      <w:ind w:left="0" w:leftChars="0"/>
      <w:outlineLvl w:val="4"/>
    </w:pPr>
    <w:rPr>
      <w:bCs/>
      <w:snapToGrid w:val="0"/>
    </w:rPr>
  </w:style>
  <w:style w:type="paragraph" w:customStyle="1" w:styleId="59">
    <w:name w:val="表格内容"/>
    <w:basedOn w:val="1"/>
    <w:qFormat/>
    <w:uiPriority w:val="0"/>
    <w:pPr>
      <w:widowControl/>
      <w:autoSpaceDE w:val="0"/>
      <w:autoSpaceDN w:val="0"/>
      <w:adjustRightInd w:val="0"/>
      <w:snapToGrid w:val="0"/>
      <w:spacing w:line="240" w:lineRule="atLeast"/>
      <w:jc w:val="center"/>
      <w:textAlignment w:val="baseline"/>
    </w:pPr>
    <w:rPr>
      <w:kern w:val="24"/>
      <w:szCs w:val="21"/>
    </w:rPr>
  </w:style>
  <w:style w:type="paragraph" w:customStyle="1" w:styleId="60">
    <w:name w:val="报告表正文"/>
    <w:basedOn w:val="1"/>
    <w:qFormat/>
    <w:uiPriority w:val="0"/>
    <w:rPr>
      <w:rFonts w:eastAsia="楷体_GB2312"/>
    </w:rPr>
  </w:style>
  <w:style w:type="paragraph" w:customStyle="1" w:styleId="61">
    <w:name w:val="S表名图名"/>
    <w:basedOn w:val="62"/>
    <w:qFormat/>
    <w:uiPriority w:val="1"/>
    <w:pPr>
      <w:ind w:firstLine="0"/>
      <w:jc w:val="center"/>
    </w:pPr>
    <w:rPr>
      <w:b/>
      <w:szCs w:val="23"/>
    </w:rPr>
  </w:style>
  <w:style w:type="paragraph" w:customStyle="1" w:styleId="62">
    <w:name w:val="S报告正文"/>
    <w:basedOn w:val="1"/>
    <w:qFormat/>
    <w:uiPriority w:val="0"/>
    <w:pPr>
      <w:adjustRightInd w:val="0"/>
      <w:snapToGrid w:val="0"/>
      <w:spacing w:line="480" w:lineRule="exact"/>
      <w:ind w:firstLine="510"/>
      <w:jc w:val="left"/>
    </w:pPr>
    <w:rPr>
      <w:sz w:val="24"/>
    </w:rPr>
  </w:style>
  <w:style w:type="paragraph" w:customStyle="1" w:styleId="63">
    <w:name w:val="0正文"/>
    <w:unhideWhenUsed/>
    <w:qFormat/>
    <w:uiPriority w:val="0"/>
    <w:pPr>
      <w:spacing w:line="300" w:lineRule="auto"/>
      <w:ind w:firstLine="480" w:firstLineChars="200"/>
    </w:pPr>
    <w:rPr>
      <w:rFonts w:ascii="Times New Roman" w:hAnsi="Times New Roman" w:eastAsia="宋体" w:cs="Times New Roman"/>
      <w:sz w:val="24"/>
      <w:szCs w:val="22"/>
      <w:lang w:val="en-US" w:eastAsia="zh-CN" w:bidi="ar-SA"/>
    </w:rPr>
  </w:style>
  <w:style w:type="paragraph" w:customStyle="1" w:styleId="64">
    <w:name w:val="S表格文字"/>
    <w:basedOn w:val="11"/>
    <w:qFormat/>
    <w:uiPriority w:val="0"/>
    <w:pPr>
      <w:adjustRightInd w:val="0"/>
      <w:spacing w:before="20" w:after="20"/>
      <w:ind w:firstLine="0" w:firstLineChars="0"/>
      <w:jc w:val="center"/>
    </w:p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报告书正文"/>
    <w:basedOn w:val="1"/>
    <w:qFormat/>
    <w:uiPriority w:val="0"/>
    <w:pPr>
      <w:spacing w:line="300" w:lineRule="auto"/>
    </w:pPr>
    <w:rPr>
      <w:szCs w:val="20"/>
    </w:rPr>
  </w:style>
  <w:style w:type="paragraph" w:customStyle="1" w:styleId="67">
    <w:name w:val="正文缩进1"/>
    <w:basedOn w:val="1"/>
    <w:qFormat/>
    <w:uiPriority w:val="0"/>
    <w:pPr>
      <w:ind w:firstLine="420"/>
    </w:pPr>
    <w:rPr>
      <w:sz w:val="24"/>
    </w:rPr>
  </w:style>
  <w:style w:type="paragraph" w:customStyle="1" w:styleId="68">
    <w:name w:val="表格文字"/>
    <w:basedOn w:val="1"/>
    <w:qFormat/>
    <w:uiPriority w:val="0"/>
    <w:pPr>
      <w:adjustRightInd w:val="0"/>
      <w:snapToGrid w:val="0"/>
      <w:jc w:val="center"/>
      <w:textAlignment w:val="center"/>
    </w:pPr>
    <w:rPr>
      <w:kern w:val="0"/>
      <w:sz w:val="20"/>
      <w:szCs w:val="18"/>
    </w:rPr>
  </w:style>
  <w:style w:type="paragraph" w:customStyle="1" w:styleId="69">
    <w:name w:val="正文样式"/>
    <w:basedOn w:val="1"/>
    <w:qFormat/>
    <w:uiPriority w:val="0"/>
    <w:pPr>
      <w:spacing w:line="360" w:lineRule="auto"/>
      <w:ind w:firstLine="480" w:firstLineChars="200"/>
    </w:pPr>
    <w:rPr>
      <w:sz w:val="24"/>
    </w:rPr>
  </w:style>
  <w:style w:type="character" w:customStyle="1" w:styleId="70">
    <w:name w:val="标题 1 字符"/>
    <w:link w:val="4"/>
    <w:uiPriority w:val="99"/>
    <w:rPr>
      <w:rFonts w:eastAsia="黑体"/>
      <w:b/>
      <w:bCs/>
      <w:color w:val="000000"/>
      <w:kern w:val="44"/>
      <w:sz w:val="30"/>
      <w:szCs w:val="30"/>
    </w:rPr>
  </w:style>
  <w:style w:type="character" w:customStyle="1" w:styleId="71">
    <w:name w:val="Default Char"/>
    <w:link w:val="32"/>
    <w:qFormat/>
    <w:uiPriority w:val="0"/>
    <w:rPr>
      <w:rFonts w:ascii="宋体" w:cs="宋体"/>
      <w:color w:val="000000"/>
      <w:kern w:val="2"/>
      <w:sz w:val="24"/>
      <w:szCs w:val="24"/>
    </w:rPr>
  </w:style>
  <w:style w:type="character" w:customStyle="1" w:styleId="72">
    <w:name w:val="报告 Char"/>
    <w:link w:val="73"/>
    <w:qFormat/>
    <w:uiPriority w:val="0"/>
    <w:rPr>
      <w:sz w:val="24"/>
    </w:rPr>
  </w:style>
  <w:style w:type="paragraph" w:customStyle="1" w:styleId="73">
    <w:name w:val="报告"/>
    <w:basedOn w:val="1"/>
    <w:link w:val="72"/>
    <w:qFormat/>
    <w:uiPriority w:val="0"/>
    <w:pPr>
      <w:overflowPunct w:val="0"/>
      <w:autoSpaceDE w:val="0"/>
      <w:autoSpaceDN w:val="0"/>
      <w:adjustRightInd w:val="0"/>
      <w:spacing w:beforeLines="30" w:afterLines="30" w:line="400" w:lineRule="atLeast"/>
      <w:ind w:left="200" w:leftChars="200" w:firstLine="200" w:firstLineChars="200"/>
      <w:textAlignment w:val="baseline"/>
    </w:pPr>
    <w:rPr>
      <w:kern w:val="0"/>
      <w:sz w:val="24"/>
      <w:szCs w:val="20"/>
    </w:rPr>
  </w:style>
  <w:style w:type="paragraph" w:customStyle="1" w:styleId="74">
    <w:name w:val="! 表中"/>
    <w:qFormat/>
    <w:uiPriority w:val="0"/>
    <w:pPr>
      <w:overflowPunct w:val="0"/>
      <w:autoSpaceDE w:val="0"/>
      <w:autoSpaceDN w:val="0"/>
      <w:adjustRightInd w:val="0"/>
      <w:snapToGrid w:val="0"/>
      <w:jc w:val="center"/>
      <w:textAlignment w:val="baseline"/>
    </w:pPr>
    <w:rPr>
      <w:rFonts w:ascii="Times New Roman" w:hAnsi="Times New Roman" w:eastAsia="宋体" w:cs="Times New Roman"/>
      <w:sz w:val="18"/>
      <w:lang w:val="en-US" w:eastAsia="zh-CN" w:bidi="ar-SA"/>
    </w:rPr>
  </w:style>
  <w:style w:type="paragraph" w:customStyle="1" w:styleId="75">
    <w:name w:val="样式4"/>
    <w:basedOn w:val="12"/>
    <w:qFormat/>
    <w:uiPriority w:val="0"/>
    <w:pPr>
      <w:spacing w:line="420" w:lineRule="exact"/>
      <w:ind w:firstLine="200" w:firstLineChars="200"/>
    </w:pPr>
    <w:rPr>
      <w:kern w:val="2"/>
      <w:szCs w:val="24"/>
    </w:rPr>
  </w:style>
  <w:style w:type="character" w:customStyle="1" w:styleId="76">
    <w:name w:val="apple-converted-space"/>
    <w:qFormat/>
    <w:uiPriority w:val="0"/>
  </w:style>
  <w:style w:type="character" w:customStyle="1" w:styleId="77">
    <w:name w:val="标题 4 字符"/>
    <w:basedOn w:val="28"/>
    <w:link w:val="8"/>
    <w:semiHidden/>
    <w:qFormat/>
    <w:uiPriority w:val="9"/>
    <w:rPr>
      <w:rFonts w:asciiTheme="majorHAnsi" w:hAnsiTheme="majorHAnsi" w:eastAsiaTheme="majorEastAsia" w:cstheme="majorBidi"/>
      <w:b/>
      <w:bCs/>
      <w:kern w:val="2"/>
      <w:sz w:val="28"/>
      <w:szCs w:val="28"/>
    </w:rPr>
  </w:style>
  <w:style w:type="character" w:customStyle="1" w:styleId="78">
    <w:name w:val="正文文本缩进 2 字符"/>
    <w:basedOn w:val="28"/>
    <w:link w:val="17"/>
    <w:qFormat/>
    <w:uiPriority w:val="0"/>
    <w:rPr>
      <w:kern w:val="2"/>
      <w:sz w:val="21"/>
      <w:szCs w:val="24"/>
    </w:rPr>
  </w:style>
  <w:style w:type="character" w:customStyle="1" w:styleId="79">
    <w:name w:val="标题 3 字符"/>
    <w:basedOn w:val="28"/>
    <w:link w:val="7"/>
    <w:semiHidden/>
    <w:uiPriority w:val="0"/>
    <w:rPr>
      <w:b/>
      <w:bCs/>
      <w:kern w:val="2"/>
      <w:sz w:val="32"/>
      <w:szCs w:val="32"/>
    </w:rPr>
  </w:style>
  <w:style w:type="character" w:customStyle="1" w:styleId="80">
    <w:name w:val="正文文本首行缩进 2 字符"/>
    <w:basedOn w:val="34"/>
    <w:link w:val="2"/>
    <w:qFormat/>
    <w:uiPriority w:val="0"/>
    <w:rPr>
      <w:rFonts w:ascii="Times New Roman" w:hAnsi="Times New Roman" w:eastAsia="宋体"/>
      <w:sz w:val="24"/>
    </w:rPr>
  </w:style>
  <w:style w:type="character" w:customStyle="1" w:styleId="81">
    <w:name w:val="题注 字符"/>
    <w:link w:val="10"/>
    <w:qFormat/>
    <w:uiPriority w:val="0"/>
    <w:rPr>
      <w:rFonts w:ascii="Calibri Light" w:hAnsi="Calibri Light" w:eastAsia="黑体"/>
      <w:kern w:val="2"/>
    </w:rPr>
  </w:style>
  <w:style w:type="paragraph" w:customStyle="1" w:styleId="82">
    <w:name w:val="表格GZN"/>
    <w:basedOn w:val="1"/>
    <w:qFormat/>
    <w:uiPriority w:val="0"/>
    <w:pPr>
      <w:wordWrap w:val="0"/>
      <w:spacing w:line="240" w:lineRule="atLeast"/>
      <w:jc w:val="center"/>
    </w:pPr>
  </w:style>
  <w:style w:type="character" w:customStyle="1" w:styleId="83">
    <w:name w:val="Unresolved Mention"/>
    <w:basedOn w:val="28"/>
    <w:semiHidden/>
    <w:unhideWhenUsed/>
    <w:qFormat/>
    <w:uiPriority w:val="99"/>
    <w:rPr>
      <w:color w:val="605E5C"/>
      <w:shd w:val="clear" w:color="auto" w:fill="E1DFDD"/>
    </w:rPr>
  </w:style>
  <w:style w:type="character" w:customStyle="1" w:styleId="84">
    <w:name w:val="表头 Char"/>
    <w:link w:val="50"/>
    <w:qFormat/>
    <w:uiPriority w:val="0"/>
    <w:rPr>
      <w:b/>
      <w:color w:val="000000"/>
      <w:kern w:val="2"/>
      <w:sz w:val="21"/>
    </w:rPr>
  </w:style>
  <w:style w:type="paragraph" w:customStyle="1" w:styleId="85">
    <w:name w:val="正式文本"/>
    <w:basedOn w:val="1"/>
    <w:qFormat/>
    <w:uiPriority w:val="0"/>
    <w:pPr>
      <w:adjustRightInd w:val="0"/>
      <w:snapToGrid w:val="0"/>
      <w:spacing w:line="360" w:lineRule="auto"/>
      <w:ind w:firstLine="420" w:firstLineChars="200"/>
      <w:jc w:val="left"/>
    </w:pPr>
    <w:rPr>
      <w:bCs/>
      <w:szCs w:val="21"/>
    </w:rPr>
  </w:style>
  <w:style w:type="paragraph" w:customStyle="1" w:styleId="86">
    <w:name w:val="正文修改"/>
    <w:basedOn w:val="1"/>
    <w:qFormat/>
    <w:uiPriority w:val="0"/>
    <w:pPr>
      <w:spacing w:line="360" w:lineRule="auto"/>
      <w:ind w:firstLine="480" w:firstLineChars="200"/>
    </w:pPr>
    <w:rPr>
      <w:rFonts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74</Pages>
  <Words>337</Words>
  <Characters>370</Characters>
  <Lines>3393</Lines>
  <Paragraphs>3356</Paragraphs>
  <TotalTime>16172</TotalTime>
  <ScaleCrop>false</ScaleCrop>
  <LinksUpToDate>false</LinksUpToDate>
  <CharactersWithSpaces>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2025-05-15T11:12:00Z</dcterms:created>
  <dc:creator>lhj</dc:creator>
  <cp:lastModifiedBy>yan</cp:lastModifiedBy>
  <cp:lastPrinted>2020-12-29T02:43:00Z</cp:lastPrinted>
  <dcterms:modified xsi:type="dcterms:W3CDTF">2025-06-17T02:50:39Z</dcterms:modified>
  <dc:title>附件2</dc:title>
  <cp:revision>983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A2AD5F7443D64BDBA4C624EF9C8B92A5</vt:lpwstr>
  </property>
  <property fmtid="{D5CDD505-2E9C-101B-9397-08002B2CF9AE}" pid="4" name="KSOTemplateDocerSaveRecord">
    <vt:lpwstr>eyJoZGlkIjoiYzViZWZkZGVjYWNjNjc4MzM0NWQ3MDdmYTYzZDAxOWIiLCJ1c2VySWQiOiIzMzc5MTM0MzcifQ==</vt:lpwstr>
  </property>
</Properties>
</file>