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p>
    <w:p>
      <w:pPr>
        <w:jc w:val="center"/>
        <w:rPr>
          <w:rFonts w:ascii="方正小标宋_GBK" w:eastAsia="方正小标宋_GBK"/>
          <w:sz w:val="48"/>
          <w:szCs w:val="48"/>
        </w:rPr>
      </w:pPr>
    </w:p>
    <w:p>
      <w:pPr>
        <w:jc w:val="center"/>
        <w:rPr>
          <w:rFonts w:hint="eastAsia" w:ascii="华文宋体" w:hAnsi="华文宋体" w:eastAsia="华文宋体" w:cs="华文宋体"/>
          <w:b/>
          <w:bCs/>
          <w:sz w:val="52"/>
          <w:szCs w:val="52"/>
          <w:lang w:val="en-US" w:eastAsia="zh-CN"/>
        </w:rPr>
      </w:pPr>
      <w:r>
        <w:rPr>
          <w:rFonts w:hint="eastAsia" w:ascii="华文宋体" w:hAnsi="华文宋体" w:eastAsia="华文宋体" w:cs="华文宋体"/>
          <w:b/>
          <w:bCs/>
          <w:sz w:val="52"/>
          <w:szCs w:val="52"/>
          <w:lang w:val="en-US" w:eastAsia="zh-CN"/>
        </w:rPr>
        <w:t>202</w:t>
      </w:r>
      <w:r>
        <w:rPr>
          <w:rFonts w:hint="default" w:ascii="华文宋体" w:hAnsi="华文宋体" w:eastAsia="华文宋体" w:cs="华文宋体"/>
          <w:b/>
          <w:bCs/>
          <w:sz w:val="52"/>
          <w:szCs w:val="52"/>
          <w:lang w:val="en" w:eastAsia="zh-CN"/>
        </w:rPr>
        <w:t>4</w:t>
      </w:r>
      <w:r>
        <w:rPr>
          <w:rFonts w:hint="eastAsia" w:ascii="华文宋体" w:hAnsi="华文宋体" w:eastAsia="华文宋体" w:cs="华文宋体"/>
          <w:b/>
          <w:bCs/>
          <w:sz w:val="52"/>
          <w:szCs w:val="52"/>
          <w:lang w:val="en-US" w:eastAsia="zh-CN"/>
        </w:rPr>
        <w:t>年度衡山县供销社部门整体</w:t>
      </w:r>
    </w:p>
    <w:p>
      <w:pPr>
        <w:jc w:val="center"/>
        <w:rPr>
          <w:rFonts w:hint="eastAsia" w:ascii="华文宋体" w:hAnsi="华文宋体" w:eastAsia="华文宋体" w:cs="华文宋体"/>
          <w:b/>
          <w:bCs/>
          <w:sz w:val="52"/>
          <w:szCs w:val="52"/>
          <w:lang w:val="en-US" w:eastAsia="zh-CN"/>
        </w:rPr>
      </w:pPr>
      <w:r>
        <w:rPr>
          <w:rFonts w:hint="eastAsia" w:ascii="华文宋体" w:hAnsi="华文宋体" w:eastAsia="华文宋体" w:cs="华文宋体"/>
          <w:b/>
          <w:bCs/>
          <w:sz w:val="52"/>
          <w:szCs w:val="52"/>
          <w:lang w:val="en-US" w:eastAsia="zh-CN"/>
        </w:rPr>
        <w:t>支出绩效自评报告</w:t>
      </w:r>
    </w:p>
    <w:p>
      <w:pPr>
        <w:jc w:val="center"/>
        <w:rPr>
          <w:rFonts w:hint="eastAsia" w:ascii="华文宋体" w:hAnsi="华文宋体" w:eastAsia="华文宋体" w:cs="华文宋体"/>
          <w:b/>
          <w:bCs/>
          <w:sz w:val="52"/>
          <w:szCs w:val="52"/>
          <w:lang w:val="en-US" w:eastAsia="zh-CN"/>
        </w:rPr>
      </w:pPr>
    </w:p>
    <w:p>
      <w:pPr>
        <w:jc w:val="center"/>
        <w:rPr>
          <w:rFonts w:hint="eastAsia" w:ascii="华文宋体" w:hAnsi="华文宋体" w:eastAsia="华文宋体" w:cs="华文宋体"/>
          <w:b/>
          <w:bCs/>
          <w:sz w:val="52"/>
          <w:szCs w:val="52"/>
          <w:lang w:val="en-US" w:eastAsia="zh-CN"/>
        </w:rPr>
      </w:pPr>
    </w:p>
    <w:p>
      <w:pPr>
        <w:jc w:val="center"/>
        <w:rPr>
          <w:rFonts w:hint="eastAsia" w:ascii="华文宋体" w:hAnsi="华文宋体" w:eastAsia="华文宋体" w:cs="华文宋体"/>
          <w:b/>
          <w:bCs/>
          <w:sz w:val="52"/>
          <w:szCs w:val="52"/>
          <w:lang w:val="en-US" w:eastAsia="zh-CN"/>
        </w:rPr>
      </w:pPr>
    </w:p>
    <w:p>
      <w:pPr>
        <w:jc w:val="center"/>
        <w:rPr>
          <w:rFonts w:hint="eastAsia" w:ascii="华文宋体" w:hAnsi="华文宋体" w:eastAsia="华文宋体" w:cs="华文宋体"/>
          <w:b/>
          <w:bCs/>
          <w:sz w:val="52"/>
          <w:szCs w:val="52"/>
          <w:lang w:val="en-US" w:eastAsia="zh-CN"/>
        </w:rPr>
      </w:pPr>
    </w:p>
    <w:p>
      <w:pPr>
        <w:jc w:val="center"/>
        <w:rPr>
          <w:rFonts w:hint="eastAsia" w:ascii="华文宋体" w:hAnsi="华文宋体" w:eastAsia="华文宋体" w:cs="华文宋体"/>
          <w:b/>
          <w:bCs/>
          <w:sz w:val="52"/>
          <w:szCs w:val="52"/>
          <w:lang w:val="en-US" w:eastAsia="zh-CN"/>
        </w:rPr>
      </w:pPr>
    </w:p>
    <w:p>
      <w:pPr>
        <w:jc w:val="center"/>
        <w:rPr>
          <w:rFonts w:hint="eastAsia" w:ascii="华文宋体" w:hAnsi="华文宋体" w:eastAsia="华文宋体" w:cs="华文宋体"/>
          <w:b/>
          <w:bCs/>
          <w:sz w:val="52"/>
          <w:szCs w:val="52"/>
          <w:lang w:val="en-US" w:eastAsia="zh-CN"/>
        </w:rPr>
      </w:pPr>
    </w:p>
    <w:p>
      <w:pPr>
        <w:jc w:val="center"/>
        <w:rPr>
          <w:rFonts w:hint="eastAsia" w:ascii="华文宋体" w:hAnsi="华文宋体" w:eastAsia="华文宋体" w:cs="华文宋体"/>
          <w:b/>
          <w:bCs/>
          <w:sz w:val="52"/>
          <w:szCs w:val="52"/>
          <w:lang w:val="en-US" w:eastAsia="zh-CN"/>
        </w:rPr>
      </w:pPr>
    </w:p>
    <w:p>
      <w:pPr>
        <w:jc w:val="center"/>
        <w:rPr>
          <w:rFonts w:hint="eastAsia" w:ascii="华文宋体" w:hAnsi="华文宋体" w:eastAsia="华文宋体" w:cs="华文宋体"/>
          <w:b/>
          <w:bCs/>
          <w:sz w:val="52"/>
          <w:szCs w:val="52"/>
          <w:lang w:val="en-US" w:eastAsia="zh-CN"/>
        </w:rPr>
      </w:pPr>
    </w:p>
    <w:p>
      <w:pPr>
        <w:jc w:val="center"/>
        <w:rPr>
          <w:rFonts w:hint="eastAsia" w:ascii="华文宋体" w:hAnsi="华文宋体" w:eastAsia="华文宋体" w:cs="华文宋体"/>
          <w:b/>
          <w:bCs/>
          <w:sz w:val="52"/>
          <w:szCs w:val="52"/>
          <w:lang w:val="en-US" w:eastAsia="zh-CN"/>
        </w:rPr>
      </w:pPr>
    </w:p>
    <w:p>
      <w:pPr>
        <w:jc w:val="center"/>
        <w:rPr>
          <w:rFonts w:hint="eastAsia" w:ascii="华文宋体" w:hAnsi="华文宋体" w:eastAsia="华文宋体" w:cs="华文宋体"/>
          <w:b/>
          <w:bCs/>
          <w:sz w:val="52"/>
          <w:szCs w:val="52"/>
          <w:lang w:val="en-US" w:eastAsia="zh-CN"/>
        </w:rPr>
      </w:pPr>
    </w:p>
    <w:p>
      <w:pPr>
        <w:jc w:val="center"/>
        <w:rPr>
          <w:rFonts w:hint="eastAsia" w:ascii="华文宋体" w:hAnsi="华文宋体" w:eastAsia="华文宋体" w:cs="华文宋体"/>
          <w:b/>
          <w:bCs/>
          <w:sz w:val="52"/>
          <w:szCs w:val="52"/>
          <w:lang w:val="en-US" w:eastAsia="zh-CN"/>
        </w:rPr>
      </w:pPr>
    </w:p>
    <w:p>
      <w:pPr>
        <w:jc w:val="both"/>
        <w:rPr>
          <w:rFonts w:hint="eastAsia" w:ascii="华文宋体" w:hAnsi="华文宋体" w:eastAsia="华文宋体" w:cs="华文宋体"/>
          <w:b/>
          <w:bCs/>
          <w:sz w:val="52"/>
          <w:szCs w:val="52"/>
          <w:lang w:val="en-US" w:eastAsia="zh-CN"/>
        </w:rPr>
      </w:pPr>
    </w:p>
    <w:p>
      <w:pPr>
        <w:pStyle w:val="2"/>
        <w:tabs>
          <w:tab w:val="left" w:pos="5993"/>
        </w:tabs>
        <w:ind w:left="555"/>
        <w:jc w:val="center"/>
        <w:rPr>
          <w:u w:val="single"/>
        </w:rPr>
      </w:pPr>
      <w:r>
        <w:rPr>
          <w:spacing w:val="-4"/>
        </w:rPr>
        <w:t>部门（单位）名称：</w:t>
      </w:r>
      <w:r>
        <w:rPr>
          <w:rFonts w:hint="eastAsia"/>
          <w:spacing w:val="-4"/>
          <w:u w:val="single"/>
        </w:rPr>
        <w:t>衡山县供销合作社联合社</w:t>
      </w:r>
    </w:p>
    <w:p>
      <w:pPr>
        <w:pStyle w:val="2"/>
        <w:spacing w:before="190"/>
        <w:ind w:left="3987"/>
        <w:jc w:val="both"/>
      </w:pPr>
      <w:r>
        <w:rPr>
          <w:rFonts w:hint="eastAsia"/>
          <w:lang w:val="en-US" w:eastAsia="zh-CN"/>
        </w:rPr>
        <w:t>202</w:t>
      </w:r>
      <w:r>
        <w:rPr>
          <w:rFonts w:hint="default"/>
          <w:lang w:val="en" w:eastAsia="zh-CN"/>
        </w:rPr>
        <w:t>5</w:t>
      </w:r>
      <w:r>
        <w:t>年</w:t>
      </w:r>
      <w:r>
        <w:rPr>
          <w:rFonts w:hint="eastAsia" w:ascii="宋体" w:hAnsi="宋体" w:eastAsia="宋体" w:cs="宋体"/>
          <w:lang w:val="en-US" w:eastAsia="zh-CN"/>
        </w:rPr>
        <w:t>6</w:t>
      </w:r>
      <w:r>
        <w:t>月</w:t>
      </w:r>
      <w:r>
        <w:rPr>
          <w:rFonts w:hint="eastAsia" w:cs="宋体"/>
          <w:lang w:val="en-US" w:eastAsia="zh-CN"/>
        </w:rPr>
        <w:t>2</w:t>
      </w:r>
      <w:r>
        <w:rPr>
          <w:rFonts w:hint="default" w:cs="宋体"/>
          <w:lang w:val="en" w:eastAsia="zh-CN"/>
        </w:rPr>
        <w:t>6</w:t>
      </w:r>
      <w:r>
        <w:rPr>
          <w:spacing w:val="-10"/>
        </w:rPr>
        <w:t>日</w:t>
      </w:r>
    </w:p>
    <w:p>
      <w:pPr>
        <w:jc w:val="both"/>
        <w:rPr>
          <w:rFonts w:hint="eastAsia" w:ascii="黑体" w:eastAsia="黑体"/>
          <w:sz w:val="44"/>
          <w:szCs w:val="44"/>
          <w:lang w:eastAsia="zh-CN"/>
        </w:rPr>
      </w:pPr>
    </w:p>
    <w:p>
      <w:pPr>
        <w:jc w:val="center"/>
        <w:rPr>
          <w:rFonts w:ascii="黑体" w:eastAsia="黑体"/>
          <w:sz w:val="32"/>
          <w:szCs w:val="32"/>
        </w:rPr>
      </w:pPr>
    </w:p>
    <w:p>
      <w:pPr>
        <w:wordWrap/>
        <w:autoSpaceDE w:val="0"/>
        <w:autoSpaceDN w:val="0"/>
        <w:spacing w:before="720" w:after="0" w:line="540" w:lineRule="atLeast"/>
        <w:ind w:left="1580" w:right="0" w:firstLine="1020" w:firstLineChars="300"/>
        <w:jc w:val="both"/>
        <w:textAlignment w:val="auto"/>
        <w:rPr>
          <w:rFonts w:ascii="黑体" w:hAnsi="黑体" w:eastAsia="黑体" w:cs="黑体"/>
          <w:sz w:val="34"/>
        </w:rPr>
        <w:sectPr>
          <w:pgSz w:w="11860" w:h="16800"/>
          <w:pgMar w:top="800" w:right="800" w:bottom="800" w:left="800" w:header="720" w:footer="720" w:gutter="0"/>
          <w:cols w:space="720" w:num="1"/>
        </w:sectPr>
      </w:pPr>
    </w:p>
    <w:p>
      <w:pPr>
        <w:wordWrap/>
        <w:autoSpaceDE w:val="0"/>
        <w:autoSpaceDN w:val="0"/>
        <w:spacing w:before="720" w:after="0" w:line="540" w:lineRule="atLeast"/>
        <w:ind w:left="1580" w:right="0" w:firstLine="1020" w:firstLineChars="300"/>
        <w:jc w:val="both"/>
        <w:textAlignment w:val="auto"/>
        <w:rPr>
          <w:rFonts w:ascii="黑体" w:hAnsi="黑体" w:eastAsia="黑体" w:cs="黑体"/>
          <w:sz w:val="34"/>
        </w:rPr>
      </w:pPr>
      <w:r>
        <w:rPr>
          <w:rFonts w:ascii="黑体" w:hAnsi="黑体" w:eastAsia="黑体" w:cs="黑体"/>
          <w:sz w:val="34"/>
        </w:rPr>
        <w:t>202</w:t>
      </w:r>
      <w:r>
        <w:rPr>
          <w:rFonts w:hint="default" w:ascii="黑体" w:hAnsi="黑体" w:eastAsia="黑体" w:cs="黑体"/>
          <w:sz w:val="34"/>
          <w:lang w:val="en"/>
        </w:rPr>
        <w:t>4</w:t>
      </w:r>
      <w:r>
        <w:rPr>
          <w:rFonts w:ascii="黑体" w:hAnsi="黑体" w:eastAsia="黑体" w:cs="黑体"/>
          <w:sz w:val="34"/>
        </w:rPr>
        <w:t>年度部门整体支出绩效自评报告</w:t>
      </w:r>
    </w:p>
    <w:p>
      <w:pPr>
        <w:wordWrap/>
        <w:autoSpaceDE w:val="0"/>
        <w:autoSpaceDN w:val="0"/>
        <w:spacing w:before="0" w:after="0" w:line="620" w:lineRule="atLeast"/>
        <w:ind w:left="940" w:right="1000" w:firstLine="640"/>
        <w:jc w:val="both"/>
        <w:textAlignment w:val="auto"/>
        <w:rPr>
          <w:rFonts w:hint="default" w:ascii="宋体" w:hAnsi="宋体" w:eastAsia="宋体" w:cs="宋体"/>
          <w:sz w:val="29"/>
        </w:rPr>
      </w:pPr>
      <w:r>
        <w:rPr>
          <w:rFonts w:hint="default" w:ascii="宋体" w:hAnsi="宋体" w:eastAsia="宋体" w:cs="宋体"/>
          <w:sz w:val="29"/>
          <w:lang w:val="en-US" w:eastAsia="zh-CN"/>
        </w:rPr>
        <w:t>为进一步规范财政资金管理，强化绩效和责任意识，切实提高财政资金使用效益，</w:t>
      </w:r>
      <w:r>
        <w:rPr>
          <w:rFonts w:ascii="宋体" w:hAnsi="宋体" w:eastAsia="宋体" w:cs="宋体"/>
          <w:sz w:val="29"/>
        </w:rPr>
        <w:t>根据《中华人民共和国预算法》、《中共中央国务院关于全面实施预算绩效管理的意见》(中发〔2018〕34号)精神、《中共湖南省委办公厅、省人民政府办公厅关于全面实施预算绩效管理的实施意见》(湘办发〔2019〕10号)和</w:t>
      </w:r>
      <w:r>
        <w:rPr>
          <w:rFonts w:ascii="宋体" w:hAnsi="宋体" w:eastAsia="宋体" w:cs="宋体"/>
          <w:color w:val="auto"/>
          <w:sz w:val="29"/>
          <w:highlight w:val="none"/>
        </w:rPr>
        <w:t>山财绩〔202</w:t>
      </w:r>
      <w:r>
        <w:rPr>
          <w:rFonts w:hint="eastAsia" w:ascii="宋体" w:hAnsi="宋体" w:cs="宋体"/>
          <w:color w:val="auto"/>
          <w:sz w:val="29"/>
          <w:highlight w:val="none"/>
          <w:lang w:val="en-US" w:eastAsia="zh-CN"/>
        </w:rPr>
        <w:t>4</w:t>
      </w:r>
      <w:r>
        <w:rPr>
          <w:rFonts w:ascii="宋体" w:hAnsi="宋体" w:eastAsia="宋体" w:cs="宋体"/>
          <w:color w:val="auto"/>
          <w:sz w:val="29"/>
          <w:highlight w:val="none"/>
        </w:rPr>
        <w:t>〕</w:t>
      </w:r>
      <w:r>
        <w:rPr>
          <w:rFonts w:hint="eastAsia" w:ascii="宋体" w:hAnsi="宋体" w:cs="宋体"/>
          <w:color w:val="auto"/>
          <w:sz w:val="29"/>
          <w:highlight w:val="none"/>
          <w:lang w:val="en-US" w:eastAsia="zh-CN"/>
        </w:rPr>
        <w:t>91</w:t>
      </w:r>
      <w:r>
        <w:rPr>
          <w:rFonts w:ascii="宋体" w:hAnsi="宋体" w:eastAsia="宋体" w:cs="宋体"/>
          <w:color w:val="auto"/>
          <w:sz w:val="29"/>
          <w:highlight w:val="none"/>
        </w:rPr>
        <w:t>号</w:t>
      </w:r>
      <w:r>
        <w:rPr>
          <w:rFonts w:ascii="宋体" w:hAnsi="宋体" w:eastAsia="宋体" w:cs="宋体"/>
          <w:sz w:val="29"/>
        </w:rPr>
        <w:t>有关要求</w:t>
      </w:r>
      <w:r>
        <w:rPr>
          <w:rFonts w:hint="default" w:ascii="宋体" w:hAnsi="宋体" w:eastAsia="宋体" w:cs="宋体"/>
          <w:sz w:val="29"/>
          <w:lang w:val="en-US" w:eastAsia="zh-CN"/>
        </w:rPr>
        <w:t>，现将我单位部门整体支出绩效评价情况报告如下：</w:t>
      </w:r>
    </w:p>
    <w:p>
      <w:pPr>
        <w:wordWrap/>
        <w:autoSpaceDE w:val="0"/>
        <w:autoSpaceDN w:val="0"/>
        <w:spacing w:before="220" w:after="0" w:line="400" w:lineRule="atLeast"/>
        <w:ind w:left="1580" w:right="0"/>
        <w:jc w:val="both"/>
        <w:textAlignment w:val="auto"/>
        <w:rPr>
          <w:rFonts w:ascii="黑体" w:hAnsi="黑体" w:eastAsia="黑体" w:cs="黑体"/>
          <w:sz w:val="29"/>
        </w:rPr>
      </w:pPr>
      <w:r>
        <w:rPr>
          <w:rFonts w:ascii="黑体" w:hAnsi="黑体" w:eastAsia="黑体" w:cs="黑体"/>
          <w:sz w:val="29"/>
        </w:rPr>
        <w:t>一、</w:t>
      </w:r>
      <w:r>
        <w:rPr>
          <w:rFonts w:hint="eastAsia" w:ascii="黑体" w:hAnsi="黑体" w:eastAsia="黑体" w:cs="黑体"/>
          <w:sz w:val="29"/>
          <w:lang w:eastAsia="zh-CN"/>
        </w:rPr>
        <w:t>部门</w:t>
      </w:r>
      <w:r>
        <w:rPr>
          <w:rFonts w:ascii="黑体" w:hAnsi="黑体" w:eastAsia="黑体" w:cs="黑体"/>
          <w:sz w:val="29"/>
        </w:rPr>
        <w:t>基本情况</w:t>
      </w:r>
    </w:p>
    <w:p>
      <w:pPr>
        <w:wordWrap/>
        <w:autoSpaceDE w:val="0"/>
        <w:autoSpaceDN w:val="0"/>
        <w:spacing w:before="220" w:after="0" w:line="400" w:lineRule="atLeast"/>
        <w:ind w:left="1580" w:right="0"/>
        <w:jc w:val="both"/>
        <w:textAlignment w:val="auto"/>
        <w:rPr>
          <w:rFonts w:ascii="宋体" w:hAnsi="宋体" w:eastAsia="宋体" w:cs="宋体"/>
          <w:sz w:val="29"/>
        </w:rPr>
      </w:pPr>
      <w:r>
        <w:rPr>
          <w:rFonts w:hint="eastAsia" w:ascii="宋体" w:hAnsi="宋体" w:cs="宋体"/>
          <w:sz w:val="29"/>
          <w:lang w:eastAsia="zh-CN"/>
        </w:rPr>
        <w:t>（一）</w:t>
      </w:r>
      <w:r>
        <w:rPr>
          <w:rFonts w:ascii="宋体" w:hAnsi="宋体" w:eastAsia="宋体" w:cs="宋体"/>
          <w:sz w:val="29"/>
        </w:rPr>
        <w:t>部门主要职责</w:t>
      </w:r>
    </w:p>
    <w:p>
      <w:pPr>
        <w:wordWrap/>
        <w:autoSpaceDE w:val="0"/>
        <w:autoSpaceDN w:val="0"/>
        <w:spacing w:before="0" w:after="0" w:line="620" w:lineRule="atLeast"/>
        <w:ind w:left="940" w:right="1000" w:firstLine="640"/>
        <w:jc w:val="both"/>
        <w:textAlignment w:val="auto"/>
        <w:rPr>
          <w:rFonts w:ascii="宋体" w:hAnsi="宋体" w:eastAsia="宋体" w:cs="宋体"/>
          <w:sz w:val="29"/>
        </w:rPr>
      </w:pPr>
      <w:r>
        <w:rPr>
          <w:rFonts w:ascii="宋体" w:hAnsi="宋体" w:eastAsia="宋体" w:cs="宋体"/>
          <w:sz w:val="29"/>
        </w:rPr>
        <w:t>1、贯彻执行中共中央、国务院和省、市、县党委政府及全国供销总社等有关供销社改革发展的路线、方针、政策和法律法规；负责依法制定全县供销合作社系统改革和发展规划并组织指导实施；负责对全县供销社系统的指导、协调、监督、服务、教育培训。</w:t>
      </w:r>
    </w:p>
    <w:p>
      <w:pPr>
        <w:wordWrap/>
        <w:autoSpaceDE w:val="0"/>
        <w:autoSpaceDN w:val="0"/>
        <w:spacing w:before="0" w:after="0" w:line="620" w:lineRule="atLeast"/>
        <w:ind w:left="940" w:right="1000" w:firstLine="640"/>
        <w:jc w:val="both"/>
        <w:textAlignment w:val="auto"/>
        <w:rPr>
          <w:rFonts w:hint="default" w:ascii="宋体" w:hAnsi="宋体" w:eastAsia="宋体" w:cs="宋体"/>
          <w:sz w:val="29"/>
        </w:rPr>
      </w:pPr>
      <w:r>
        <w:rPr>
          <w:rFonts w:hint="default" w:ascii="宋体" w:hAnsi="宋体" w:eastAsia="宋体" w:cs="宋体"/>
          <w:sz w:val="29"/>
        </w:rPr>
        <w:t>2、负责建设全县农村现代商品流通体系。主要发展农业生产资料、农村日用消费品（含图书、药品）、农副产品购销、再生资源（含报废车辆）回收利用和农村电子商务五大经营服务网络；负责组织实施新网工程、农业综合开发供销合作总社新型合作示范项目建设。</w:t>
      </w:r>
    </w:p>
    <w:p>
      <w:pPr>
        <w:wordWrap/>
        <w:autoSpaceDE w:val="0"/>
        <w:autoSpaceDN w:val="0"/>
        <w:spacing w:before="0" w:after="0" w:line="620" w:lineRule="atLeast"/>
        <w:ind w:left="940" w:right="1000" w:firstLine="640"/>
        <w:jc w:val="both"/>
        <w:textAlignment w:val="auto"/>
        <w:rPr>
          <w:rFonts w:hint="default" w:ascii="宋体" w:hAnsi="宋体" w:eastAsia="宋体" w:cs="宋体"/>
          <w:sz w:val="29"/>
        </w:rPr>
      </w:pPr>
      <w:r>
        <w:rPr>
          <w:rFonts w:hint="default" w:ascii="宋体" w:hAnsi="宋体" w:eastAsia="宋体" w:cs="宋体"/>
          <w:sz w:val="29"/>
        </w:rPr>
        <w:t>3、负责构建县政府主导的农业社会化服务体系和城乡综合服务体系建设。实施惠农综合服务工程，建立新型农业社会化服务体系，创新农业生产服务方式和手段；完善农产品现代流通服务体系，提升农产品流通服务水平；健全城乡社区服务体系，打造城乡社区综合服务平台；构建农村合作金融服务体系，开展农村合作金融服务；构建县、乡、村三级上下贯通的惠农综合服务体系。</w:t>
      </w:r>
    </w:p>
    <w:p>
      <w:pPr>
        <w:wordWrap/>
        <w:autoSpaceDE w:val="0"/>
        <w:autoSpaceDN w:val="0"/>
        <w:spacing w:before="0" w:after="0" w:line="620" w:lineRule="atLeast"/>
        <w:ind w:left="940" w:right="1000" w:firstLine="640"/>
        <w:jc w:val="both"/>
        <w:textAlignment w:val="auto"/>
        <w:rPr>
          <w:rFonts w:hint="default" w:ascii="宋体" w:hAnsi="宋体" w:eastAsia="宋体" w:cs="宋体"/>
          <w:sz w:val="29"/>
        </w:rPr>
      </w:pPr>
      <w:r>
        <w:rPr>
          <w:rFonts w:hint="default" w:ascii="宋体" w:hAnsi="宋体" w:eastAsia="宋体" w:cs="宋体"/>
          <w:sz w:val="29"/>
        </w:rPr>
        <w:t>4、负责全县供销合作社基层组织体系建设，实施基层组织建设工程。推进县供销社机关规范性建设，优化机构设置、职能配置；多种形式发展、改造、壮大乡镇基层供销社；参加村级（社区）综合服务社建设。</w:t>
      </w:r>
    </w:p>
    <w:p>
      <w:pPr>
        <w:wordWrap/>
        <w:autoSpaceDE w:val="0"/>
        <w:autoSpaceDN w:val="0"/>
        <w:spacing w:before="0" w:after="0" w:line="620" w:lineRule="atLeast"/>
        <w:ind w:left="940" w:right="1000" w:firstLine="640"/>
        <w:jc w:val="both"/>
        <w:textAlignment w:val="auto"/>
        <w:rPr>
          <w:rFonts w:hint="default" w:ascii="宋体" w:hAnsi="宋体" w:eastAsia="宋体" w:cs="宋体"/>
          <w:sz w:val="29"/>
        </w:rPr>
      </w:pPr>
      <w:r>
        <w:rPr>
          <w:rFonts w:hint="default" w:ascii="宋体" w:hAnsi="宋体" w:eastAsia="宋体" w:cs="宋体"/>
          <w:sz w:val="29"/>
        </w:rPr>
        <w:t>5、指导全县供销合作社系统做大做强社有企业，培育参股控股各类龙头企业，推进社有企业健全现代企业制度；推动社有企业参与农业产业化、标准化示范和农业技术研发推广等项目。</w:t>
      </w:r>
    </w:p>
    <w:p>
      <w:pPr>
        <w:wordWrap/>
        <w:autoSpaceDE w:val="0"/>
        <w:autoSpaceDN w:val="0"/>
        <w:spacing w:before="0" w:after="0" w:line="620" w:lineRule="atLeast"/>
        <w:ind w:left="940" w:right="1000" w:firstLine="640"/>
        <w:jc w:val="both"/>
        <w:textAlignment w:val="auto"/>
        <w:rPr>
          <w:rFonts w:hint="default" w:ascii="宋体" w:hAnsi="宋体" w:eastAsia="宋体" w:cs="宋体"/>
          <w:sz w:val="29"/>
        </w:rPr>
      </w:pPr>
      <w:r>
        <w:rPr>
          <w:rFonts w:hint="default" w:ascii="宋体" w:hAnsi="宋体" w:eastAsia="宋体" w:cs="宋体"/>
          <w:sz w:val="29"/>
        </w:rPr>
        <w:t>6、组织和引领县域内农村合作经济发展，引导规范发展农民专业合作社及联合社、行业协会、农产品经纪人队伍。</w:t>
      </w:r>
    </w:p>
    <w:p>
      <w:pPr>
        <w:wordWrap/>
        <w:autoSpaceDE w:val="0"/>
        <w:autoSpaceDN w:val="0"/>
        <w:spacing w:before="0" w:after="0" w:line="620" w:lineRule="atLeast"/>
        <w:ind w:left="940" w:right="1000" w:firstLine="640"/>
        <w:jc w:val="both"/>
        <w:textAlignment w:val="auto"/>
        <w:rPr>
          <w:rFonts w:hint="default" w:ascii="宋体" w:hAnsi="宋体" w:eastAsia="宋体" w:cs="宋体"/>
          <w:sz w:val="29"/>
        </w:rPr>
      </w:pPr>
      <w:r>
        <w:rPr>
          <w:rFonts w:hint="default" w:ascii="宋体" w:hAnsi="宋体" w:eastAsia="宋体" w:cs="宋体"/>
          <w:sz w:val="29"/>
        </w:rPr>
        <w:t>7、根据县人民政府授权，承担化肥、农药、棉花、食用油等重要物资的国家和地方政府储备及救灾物资储备等任务；会同有关部门参与全县农村商品流通及市场体系建设的规划编制及修订；参与有关农业生产资料和烟花爆竹行业的市场管理；参与管理指导全县再生资源回收利用市场体系建设。</w:t>
      </w:r>
    </w:p>
    <w:p>
      <w:pPr>
        <w:wordWrap/>
        <w:autoSpaceDE w:val="0"/>
        <w:autoSpaceDN w:val="0"/>
        <w:spacing w:before="0" w:after="0" w:line="620" w:lineRule="atLeast"/>
        <w:ind w:left="940" w:right="1000" w:firstLine="640"/>
        <w:jc w:val="both"/>
        <w:textAlignment w:val="auto"/>
        <w:rPr>
          <w:rFonts w:hint="default" w:ascii="宋体" w:hAnsi="宋体" w:eastAsia="宋体" w:cs="宋体"/>
          <w:sz w:val="29"/>
        </w:rPr>
      </w:pPr>
      <w:r>
        <w:rPr>
          <w:rFonts w:hint="default" w:ascii="宋体" w:hAnsi="宋体" w:eastAsia="宋体" w:cs="宋体"/>
          <w:sz w:val="29"/>
        </w:rPr>
        <w:t>8、指导和监督全县供销社系统的资产管理，依法维护供销社的合法权益。</w:t>
      </w:r>
    </w:p>
    <w:p>
      <w:pPr>
        <w:wordWrap/>
        <w:autoSpaceDE w:val="0"/>
        <w:autoSpaceDN w:val="0"/>
        <w:spacing w:before="0" w:after="0" w:line="620" w:lineRule="atLeast"/>
        <w:ind w:left="940" w:right="1000" w:firstLine="640"/>
        <w:jc w:val="both"/>
        <w:textAlignment w:val="auto"/>
        <w:rPr>
          <w:rFonts w:hint="default" w:ascii="宋体" w:hAnsi="宋体" w:eastAsia="宋体" w:cs="宋体"/>
          <w:sz w:val="29"/>
        </w:rPr>
      </w:pPr>
      <w:r>
        <w:rPr>
          <w:rFonts w:hint="default" w:ascii="宋体" w:hAnsi="宋体" w:eastAsia="宋体" w:cs="宋体"/>
          <w:sz w:val="29"/>
        </w:rPr>
        <w:t>9、指导全县供销社系统的科技开发和有关科技成果的转化及推广工作，推进科技兴社。</w:t>
      </w:r>
    </w:p>
    <w:p>
      <w:pPr>
        <w:wordWrap/>
        <w:autoSpaceDE w:val="0"/>
        <w:autoSpaceDN w:val="0"/>
        <w:spacing w:before="0" w:after="0" w:line="620" w:lineRule="atLeast"/>
        <w:ind w:left="940" w:right="1000" w:firstLine="640"/>
        <w:jc w:val="both"/>
        <w:textAlignment w:val="auto"/>
        <w:rPr>
          <w:rFonts w:hint="default" w:ascii="宋体" w:hAnsi="宋体" w:eastAsia="宋体" w:cs="宋体"/>
          <w:sz w:val="29"/>
        </w:rPr>
      </w:pPr>
      <w:r>
        <w:rPr>
          <w:rFonts w:hint="default" w:ascii="宋体" w:hAnsi="宋体" w:eastAsia="宋体" w:cs="宋体"/>
          <w:sz w:val="29"/>
        </w:rPr>
        <w:t>10、研究制定县供销社及所属单位人事、财务、资产的管理制度并组织实施，负责全县供销社系统人才队伍建设。</w:t>
      </w:r>
    </w:p>
    <w:p>
      <w:pPr>
        <w:wordWrap/>
        <w:autoSpaceDE w:val="0"/>
        <w:autoSpaceDN w:val="0"/>
        <w:spacing w:before="0" w:after="0" w:line="620" w:lineRule="atLeast"/>
        <w:ind w:left="940" w:right="1000" w:firstLine="640"/>
        <w:jc w:val="both"/>
        <w:textAlignment w:val="auto"/>
        <w:rPr>
          <w:rFonts w:hint="default" w:ascii="宋体" w:hAnsi="宋体" w:eastAsia="宋体" w:cs="宋体"/>
          <w:sz w:val="29"/>
        </w:rPr>
      </w:pPr>
      <w:r>
        <w:rPr>
          <w:rFonts w:hint="default" w:ascii="宋体" w:hAnsi="宋体" w:eastAsia="宋体" w:cs="宋体"/>
          <w:sz w:val="29"/>
        </w:rPr>
        <w:t>11、承接县政府在农业社会化服务、农产品流通、农村电子商务、农村合作金融、农村精准扶贫等领域转移的为农服务职能。</w:t>
      </w:r>
    </w:p>
    <w:p>
      <w:pPr>
        <w:wordWrap/>
        <w:autoSpaceDE w:val="0"/>
        <w:autoSpaceDN w:val="0"/>
        <w:spacing w:before="0" w:after="0" w:line="620" w:lineRule="atLeast"/>
        <w:ind w:left="940" w:right="1000" w:firstLine="640"/>
        <w:jc w:val="both"/>
        <w:textAlignment w:val="auto"/>
        <w:rPr>
          <w:rFonts w:ascii="宋体" w:hAnsi="宋体" w:eastAsia="宋体" w:cs="宋体"/>
          <w:sz w:val="29"/>
        </w:rPr>
      </w:pPr>
      <w:r>
        <w:rPr>
          <w:rFonts w:hint="default" w:ascii="宋体" w:hAnsi="宋体" w:eastAsia="宋体" w:cs="宋体"/>
          <w:sz w:val="29"/>
        </w:rPr>
        <w:t>12、承办县委、县政府和上级社交办的其他工作。</w:t>
      </w:r>
    </w:p>
    <w:p>
      <w:pPr>
        <w:wordWrap/>
        <w:autoSpaceDE w:val="0"/>
        <w:autoSpaceDN w:val="0"/>
        <w:spacing w:before="0" w:after="0" w:line="620" w:lineRule="atLeast"/>
        <w:ind w:left="940" w:right="1000" w:firstLine="640"/>
        <w:jc w:val="both"/>
        <w:textAlignment w:val="auto"/>
        <w:rPr>
          <w:rFonts w:hint="default" w:ascii="宋体" w:hAnsi="宋体" w:eastAsia="宋体" w:cs="宋体"/>
          <w:sz w:val="29"/>
          <w:lang w:val="en-US" w:eastAsia="zh-CN"/>
        </w:rPr>
      </w:pPr>
      <w:r>
        <w:rPr>
          <w:rFonts w:hint="eastAsia" w:ascii="宋体" w:hAnsi="宋体" w:eastAsia="宋体" w:cs="宋体"/>
          <w:sz w:val="29"/>
          <w:lang w:val="en-US" w:eastAsia="zh-CN"/>
        </w:rPr>
        <w:t>（二）</w:t>
      </w:r>
      <w:r>
        <w:rPr>
          <w:rFonts w:hint="default" w:ascii="宋体" w:hAnsi="宋体" w:eastAsia="宋体" w:cs="宋体"/>
          <w:sz w:val="29"/>
          <w:lang w:val="en-US" w:eastAsia="zh-CN"/>
        </w:rPr>
        <w:t>人员编制情况</w:t>
      </w:r>
    </w:p>
    <w:p>
      <w:pPr>
        <w:wordWrap/>
        <w:autoSpaceDE w:val="0"/>
        <w:autoSpaceDN w:val="0"/>
        <w:spacing w:before="0" w:after="0" w:line="620" w:lineRule="atLeast"/>
        <w:ind w:left="940" w:right="1000" w:firstLine="640"/>
        <w:jc w:val="both"/>
        <w:textAlignment w:val="auto"/>
        <w:rPr>
          <w:rFonts w:hint="default" w:ascii="宋体" w:hAnsi="宋体" w:eastAsia="宋体" w:cs="宋体"/>
          <w:sz w:val="29"/>
          <w:lang w:val="en-US" w:eastAsia="zh-CN"/>
        </w:rPr>
      </w:pPr>
      <w:r>
        <w:rPr>
          <w:rFonts w:hint="default" w:ascii="宋体" w:hAnsi="宋体" w:eastAsia="宋体" w:cs="宋体"/>
          <w:sz w:val="29"/>
          <w:lang w:val="en-US" w:eastAsia="zh-CN"/>
        </w:rPr>
        <w:t>衡山县供销合作社联合社成立于1951年6月，系衡山县人民政府直属正科级全额拨款参照公务员法管理事业单位，至202</w:t>
      </w:r>
      <w:r>
        <w:rPr>
          <w:rFonts w:hint="default" w:ascii="宋体" w:hAnsi="宋体" w:cs="宋体"/>
          <w:sz w:val="29"/>
          <w:lang w:val="en" w:eastAsia="zh-CN"/>
        </w:rPr>
        <w:t>4</w:t>
      </w:r>
      <w:r>
        <w:rPr>
          <w:rFonts w:hint="default" w:ascii="宋体" w:hAnsi="宋体" w:eastAsia="宋体" w:cs="宋体"/>
          <w:sz w:val="29"/>
          <w:lang w:val="en-US" w:eastAsia="zh-CN"/>
        </w:rPr>
        <w:t>年12月，共有编制1</w:t>
      </w:r>
      <w:r>
        <w:rPr>
          <w:rFonts w:hint="eastAsia" w:ascii="宋体" w:hAnsi="宋体" w:cs="宋体"/>
          <w:sz w:val="29"/>
          <w:lang w:val="en-US" w:eastAsia="zh-CN"/>
        </w:rPr>
        <w:t>8</w:t>
      </w:r>
      <w:r>
        <w:rPr>
          <w:rFonts w:hint="default" w:ascii="宋体" w:hAnsi="宋体" w:eastAsia="宋体" w:cs="宋体"/>
          <w:sz w:val="29"/>
          <w:lang w:val="en-US" w:eastAsia="zh-CN"/>
        </w:rPr>
        <w:t>人，实有人数</w:t>
      </w:r>
      <w:r>
        <w:rPr>
          <w:rFonts w:hint="eastAsia" w:ascii="宋体" w:hAnsi="宋体" w:cs="宋体"/>
          <w:sz w:val="29"/>
          <w:lang w:val="en-US" w:eastAsia="zh-CN"/>
        </w:rPr>
        <w:t>37</w:t>
      </w:r>
      <w:r>
        <w:rPr>
          <w:rFonts w:hint="default" w:ascii="宋体" w:hAnsi="宋体" w:eastAsia="宋体" w:cs="宋体"/>
          <w:sz w:val="29"/>
          <w:lang w:val="en-US" w:eastAsia="zh-CN"/>
        </w:rPr>
        <w:t>人，其中财政供养人员1</w:t>
      </w:r>
      <w:r>
        <w:rPr>
          <w:rFonts w:hint="eastAsia" w:ascii="宋体" w:hAnsi="宋体" w:cs="宋体"/>
          <w:sz w:val="29"/>
          <w:lang w:val="en-US" w:eastAsia="zh-CN"/>
        </w:rPr>
        <w:t>1人</w:t>
      </w:r>
      <w:r>
        <w:rPr>
          <w:rFonts w:hint="default" w:ascii="宋体" w:hAnsi="宋体" w:eastAsia="宋体" w:cs="宋体"/>
          <w:sz w:val="29"/>
          <w:lang w:val="en-US" w:eastAsia="zh-CN"/>
        </w:rPr>
        <w:t>、离退休2</w:t>
      </w:r>
      <w:r>
        <w:rPr>
          <w:rFonts w:hint="default" w:ascii="宋体" w:hAnsi="宋体" w:cs="宋体"/>
          <w:sz w:val="29"/>
          <w:lang w:val="en" w:eastAsia="zh-CN"/>
        </w:rPr>
        <w:t>2</w:t>
      </w:r>
      <w:r>
        <w:rPr>
          <w:rFonts w:hint="default" w:ascii="宋体" w:hAnsi="宋体" w:eastAsia="宋体" w:cs="宋体"/>
          <w:sz w:val="29"/>
          <w:lang w:val="en-US" w:eastAsia="zh-CN"/>
        </w:rPr>
        <w:t>人、其他人员4人；无公务车辆。县供销合作社根据职能下设办公室、人事政工股、财务统计股、合作发展股、监审股五个内设机构；无下设二级机构。</w:t>
      </w:r>
    </w:p>
    <w:p>
      <w:pPr>
        <w:wordWrap/>
        <w:autoSpaceDE w:val="0"/>
        <w:autoSpaceDN w:val="0"/>
        <w:spacing w:before="0" w:after="0" w:line="620" w:lineRule="atLeast"/>
        <w:ind w:left="940" w:right="1000" w:firstLine="640"/>
        <w:jc w:val="both"/>
        <w:textAlignment w:val="auto"/>
        <w:rPr>
          <w:rFonts w:hint="eastAsia" w:ascii="宋体" w:hAnsi="宋体" w:cs="宋体"/>
          <w:sz w:val="29"/>
          <w:lang w:val="en-US" w:eastAsia="zh-CN"/>
        </w:rPr>
      </w:pPr>
      <w:r>
        <w:rPr>
          <w:rFonts w:hint="eastAsia" w:ascii="宋体" w:hAnsi="宋体" w:cs="宋体"/>
          <w:sz w:val="29"/>
          <w:lang w:val="en-US" w:eastAsia="zh-CN"/>
        </w:rPr>
        <w:t>（三）单位绩效目标</w:t>
      </w:r>
    </w:p>
    <w:p>
      <w:pPr>
        <w:wordWrap/>
        <w:autoSpaceDE w:val="0"/>
        <w:autoSpaceDN w:val="0"/>
        <w:spacing w:before="0" w:after="0" w:line="620" w:lineRule="atLeast"/>
        <w:ind w:left="940" w:right="1000" w:firstLine="640"/>
        <w:jc w:val="both"/>
        <w:textAlignment w:val="auto"/>
        <w:rPr>
          <w:rFonts w:hint="default" w:ascii="宋体" w:hAnsi="宋体" w:cs="宋体"/>
          <w:sz w:val="29"/>
          <w:lang w:val="en-US" w:eastAsia="zh-CN"/>
        </w:rPr>
      </w:pPr>
      <w:r>
        <w:rPr>
          <w:rFonts w:hint="eastAsia" w:ascii="宋体" w:hAnsi="宋体" w:cs="宋体"/>
          <w:sz w:val="29"/>
          <w:lang w:val="en-US" w:eastAsia="zh-CN"/>
        </w:rPr>
        <w:t>整体支出绩效目标：</w:t>
      </w:r>
      <w:r>
        <w:rPr>
          <w:rFonts w:hint="default" w:ascii="宋体" w:hAnsi="宋体" w:cs="宋体"/>
          <w:sz w:val="29"/>
          <w:lang w:val="en-US" w:eastAsia="zh-CN"/>
        </w:rPr>
        <w:t>加强党务建设工作，充分发挥引领作用</w:t>
      </w:r>
      <w:r>
        <w:rPr>
          <w:rFonts w:hint="eastAsia" w:ascii="宋体" w:hAnsi="宋体" w:cs="宋体"/>
          <w:sz w:val="29"/>
          <w:lang w:val="en-US" w:eastAsia="zh-CN"/>
        </w:rPr>
        <w:t>；</w:t>
      </w:r>
      <w:r>
        <w:rPr>
          <w:rFonts w:hint="default" w:ascii="宋体" w:hAnsi="宋体" w:cs="宋体"/>
          <w:sz w:val="29"/>
          <w:lang w:val="en-US" w:eastAsia="zh-CN"/>
        </w:rPr>
        <w:t>持续深化综合改革，做好“三农”的“桥梁纽带”</w:t>
      </w:r>
      <w:r>
        <w:rPr>
          <w:rFonts w:hint="eastAsia" w:ascii="宋体" w:hAnsi="宋体" w:cs="宋体"/>
          <w:sz w:val="29"/>
          <w:lang w:val="en-US" w:eastAsia="zh-CN"/>
        </w:rPr>
        <w:t>；</w:t>
      </w:r>
      <w:r>
        <w:rPr>
          <w:rFonts w:hint="default" w:ascii="宋体" w:hAnsi="宋体" w:cs="宋体"/>
          <w:sz w:val="29"/>
          <w:lang w:val="en-US" w:eastAsia="zh-CN"/>
        </w:rPr>
        <w:t>搭建城乡产业运营平台，助力乡村振兴</w:t>
      </w:r>
      <w:r>
        <w:rPr>
          <w:rFonts w:hint="eastAsia" w:ascii="宋体" w:hAnsi="宋体" w:cs="宋体"/>
          <w:sz w:val="29"/>
          <w:lang w:val="en-US" w:eastAsia="zh-CN"/>
        </w:rPr>
        <w:t>；</w:t>
      </w:r>
      <w:r>
        <w:rPr>
          <w:rFonts w:hint="default" w:ascii="宋体" w:hAnsi="宋体" w:cs="宋体"/>
          <w:sz w:val="29"/>
          <w:lang w:val="en-US" w:eastAsia="zh-CN"/>
        </w:rPr>
        <w:t>推进“数商兴农”和两个到户，实现产销两端有机衔接</w:t>
      </w:r>
      <w:r>
        <w:rPr>
          <w:rFonts w:hint="eastAsia" w:ascii="宋体" w:hAnsi="宋体" w:cs="宋体"/>
          <w:sz w:val="29"/>
          <w:lang w:val="en-US" w:eastAsia="zh-CN"/>
        </w:rPr>
        <w:t>；</w:t>
      </w:r>
      <w:r>
        <w:rPr>
          <w:rFonts w:hint="default" w:ascii="宋体" w:hAnsi="宋体" w:cs="宋体"/>
          <w:sz w:val="29"/>
          <w:lang w:val="en-US" w:eastAsia="zh-CN"/>
        </w:rPr>
        <w:t>开展联手帮扶工作</w:t>
      </w:r>
      <w:r>
        <w:rPr>
          <w:rFonts w:hint="eastAsia" w:ascii="宋体" w:hAnsi="宋体" w:cs="宋体"/>
          <w:sz w:val="29"/>
          <w:lang w:val="en-US" w:eastAsia="zh-CN"/>
        </w:rPr>
        <w:t>；</w:t>
      </w:r>
      <w:r>
        <w:rPr>
          <w:rFonts w:hint="default" w:ascii="宋体" w:hAnsi="宋体" w:cs="宋体"/>
          <w:sz w:val="29"/>
          <w:lang w:val="en-US" w:eastAsia="zh-CN"/>
        </w:rPr>
        <w:t>维护系统大局稳定。</w:t>
      </w:r>
    </w:p>
    <w:p>
      <w:pPr>
        <w:wordWrap/>
        <w:autoSpaceDE w:val="0"/>
        <w:autoSpaceDN w:val="0"/>
        <w:spacing w:before="0" w:after="0" w:line="620" w:lineRule="atLeast"/>
        <w:ind w:left="940" w:right="1000" w:firstLine="640"/>
        <w:jc w:val="both"/>
        <w:textAlignment w:val="auto"/>
        <w:rPr>
          <w:rFonts w:hint="eastAsia" w:ascii="宋体" w:hAnsi="宋体" w:cs="宋体"/>
          <w:sz w:val="29"/>
          <w:lang w:val="en-US" w:eastAsia="zh-CN"/>
        </w:rPr>
      </w:pPr>
      <w:r>
        <w:rPr>
          <w:rFonts w:hint="eastAsia" w:ascii="宋体" w:hAnsi="宋体" w:cs="宋体"/>
          <w:sz w:val="29"/>
          <w:lang w:val="en-US" w:eastAsia="zh-CN"/>
        </w:rPr>
        <w:t>1、绩效产出指标主要有：在职人员控制率、“三公经费”变动率、预算控制率等。</w:t>
      </w:r>
    </w:p>
    <w:p>
      <w:pPr>
        <w:wordWrap/>
        <w:autoSpaceDE w:val="0"/>
        <w:autoSpaceDN w:val="0"/>
        <w:spacing w:before="0" w:after="0" w:line="620" w:lineRule="atLeast"/>
        <w:ind w:left="940" w:right="1000" w:firstLine="640"/>
        <w:jc w:val="both"/>
        <w:textAlignment w:val="auto"/>
        <w:rPr>
          <w:rFonts w:hint="default" w:ascii="宋体" w:hAnsi="宋体" w:cs="宋体"/>
          <w:sz w:val="29"/>
          <w:lang w:val="en-US" w:eastAsia="zh-CN"/>
        </w:rPr>
      </w:pPr>
      <w:r>
        <w:rPr>
          <w:rFonts w:hint="eastAsia" w:ascii="宋体" w:hAnsi="宋体" w:cs="宋体"/>
          <w:sz w:val="29"/>
          <w:lang w:val="en-US" w:eastAsia="zh-CN"/>
        </w:rPr>
        <w:t>2、效益指标主要有：社会效益，服务人民生产生活，降低农民生产成本；生态效益，大大改善农业生态环境；可持续影响指标，进一步提高农业化服务水平。</w:t>
      </w:r>
    </w:p>
    <w:p>
      <w:pPr>
        <w:wordWrap/>
        <w:autoSpaceDE w:val="0"/>
        <w:autoSpaceDN w:val="0"/>
        <w:spacing w:before="0" w:after="0" w:line="620" w:lineRule="atLeast"/>
        <w:ind w:left="940" w:right="1000" w:firstLine="640"/>
        <w:jc w:val="both"/>
        <w:textAlignment w:val="auto"/>
        <w:rPr>
          <w:rFonts w:hint="eastAsia" w:ascii="宋体" w:hAnsi="宋体" w:cs="宋体"/>
          <w:b/>
          <w:bCs/>
          <w:sz w:val="29"/>
          <w:lang w:val="en-US" w:eastAsia="zh-CN"/>
        </w:rPr>
      </w:pPr>
      <w:r>
        <w:rPr>
          <w:rFonts w:hint="eastAsia" w:ascii="宋体" w:hAnsi="宋体" w:cs="宋体"/>
          <w:b/>
          <w:bCs/>
          <w:sz w:val="29"/>
          <w:lang w:val="en-US" w:eastAsia="zh-CN"/>
        </w:rPr>
        <w:t>二、一般公共预算支出情况</w:t>
      </w:r>
    </w:p>
    <w:p>
      <w:pPr>
        <w:wordWrap/>
        <w:autoSpaceDE w:val="0"/>
        <w:autoSpaceDN w:val="0"/>
        <w:spacing w:before="0" w:after="0" w:line="620" w:lineRule="atLeast"/>
        <w:ind w:left="940" w:right="1000" w:firstLine="640"/>
        <w:jc w:val="both"/>
        <w:textAlignment w:val="auto"/>
        <w:rPr>
          <w:rFonts w:hint="eastAsia" w:ascii="宋体" w:hAnsi="宋体" w:cs="宋体"/>
          <w:b w:val="0"/>
          <w:bCs w:val="0"/>
          <w:sz w:val="29"/>
          <w:lang w:val="en-US" w:eastAsia="zh-CN"/>
        </w:rPr>
      </w:pPr>
      <w:r>
        <w:rPr>
          <w:rFonts w:hint="eastAsia" w:ascii="宋体" w:hAnsi="宋体" w:cs="宋体"/>
          <w:b w:val="0"/>
          <w:bCs w:val="0"/>
          <w:sz w:val="29"/>
          <w:lang w:val="en-US" w:eastAsia="zh-CN"/>
        </w:rPr>
        <w:t>202</w:t>
      </w:r>
      <w:r>
        <w:rPr>
          <w:rFonts w:hint="default" w:ascii="宋体" w:hAnsi="宋体" w:cs="宋体"/>
          <w:b w:val="0"/>
          <w:bCs w:val="0"/>
          <w:sz w:val="29"/>
          <w:lang w:val="en" w:eastAsia="zh-CN"/>
        </w:rPr>
        <w:t>4</w:t>
      </w:r>
      <w:r>
        <w:rPr>
          <w:rFonts w:hint="eastAsia" w:ascii="宋体" w:hAnsi="宋体" w:cs="宋体"/>
          <w:b w:val="0"/>
          <w:bCs w:val="0"/>
          <w:sz w:val="29"/>
          <w:lang w:val="en-US" w:eastAsia="zh-CN"/>
        </w:rPr>
        <w:t>年我社部门预算资金452.90万元（基本支出220.00万元、项目支出232.90万元），其中：年初预算资金349.18万元（基本支出212.12万元、项目支出137.06万元），年终调整追加预算103.72万元（基本支出7.88万元、项目支出95.84万元）。全年实际支出452.90万元，其中基本支出220.00万元， 项目支出232.90万元，预算执行率100%。</w:t>
      </w:r>
    </w:p>
    <w:p>
      <w:pPr>
        <w:wordWrap/>
        <w:autoSpaceDE w:val="0"/>
        <w:autoSpaceDN w:val="0"/>
        <w:spacing w:before="0" w:after="0" w:line="620" w:lineRule="atLeast"/>
        <w:ind w:left="940" w:right="1000" w:firstLine="640"/>
        <w:jc w:val="both"/>
        <w:textAlignment w:val="auto"/>
        <w:rPr>
          <w:rFonts w:hint="eastAsia" w:ascii="宋体" w:hAnsi="宋体" w:cs="宋体"/>
          <w:b w:val="0"/>
          <w:bCs w:val="0"/>
          <w:sz w:val="29"/>
          <w:lang w:val="en-US" w:eastAsia="zh-CN"/>
        </w:rPr>
      </w:pPr>
      <w:r>
        <w:rPr>
          <w:rFonts w:hint="eastAsia" w:ascii="宋体" w:hAnsi="宋体" w:cs="宋体"/>
          <w:b w:val="0"/>
          <w:bCs w:val="0"/>
          <w:sz w:val="29"/>
          <w:lang w:val="en-US" w:eastAsia="zh-CN"/>
        </w:rPr>
        <w:t>（一）基本支出情况</w:t>
      </w:r>
    </w:p>
    <w:p>
      <w:pPr>
        <w:wordWrap/>
        <w:autoSpaceDE w:val="0"/>
        <w:autoSpaceDN w:val="0"/>
        <w:spacing w:before="0" w:after="0" w:line="620" w:lineRule="atLeast"/>
        <w:ind w:left="940" w:right="1000" w:firstLine="640"/>
        <w:jc w:val="both"/>
        <w:textAlignment w:val="auto"/>
        <w:rPr>
          <w:rFonts w:hint="eastAsia" w:ascii="宋体" w:hAnsi="宋体" w:cs="宋体"/>
          <w:b w:val="0"/>
          <w:bCs w:val="0"/>
          <w:sz w:val="29"/>
          <w:lang w:val="en-US" w:eastAsia="zh-CN"/>
        </w:rPr>
      </w:pPr>
      <w:r>
        <w:rPr>
          <w:rFonts w:hint="default" w:ascii="宋体" w:hAnsi="宋体" w:cs="宋体"/>
          <w:b w:val="0"/>
          <w:bCs w:val="0"/>
          <w:sz w:val="29"/>
          <w:lang w:val="en" w:eastAsia="zh-CN"/>
        </w:rPr>
        <w:t>2024</w:t>
      </w:r>
      <w:r>
        <w:rPr>
          <w:rFonts w:hint="eastAsia" w:ascii="宋体" w:hAnsi="宋体" w:cs="宋体"/>
          <w:b w:val="0"/>
          <w:bCs w:val="0"/>
          <w:sz w:val="29"/>
          <w:lang w:val="en-US" w:eastAsia="zh-CN"/>
        </w:rPr>
        <w:t>年度我社一般公共预算支出中基本支出预算资金220.00万元，决算支出220.00万（人员经费189.77万元、公用经费30.23万元），基本支出预算执行率100%。</w:t>
      </w:r>
    </w:p>
    <w:p>
      <w:pPr>
        <w:wordWrap/>
        <w:autoSpaceDE w:val="0"/>
        <w:autoSpaceDN w:val="0"/>
        <w:spacing w:before="0" w:after="0" w:line="620" w:lineRule="atLeast"/>
        <w:ind w:left="940" w:right="1000" w:firstLine="640"/>
        <w:jc w:val="both"/>
        <w:textAlignment w:val="auto"/>
        <w:rPr>
          <w:rFonts w:hint="eastAsia" w:ascii="宋体" w:hAnsi="宋体" w:cs="宋体"/>
          <w:b w:val="0"/>
          <w:bCs w:val="0"/>
          <w:sz w:val="29"/>
          <w:lang w:val="en-US" w:eastAsia="zh-CN"/>
        </w:rPr>
      </w:pPr>
      <w:r>
        <w:rPr>
          <w:rFonts w:ascii="宋体" w:hAnsi="宋体" w:cs="宋体"/>
          <w:sz w:val="29"/>
          <w:lang w:val="en"/>
        </w:rPr>
        <w:t>2024</w:t>
      </w:r>
      <w:r>
        <w:rPr>
          <w:rFonts w:ascii="宋体" w:hAnsi="宋体" w:eastAsia="宋体" w:cs="宋体"/>
          <w:sz w:val="29"/>
        </w:rPr>
        <w:t>年“三公"经费预算数</w:t>
      </w:r>
      <w:r>
        <w:rPr>
          <w:rFonts w:hint="default" w:ascii="宋体" w:hAnsi="宋体" w:cs="宋体"/>
          <w:sz w:val="29"/>
          <w:lang w:val="en"/>
        </w:rPr>
        <w:t>5</w:t>
      </w:r>
      <w:r>
        <w:rPr>
          <w:rFonts w:ascii="宋体" w:hAnsi="宋体" w:eastAsia="宋体" w:cs="宋体"/>
          <w:sz w:val="29"/>
        </w:rPr>
        <w:t>万元，其中：因公出国(境)费</w:t>
      </w:r>
      <w:r>
        <w:rPr>
          <w:rFonts w:hint="default" w:ascii="宋体" w:hAnsi="宋体" w:cs="宋体"/>
          <w:sz w:val="29"/>
          <w:lang w:val="en"/>
        </w:rPr>
        <w:t>0</w:t>
      </w:r>
      <w:r>
        <w:rPr>
          <w:rFonts w:ascii="宋体" w:hAnsi="宋体" w:eastAsia="宋体" w:cs="宋体"/>
          <w:sz w:val="29"/>
        </w:rPr>
        <w:t>万元，公务用车购置及运行维护费</w:t>
      </w:r>
      <w:r>
        <w:rPr>
          <w:rFonts w:hint="default" w:ascii="宋体" w:hAnsi="宋体" w:cs="宋体"/>
          <w:sz w:val="29"/>
          <w:lang w:val="en"/>
        </w:rPr>
        <w:t>0</w:t>
      </w:r>
      <w:r>
        <w:rPr>
          <w:rFonts w:ascii="宋体" w:hAnsi="宋体" w:eastAsia="宋体" w:cs="宋体"/>
          <w:sz w:val="29"/>
        </w:rPr>
        <w:t>万元，公务接待费</w:t>
      </w:r>
      <w:r>
        <w:rPr>
          <w:rFonts w:hint="default" w:ascii="宋体" w:hAnsi="宋体" w:cs="宋体"/>
          <w:sz w:val="29"/>
          <w:lang w:val="en"/>
        </w:rPr>
        <w:t>5</w:t>
      </w:r>
      <w:r>
        <w:rPr>
          <w:rFonts w:ascii="宋体" w:hAnsi="宋体" w:eastAsia="宋体" w:cs="宋体"/>
          <w:b w:val="0"/>
          <w:i w:val="0"/>
          <w:color w:val="000000"/>
          <w:sz w:val="29"/>
        </w:rPr>
        <w:t>万元。“三公"经费决算数</w:t>
      </w:r>
      <w:r>
        <w:rPr>
          <w:rFonts w:hint="eastAsia" w:ascii="宋体" w:hAnsi="宋体" w:cs="宋体"/>
          <w:b w:val="0"/>
          <w:i w:val="0"/>
          <w:color w:val="000000"/>
          <w:sz w:val="29"/>
          <w:lang w:val="en-US" w:eastAsia="zh-CN"/>
        </w:rPr>
        <w:t>0.88</w:t>
      </w:r>
      <w:r>
        <w:rPr>
          <w:rFonts w:hint="eastAsia" w:ascii="宋体" w:hAnsi="宋体" w:cs="宋体"/>
          <w:b w:val="0"/>
          <w:i w:val="0"/>
          <w:color w:val="000000"/>
          <w:sz w:val="29"/>
          <w:lang w:val="en" w:eastAsia="zh-CN"/>
        </w:rPr>
        <w:t>万</w:t>
      </w:r>
      <w:r>
        <w:rPr>
          <w:rFonts w:ascii="宋体" w:hAnsi="宋体" w:eastAsia="宋体" w:cs="宋体"/>
          <w:b w:val="0"/>
          <w:i w:val="0"/>
          <w:color w:val="000000"/>
          <w:sz w:val="29"/>
        </w:rPr>
        <w:t>元，</w:t>
      </w:r>
      <w:r>
        <w:rPr>
          <w:rFonts w:hint="eastAsia" w:ascii="宋体" w:hAnsi="宋体" w:cs="宋体"/>
          <w:b w:val="0"/>
          <w:i w:val="0"/>
          <w:color w:val="000000"/>
          <w:sz w:val="29"/>
          <w:lang w:eastAsia="zh-CN"/>
        </w:rPr>
        <w:t>控制率为</w:t>
      </w:r>
      <w:r>
        <w:rPr>
          <w:rFonts w:hint="eastAsia" w:ascii="宋体" w:hAnsi="宋体" w:cs="宋体"/>
          <w:b w:val="0"/>
          <w:i w:val="0"/>
          <w:color w:val="000000"/>
          <w:sz w:val="29"/>
          <w:lang w:val="en-US" w:eastAsia="zh-CN"/>
        </w:rPr>
        <w:t>17.60%。</w:t>
      </w:r>
      <w:r>
        <w:rPr>
          <w:rFonts w:ascii="宋体" w:hAnsi="宋体" w:eastAsia="宋体" w:cs="宋体"/>
          <w:b w:val="0"/>
          <w:i w:val="0"/>
          <w:color w:val="000000"/>
          <w:sz w:val="29"/>
        </w:rPr>
        <w:t>其中：因公出国(境)费</w:t>
      </w:r>
      <w:r>
        <w:rPr>
          <w:rFonts w:hint="default" w:ascii="宋体" w:hAnsi="宋体" w:cs="宋体"/>
          <w:b w:val="0"/>
          <w:i w:val="0"/>
          <w:color w:val="000000"/>
          <w:sz w:val="29"/>
          <w:lang w:val="en"/>
        </w:rPr>
        <w:t>0</w:t>
      </w:r>
      <w:r>
        <w:rPr>
          <w:rFonts w:ascii="宋体" w:hAnsi="宋体" w:eastAsia="宋体" w:cs="宋体"/>
          <w:sz w:val="28"/>
        </w:rPr>
        <w:t>万元，公务用车运行维护费</w:t>
      </w:r>
      <w:r>
        <w:rPr>
          <w:rFonts w:hint="default" w:ascii="宋体" w:hAnsi="宋体" w:cs="宋体"/>
          <w:sz w:val="28"/>
          <w:lang w:val="en"/>
        </w:rPr>
        <w:t>0</w:t>
      </w:r>
      <w:r>
        <w:rPr>
          <w:rFonts w:ascii="宋体" w:hAnsi="宋体" w:eastAsia="宋体" w:cs="宋体"/>
          <w:sz w:val="28"/>
        </w:rPr>
        <w:t>万元，公务接待费</w:t>
      </w:r>
      <w:r>
        <w:rPr>
          <w:rFonts w:hint="eastAsia" w:ascii="宋体" w:hAnsi="宋体" w:cs="宋体"/>
          <w:sz w:val="28"/>
          <w:lang w:val="en-US" w:eastAsia="zh-CN"/>
        </w:rPr>
        <w:t>0.88</w:t>
      </w:r>
      <w:r>
        <w:rPr>
          <w:rFonts w:ascii="宋体" w:hAnsi="宋体" w:eastAsia="宋体" w:cs="宋体"/>
          <w:sz w:val="28"/>
        </w:rPr>
        <w:t>万元</w:t>
      </w:r>
      <w:r>
        <w:rPr>
          <w:rFonts w:hint="eastAsia" w:ascii="宋体" w:hAnsi="宋体" w:cs="宋体"/>
          <w:sz w:val="28"/>
          <w:lang w:eastAsia="zh-CN"/>
        </w:rPr>
        <w:t>。</w:t>
      </w:r>
      <w:r>
        <w:rPr>
          <w:rFonts w:hint="default" w:ascii="宋体" w:hAnsi="宋体" w:cs="宋体"/>
          <w:sz w:val="28"/>
          <w:lang w:val="en" w:eastAsia="zh-CN"/>
        </w:rPr>
        <w:t>2024</w:t>
      </w:r>
      <w:r>
        <w:rPr>
          <w:rFonts w:hint="eastAsia" w:ascii="宋体" w:hAnsi="宋体" w:cs="宋体"/>
          <w:sz w:val="28"/>
          <w:lang w:val="en-US" w:eastAsia="zh-CN"/>
        </w:rPr>
        <w:t>年，我社加强资金管理，严格压减一般性支出，严控“三公”经费，在落实厉行节约等方面取得了较好的成效。</w:t>
      </w:r>
    </w:p>
    <w:p>
      <w:pPr>
        <w:wordWrap/>
        <w:autoSpaceDE w:val="0"/>
        <w:autoSpaceDN w:val="0"/>
        <w:spacing w:before="0" w:after="0" w:line="620" w:lineRule="atLeast"/>
        <w:ind w:left="940" w:right="1000" w:firstLine="640"/>
        <w:jc w:val="both"/>
        <w:textAlignment w:val="auto"/>
        <w:rPr>
          <w:rFonts w:hint="eastAsia" w:ascii="宋体" w:hAnsi="宋体" w:cs="宋体"/>
          <w:b w:val="0"/>
          <w:bCs w:val="0"/>
          <w:sz w:val="29"/>
          <w:lang w:val="en-US" w:eastAsia="zh-CN"/>
        </w:rPr>
      </w:pPr>
      <w:r>
        <w:rPr>
          <w:rFonts w:hint="eastAsia" w:ascii="宋体" w:hAnsi="宋体" w:cs="宋体"/>
          <w:b w:val="0"/>
          <w:bCs w:val="0"/>
          <w:sz w:val="29"/>
          <w:lang w:val="en-US" w:eastAsia="zh-CN"/>
        </w:rPr>
        <w:t>（二）项目支出情况</w:t>
      </w:r>
    </w:p>
    <w:p>
      <w:pPr>
        <w:wordWrap/>
        <w:autoSpaceDE w:val="0"/>
        <w:autoSpaceDN w:val="0"/>
        <w:spacing w:before="0" w:after="0" w:line="620" w:lineRule="atLeast"/>
        <w:ind w:left="940" w:right="1000" w:firstLine="640"/>
        <w:jc w:val="both"/>
        <w:textAlignment w:val="auto"/>
        <w:rPr>
          <w:rFonts w:hint="eastAsia" w:ascii="宋体" w:hAnsi="宋体" w:cs="宋体"/>
          <w:b w:val="0"/>
          <w:bCs w:val="0"/>
          <w:sz w:val="29"/>
          <w:lang w:val="en-US" w:eastAsia="zh-CN"/>
        </w:rPr>
      </w:pPr>
      <w:r>
        <w:rPr>
          <w:rFonts w:hint="default" w:ascii="宋体" w:hAnsi="宋体" w:cs="宋体"/>
          <w:b w:val="0"/>
          <w:bCs w:val="0"/>
          <w:sz w:val="29"/>
          <w:lang w:val="en" w:eastAsia="zh-CN"/>
        </w:rPr>
        <w:t>2024</w:t>
      </w:r>
      <w:r>
        <w:rPr>
          <w:rFonts w:hint="eastAsia" w:ascii="宋体" w:hAnsi="宋体" w:cs="宋体"/>
          <w:b w:val="0"/>
          <w:bCs w:val="0"/>
          <w:sz w:val="29"/>
          <w:lang w:val="en-US" w:eastAsia="zh-CN"/>
        </w:rPr>
        <w:t>年度我社一般公共预算支出中项目支出预算资金232.90万元，决算支出232.9</w:t>
      </w:r>
      <w:r>
        <w:rPr>
          <w:rFonts w:hint="default" w:ascii="宋体" w:hAnsi="宋体" w:cs="宋体"/>
          <w:b w:val="0"/>
          <w:bCs w:val="0"/>
          <w:sz w:val="29"/>
          <w:lang w:val="en" w:eastAsia="zh-CN"/>
        </w:rPr>
        <w:t>0</w:t>
      </w:r>
      <w:r>
        <w:rPr>
          <w:rFonts w:hint="eastAsia" w:ascii="宋体" w:hAnsi="宋体" w:cs="宋体"/>
          <w:b w:val="0"/>
          <w:bCs w:val="0"/>
          <w:sz w:val="29"/>
          <w:lang w:val="en-US" w:eastAsia="zh-CN"/>
        </w:rPr>
        <w:t>万元，项目支出预算执行率100%。</w:t>
      </w:r>
    </w:p>
    <w:p>
      <w:pPr>
        <w:wordWrap/>
        <w:autoSpaceDE w:val="0"/>
        <w:autoSpaceDN w:val="0"/>
        <w:spacing w:before="0" w:after="0" w:line="620" w:lineRule="atLeast"/>
        <w:ind w:left="940" w:right="1000" w:firstLine="640"/>
        <w:jc w:val="both"/>
        <w:textAlignment w:val="auto"/>
        <w:rPr>
          <w:rFonts w:hint="default" w:ascii="宋体" w:hAnsi="宋体" w:cs="宋体"/>
          <w:b w:val="0"/>
          <w:bCs w:val="0"/>
          <w:sz w:val="29"/>
          <w:lang w:val="en-US" w:eastAsia="zh-CN"/>
        </w:rPr>
      </w:pPr>
      <w:r>
        <w:rPr>
          <w:rFonts w:hint="default" w:ascii="宋体" w:hAnsi="宋体" w:cs="宋体"/>
          <w:b w:val="0"/>
          <w:bCs w:val="0"/>
          <w:sz w:val="29"/>
          <w:lang w:val="en" w:eastAsia="zh-CN"/>
        </w:rPr>
        <w:t>2024</w:t>
      </w:r>
      <w:r>
        <w:rPr>
          <w:rFonts w:hint="default" w:ascii="宋体" w:hAnsi="宋体" w:cs="宋体"/>
          <w:b w:val="0"/>
          <w:bCs w:val="0"/>
          <w:sz w:val="29"/>
          <w:lang w:val="en-US" w:eastAsia="zh-CN"/>
        </w:rPr>
        <w:t>年决算总收入</w:t>
      </w:r>
      <w:r>
        <w:rPr>
          <w:rFonts w:hint="eastAsia" w:ascii="宋体" w:hAnsi="宋体" w:cs="宋体"/>
          <w:b w:val="0"/>
          <w:bCs w:val="0"/>
          <w:sz w:val="29"/>
          <w:lang w:val="en-US" w:eastAsia="zh-CN"/>
        </w:rPr>
        <w:t>452.90</w:t>
      </w:r>
      <w:r>
        <w:rPr>
          <w:rFonts w:hint="default" w:ascii="宋体" w:hAnsi="宋体" w:cs="宋体"/>
          <w:b w:val="0"/>
          <w:bCs w:val="0"/>
          <w:sz w:val="29"/>
          <w:lang w:val="en-US" w:eastAsia="zh-CN"/>
        </w:rPr>
        <w:t>万元，较预算增加</w:t>
      </w:r>
      <w:r>
        <w:rPr>
          <w:rFonts w:hint="eastAsia" w:ascii="宋体" w:hAnsi="宋体" w:cs="宋体"/>
          <w:b w:val="0"/>
          <w:bCs w:val="0"/>
          <w:sz w:val="29"/>
          <w:lang w:val="en-US" w:eastAsia="zh-CN"/>
        </w:rPr>
        <w:t>103.72</w:t>
      </w:r>
      <w:r>
        <w:rPr>
          <w:rFonts w:hint="default" w:ascii="宋体" w:hAnsi="宋体" w:cs="宋体"/>
          <w:b w:val="0"/>
          <w:bCs w:val="0"/>
          <w:sz w:val="29"/>
          <w:lang w:val="en-US" w:eastAsia="zh-CN"/>
        </w:rPr>
        <w:t>万元，总支出</w:t>
      </w:r>
      <w:r>
        <w:rPr>
          <w:rFonts w:hint="eastAsia" w:ascii="宋体" w:hAnsi="宋体" w:cs="宋体"/>
          <w:b w:val="0"/>
          <w:bCs w:val="0"/>
          <w:sz w:val="29"/>
          <w:lang w:val="en-US" w:eastAsia="zh-CN"/>
        </w:rPr>
        <w:t>452.90</w:t>
      </w:r>
      <w:r>
        <w:rPr>
          <w:rFonts w:hint="default" w:ascii="宋体" w:hAnsi="宋体" w:cs="宋体"/>
          <w:b w:val="0"/>
          <w:bCs w:val="0"/>
          <w:sz w:val="29"/>
          <w:lang w:val="en-US" w:eastAsia="zh-CN"/>
        </w:rPr>
        <w:t>万元，其中：基本支出</w:t>
      </w:r>
      <w:r>
        <w:rPr>
          <w:rFonts w:hint="eastAsia" w:ascii="宋体" w:hAnsi="宋体" w:cs="宋体"/>
          <w:b w:val="0"/>
          <w:bCs w:val="0"/>
          <w:sz w:val="29"/>
          <w:lang w:val="en-US" w:eastAsia="zh-CN"/>
        </w:rPr>
        <w:t>220</w:t>
      </w:r>
      <w:r>
        <w:rPr>
          <w:rFonts w:hint="default" w:ascii="宋体" w:hAnsi="宋体" w:cs="宋体"/>
          <w:b w:val="0"/>
          <w:bCs w:val="0"/>
          <w:sz w:val="29"/>
          <w:lang w:val="en-US" w:eastAsia="zh-CN"/>
        </w:rPr>
        <w:t>万元，占总支出的</w:t>
      </w:r>
      <w:r>
        <w:rPr>
          <w:rFonts w:hint="eastAsia" w:ascii="宋体" w:hAnsi="宋体" w:cs="宋体"/>
          <w:b w:val="0"/>
          <w:bCs w:val="0"/>
          <w:sz w:val="29"/>
          <w:lang w:val="en-US" w:eastAsia="zh-CN"/>
        </w:rPr>
        <w:t>48.58</w:t>
      </w:r>
      <w:r>
        <w:rPr>
          <w:rFonts w:hint="default" w:ascii="宋体" w:hAnsi="宋体" w:cs="宋体"/>
          <w:b w:val="0"/>
          <w:bCs w:val="0"/>
          <w:sz w:val="29"/>
          <w:lang w:val="en-US" w:eastAsia="zh-CN"/>
        </w:rPr>
        <w:t>%； 项目支出</w:t>
      </w:r>
      <w:r>
        <w:rPr>
          <w:rFonts w:hint="eastAsia" w:ascii="宋体" w:hAnsi="宋体" w:cs="宋体"/>
          <w:b w:val="0"/>
          <w:bCs w:val="0"/>
          <w:sz w:val="29"/>
          <w:lang w:val="en-US" w:eastAsia="zh-CN"/>
        </w:rPr>
        <w:t>232.94</w:t>
      </w:r>
      <w:r>
        <w:rPr>
          <w:rFonts w:hint="default" w:ascii="宋体" w:hAnsi="宋体" w:cs="宋体"/>
          <w:b w:val="0"/>
          <w:bCs w:val="0"/>
          <w:sz w:val="29"/>
          <w:lang w:val="en-US" w:eastAsia="zh-CN"/>
        </w:rPr>
        <w:t>万元， 占总支出的</w:t>
      </w:r>
      <w:r>
        <w:rPr>
          <w:rFonts w:hint="eastAsia" w:ascii="宋体" w:hAnsi="宋体" w:cs="宋体"/>
          <w:b w:val="0"/>
          <w:bCs w:val="0"/>
          <w:sz w:val="29"/>
          <w:lang w:val="en-US" w:eastAsia="zh-CN"/>
        </w:rPr>
        <w:t>51.42</w:t>
      </w:r>
      <w:r>
        <w:rPr>
          <w:rFonts w:hint="default" w:ascii="宋体" w:hAnsi="宋体" w:cs="宋体"/>
          <w:b w:val="0"/>
          <w:bCs w:val="0"/>
          <w:sz w:val="29"/>
          <w:lang w:val="en-US" w:eastAsia="zh-CN"/>
        </w:rPr>
        <w:t>%。</w:t>
      </w:r>
      <w:r>
        <w:rPr>
          <w:rFonts w:hint="eastAsia" w:ascii="宋体" w:hAnsi="宋体" w:cs="宋体"/>
          <w:b w:val="0"/>
          <w:bCs w:val="0"/>
          <w:sz w:val="29"/>
          <w:lang w:val="en-US" w:eastAsia="zh-CN"/>
        </w:rPr>
        <w:t>基本支出增加的</w:t>
      </w:r>
      <w:bookmarkStart w:id="0" w:name="_GoBack"/>
      <w:bookmarkEnd w:id="0"/>
      <w:r>
        <w:rPr>
          <w:rFonts w:hint="default" w:ascii="宋体" w:hAnsi="宋体" w:cs="宋体"/>
          <w:b w:val="0"/>
          <w:bCs w:val="0"/>
          <w:sz w:val="29"/>
          <w:lang w:val="en-US" w:eastAsia="zh-CN"/>
        </w:rPr>
        <w:t>主要原因</w:t>
      </w:r>
      <w:r>
        <w:rPr>
          <w:rFonts w:hint="eastAsia" w:ascii="宋体" w:hAnsi="宋体" w:cs="宋体"/>
          <w:b w:val="0"/>
          <w:bCs w:val="0"/>
          <w:sz w:val="29"/>
          <w:lang w:val="en-US" w:eastAsia="zh-CN"/>
        </w:rPr>
        <w:t>年初预算公务员车补是项目支出，在年末账务中，将其调增为基本支出公用经费</w:t>
      </w:r>
      <w:r>
        <w:rPr>
          <w:rFonts w:hint="default" w:ascii="宋体" w:hAnsi="宋体" w:cs="宋体"/>
          <w:b w:val="0"/>
          <w:bCs w:val="0"/>
          <w:sz w:val="29"/>
          <w:lang w:val="en-US" w:eastAsia="zh-CN"/>
        </w:rPr>
        <w:t>；</w:t>
      </w:r>
      <w:r>
        <w:rPr>
          <w:rFonts w:hint="eastAsia" w:ascii="宋体" w:hAnsi="宋体" w:cs="宋体"/>
          <w:b w:val="0"/>
          <w:bCs w:val="0"/>
          <w:sz w:val="29"/>
          <w:lang w:val="en-US" w:eastAsia="zh-CN"/>
        </w:rPr>
        <w:t>项目支出增加107.91万元，主要是</w:t>
      </w:r>
      <w:r>
        <w:rPr>
          <w:rFonts w:hint="default" w:ascii="宋体" w:hAnsi="宋体" w:cs="宋体"/>
          <w:b w:val="0"/>
          <w:bCs w:val="0"/>
          <w:sz w:val="29"/>
          <w:lang w:val="en-US" w:eastAsia="zh-CN"/>
        </w:rPr>
        <w:t>年中追加了改制企业负责人</w:t>
      </w:r>
      <w:r>
        <w:rPr>
          <w:rFonts w:hint="eastAsia" w:ascii="宋体" w:hAnsi="宋体" w:cs="宋体"/>
          <w:b w:val="0"/>
          <w:bCs w:val="0"/>
          <w:sz w:val="29"/>
          <w:lang w:val="en-US" w:eastAsia="zh-CN"/>
        </w:rPr>
        <w:t>人员经费59.01</w:t>
      </w:r>
      <w:r>
        <w:rPr>
          <w:rFonts w:hint="default" w:ascii="宋体" w:hAnsi="宋体" w:cs="宋体"/>
          <w:b w:val="0"/>
          <w:bCs w:val="0"/>
          <w:sz w:val="29"/>
          <w:lang w:val="en-US" w:eastAsia="zh-CN"/>
        </w:rPr>
        <w:t>万元、春节慰问</w:t>
      </w:r>
      <w:r>
        <w:rPr>
          <w:rFonts w:hint="eastAsia" w:ascii="宋体" w:hAnsi="宋体" w:cs="宋体"/>
          <w:b w:val="0"/>
          <w:bCs w:val="0"/>
          <w:sz w:val="29"/>
          <w:lang w:val="en-US" w:eastAsia="zh-CN"/>
        </w:rPr>
        <w:t>改制下岗职工</w:t>
      </w:r>
      <w:r>
        <w:rPr>
          <w:rFonts w:hint="default" w:ascii="宋体" w:hAnsi="宋体" w:cs="宋体"/>
          <w:b w:val="0"/>
          <w:bCs w:val="0"/>
          <w:sz w:val="29"/>
          <w:lang w:val="en-US" w:eastAsia="zh-CN"/>
        </w:rPr>
        <w:t>14万元、</w:t>
      </w:r>
      <w:r>
        <w:rPr>
          <w:rFonts w:hint="eastAsia" w:ascii="宋体" w:hAnsi="宋体" w:cs="宋体"/>
          <w:sz w:val="28"/>
          <w:shd w:val="clear" w:color="auto" w:fill="auto"/>
          <w:lang w:val="en-US" w:eastAsia="zh-CN"/>
        </w:rPr>
        <w:t>供销综合改革发展</w:t>
      </w:r>
      <w:r>
        <w:rPr>
          <w:rFonts w:hint="eastAsia" w:ascii="宋体" w:hAnsi="宋体" w:eastAsia="宋体" w:cs="宋体"/>
          <w:sz w:val="28"/>
          <w:shd w:val="clear" w:color="auto" w:fill="auto"/>
          <w:lang w:val="en-US" w:eastAsia="zh-CN"/>
        </w:rPr>
        <w:t>专项经费</w:t>
      </w:r>
      <w:r>
        <w:rPr>
          <w:rFonts w:hint="eastAsia" w:ascii="宋体" w:hAnsi="宋体" w:cs="宋体"/>
          <w:sz w:val="28"/>
          <w:shd w:val="clear" w:color="auto" w:fill="auto"/>
          <w:lang w:val="en-US" w:eastAsia="zh-CN"/>
        </w:rPr>
        <w:t>2</w:t>
      </w:r>
      <w:r>
        <w:rPr>
          <w:rFonts w:hint="default" w:ascii="宋体" w:hAnsi="宋体" w:cs="宋体"/>
          <w:sz w:val="28"/>
          <w:shd w:val="clear" w:color="auto" w:fill="auto"/>
          <w:lang w:val="en" w:eastAsia="zh-CN"/>
        </w:rPr>
        <w:t>.80</w:t>
      </w:r>
      <w:r>
        <w:rPr>
          <w:rFonts w:hint="eastAsia" w:ascii="宋体" w:hAnsi="宋体" w:eastAsia="宋体" w:cs="宋体"/>
          <w:sz w:val="28"/>
          <w:shd w:val="clear" w:color="auto" w:fill="auto"/>
          <w:lang w:val="en-US" w:eastAsia="zh-CN"/>
        </w:rPr>
        <w:t>万元</w:t>
      </w:r>
      <w:r>
        <w:rPr>
          <w:rFonts w:hint="eastAsia" w:ascii="宋体" w:hAnsi="宋体" w:cs="宋体"/>
          <w:sz w:val="28"/>
          <w:shd w:val="clear" w:color="auto" w:fill="auto"/>
          <w:lang w:val="en-US" w:eastAsia="zh-CN"/>
        </w:rPr>
        <w:t>，</w:t>
      </w:r>
      <w:r>
        <w:rPr>
          <w:rFonts w:hint="default" w:ascii="宋体" w:hAnsi="宋体" w:cs="宋体"/>
          <w:b w:val="0"/>
          <w:bCs w:val="0"/>
          <w:sz w:val="29"/>
          <w:lang w:val="en-US" w:eastAsia="zh-CN"/>
        </w:rPr>
        <w:t>伤残军人</w:t>
      </w:r>
      <w:r>
        <w:rPr>
          <w:rFonts w:hint="eastAsia" w:ascii="宋体" w:hAnsi="宋体" w:cs="宋体"/>
          <w:b w:val="0"/>
          <w:bCs w:val="0"/>
          <w:sz w:val="29"/>
          <w:lang w:val="en-US" w:eastAsia="zh-CN"/>
        </w:rPr>
        <w:t>生活补助1.49</w:t>
      </w:r>
      <w:r>
        <w:rPr>
          <w:rFonts w:hint="default" w:ascii="宋体" w:hAnsi="宋体" w:cs="宋体"/>
          <w:b w:val="0"/>
          <w:bCs w:val="0"/>
          <w:sz w:val="29"/>
          <w:lang w:val="en-US" w:eastAsia="zh-CN"/>
        </w:rPr>
        <w:t>万元、</w:t>
      </w:r>
      <w:r>
        <w:rPr>
          <w:rFonts w:hint="eastAsia" w:ascii="宋体" w:hAnsi="宋体" w:cs="宋体"/>
          <w:b w:val="0"/>
          <w:bCs w:val="0"/>
          <w:sz w:val="29"/>
          <w:lang w:val="en-US" w:eastAsia="zh-CN"/>
        </w:rPr>
        <w:t>未纳入部门预算的非税收入拨款30.61</w:t>
      </w:r>
      <w:r>
        <w:rPr>
          <w:rFonts w:hint="default" w:ascii="宋体" w:hAnsi="宋体" w:cs="宋体"/>
          <w:b w:val="0"/>
          <w:bCs w:val="0"/>
          <w:sz w:val="29"/>
          <w:lang w:val="en-US" w:eastAsia="zh-CN"/>
        </w:rPr>
        <w:t>万元。</w:t>
      </w:r>
    </w:p>
    <w:p>
      <w:pPr>
        <w:wordWrap/>
        <w:autoSpaceDE w:val="0"/>
        <w:autoSpaceDN w:val="0"/>
        <w:spacing w:before="0" w:after="0" w:line="620" w:lineRule="atLeast"/>
        <w:ind w:left="940" w:right="1000" w:firstLine="640"/>
        <w:jc w:val="both"/>
        <w:textAlignment w:val="auto"/>
        <w:rPr>
          <w:rFonts w:hint="eastAsia" w:ascii="宋体" w:hAnsi="宋体" w:cs="宋体"/>
          <w:b/>
          <w:bCs/>
          <w:sz w:val="29"/>
          <w:lang w:val="en-US" w:eastAsia="zh-CN"/>
        </w:rPr>
      </w:pPr>
      <w:r>
        <w:rPr>
          <w:rFonts w:hint="eastAsia" w:ascii="宋体" w:hAnsi="宋体" w:cs="宋体"/>
          <w:b/>
          <w:bCs/>
          <w:sz w:val="29"/>
          <w:lang w:val="en-US" w:eastAsia="zh-CN"/>
        </w:rPr>
        <w:t>三、政府性基金预算支出情况</w:t>
      </w:r>
    </w:p>
    <w:p>
      <w:pPr>
        <w:wordWrap/>
        <w:autoSpaceDE w:val="0"/>
        <w:autoSpaceDN w:val="0"/>
        <w:spacing w:before="0" w:after="0" w:line="620" w:lineRule="atLeast"/>
        <w:ind w:left="940" w:right="1000" w:firstLine="640"/>
        <w:jc w:val="both"/>
        <w:textAlignment w:val="auto"/>
        <w:rPr>
          <w:rFonts w:hint="eastAsia" w:ascii="宋体" w:hAnsi="宋体" w:cs="宋体"/>
          <w:b w:val="0"/>
          <w:bCs w:val="0"/>
          <w:sz w:val="29"/>
          <w:lang w:val="en-US" w:eastAsia="zh-CN"/>
        </w:rPr>
      </w:pPr>
      <w:r>
        <w:rPr>
          <w:rFonts w:hint="eastAsia" w:ascii="宋体" w:hAnsi="宋体" w:cs="宋体"/>
          <w:b w:val="0"/>
          <w:bCs w:val="0"/>
          <w:sz w:val="29"/>
          <w:lang w:val="en-US" w:eastAsia="zh-CN"/>
        </w:rPr>
        <w:t>我社无此项支出。</w:t>
      </w:r>
    </w:p>
    <w:p>
      <w:pPr>
        <w:wordWrap/>
        <w:autoSpaceDE w:val="0"/>
        <w:autoSpaceDN w:val="0"/>
        <w:spacing w:before="0" w:after="0" w:line="620" w:lineRule="atLeast"/>
        <w:ind w:left="940" w:right="1000" w:firstLine="640"/>
        <w:jc w:val="both"/>
        <w:textAlignment w:val="auto"/>
        <w:rPr>
          <w:rFonts w:hint="eastAsia" w:ascii="宋体" w:hAnsi="宋体" w:cs="宋体"/>
          <w:b/>
          <w:bCs/>
          <w:sz w:val="29"/>
          <w:lang w:val="en-US" w:eastAsia="zh-CN"/>
        </w:rPr>
      </w:pPr>
      <w:r>
        <w:rPr>
          <w:rFonts w:hint="eastAsia" w:ascii="宋体" w:hAnsi="宋体" w:cs="宋体"/>
          <w:b/>
          <w:bCs/>
          <w:sz w:val="29"/>
          <w:lang w:val="en-US" w:eastAsia="zh-CN"/>
        </w:rPr>
        <w:t>四、国有资本经营预算支出情况</w:t>
      </w:r>
    </w:p>
    <w:p>
      <w:pPr>
        <w:wordWrap/>
        <w:autoSpaceDE w:val="0"/>
        <w:autoSpaceDN w:val="0"/>
        <w:spacing w:before="0" w:after="0" w:line="620" w:lineRule="atLeast"/>
        <w:ind w:left="940" w:right="1000" w:firstLine="640"/>
        <w:jc w:val="both"/>
        <w:textAlignment w:val="auto"/>
        <w:rPr>
          <w:rFonts w:hint="eastAsia" w:ascii="宋体" w:hAnsi="宋体" w:cs="宋体"/>
          <w:b w:val="0"/>
          <w:bCs w:val="0"/>
          <w:sz w:val="29"/>
          <w:lang w:val="en-US" w:eastAsia="zh-CN"/>
        </w:rPr>
      </w:pPr>
      <w:r>
        <w:rPr>
          <w:rFonts w:hint="eastAsia" w:ascii="宋体" w:hAnsi="宋体" w:cs="宋体"/>
          <w:b w:val="0"/>
          <w:bCs w:val="0"/>
          <w:sz w:val="29"/>
          <w:lang w:val="en-US" w:eastAsia="zh-CN"/>
        </w:rPr>
        <w:t>我社无此项支出。</w:t>
      </w:r>
    </w:p>
    <w:p>
      <w:pPr>
        <w:wordWrap/>
        <w:autoSpaceDE w:val="0"/>
        <w:autoSpaceDN w:val="0"/>
        <w:spacing w:before="0" w:after="0" w:line="620" w:lineRule="atLeast"/>
        <w:ind w:left="940" w:right="1000" w:firstLine="640"/>
        <w:jc w:val="both"/>
        <w:textAlignment w:val="auto"/>
        <w:rPr>
          <w:rFonts w:hint="eastAsia" w:ascii="宋体" w:hAnsi="宋体" w:cs="宋体"/>
          <w:b/>
          <w:bCs/>
          <w:sz w:val="29"/>
          <w:lang w:val="en-US" w:eastAsia="zh-CN"/>
        </w:rPr>
      </w:pPr>
      <w:r>
        <w:rPr>
          <w:rFonts w:hint="eastAsia" w:ascii="宋体" w:hAnsi="宋体" w:cs="宋体"/>
          <w:b/>
          <w:bCs/>
          <w:sz w:val="29"/>
          <w:lang w:val="en-US" w:eastAsia="zh-CN"/>
        </w:rPr>
        <w:t>五、社会保险基金预算支出情况</w:t>
      </w:r>
    </w:p>
    <w:p>
      <w:pPr>
        <w:wordWrap/>
        <w:autoSpaceDE w:val="0"/>
        <w:autoSpaceDN w:val="0"/>
        <w:spacing w:before="0" w:after="0" w:line="620" w:lineRule="atLeast"/>
        <w:ind w:left="940" w:right="1000" w:firstLine="640"/>
        <w:jc w:val="both"/>
        <w:textAlignment w:val="auto"/>
        <w:rPr>
          <w:rFonts w:hint="eastAsia" w:ascii="宋体" w:hAnsi="宋体" w:cs="宋体"/>
          <w:b/>
          <w:bCs/>
          <w:sz w:val="29"/>
          <w:lang w:val="en-US" w:eastAsia="zh-CN"/>
        </w:rPr>
      </w:pPr>
      <w:r>
        <w:rPr>
          <w:rFonts w:hint="eastAsia" w:ascii="宋体" w:hAnsi="宋体" w:cs="宋体"/>
          <w:b w:val="0"/>
          <w:bCs w:val="0"/>
          <w:sz w:val="29"/>
          <w:lang w:val="en-US" w:eastAsia="zh-CN"/>
        </w:rPr>
        <w:t>我社无此项支出。</w:t>
      </w:r>
    </w:p>
    <w:p>
      <w:pPr>
        <w:wordWrap/>
        <w:autoSpaceDE w:val="0"/>
        <w:autoSpaceDN w:val="0"/>
        <w:spacing w:before="0" w:after="0" w:line="620" w:lineRule="atLeast"/>
        <w:ind w:left="940" w:right="1000" w:firstLine="640"/>
        <w:jc w:val="both"/>
        <w:textAlignment w:val="auto"/>
        <w:rPr>
          <w:rFonts w:hint="default" w:ascii="宋体" w:hAnsi="宋体" w:cs="宋体"/>
          <w:b/>
          <w:bCs/>
          <w:sz w:val="29"/>
          <w:lang w:val="en-US" w:eastAsia="zh-CN"/>
        </w:rPr>
      </w:pPr>
      <w:r>
        <w:rPr>
          <w:rFonts w:hint="eastAsia" w:ascii="宋体" w:hAnsi="宋体" w:cs="宋体"/>
          <w:b/>
          <w:bCs/>
          <w:sz w:val="29"/>
          <w:lang w:val="en-US" w:eastAsia="zh-CN"/>
        </w:rPr>
        <w:t>六、部门整体支出绩效情况</w:t>
      </w:r>
    </w:p>
    <w:p>
      <w:pPr>
        <w:wordWrap/>
        <w:autoSpaceDE w:val="0"/>
        <w:autoSpaceDN w:val="0"/>
        <w:spacing w:before="20" w:after="0" w:line="620" w:lineRule="atLeast"/>
        <w:ind w:left="1060" w:right="860" w:firstLine="620"/>
        <w:jc w:val="both"/>
        <w:textAlignment w:val="auto"/>
        <w:rPr>
          <w:rFonts w:ascii="宋体" w:hAnsi="宋体" w:eastAsia="宋体" w:cs="宋体"/>
          <w:sz w:val="28"/>
        </w:rPr>
      </w:pPr>
      <w:r>
        <w:rPr>
          <w:rFonts w:hint="eastAsia" w:ascii="宋体" w:hAnsi="宋体" w:cs="宋体"/>
          <w:sz w:val="28"/>
          <w:lang w:eastAsia="zh-CN"/>
        </w:rPr>
        <w:t>（一）</w:t>
      </w:r>
      <w:r>
        <w:rPr>
          <w:rFonts w:ascii="宋体" w:hAnsi="宋体" w:eastAsia="宋体" w:cs="宋体"/>
          <w:sz w:val="28"/>
        </w:rPr>
        <w:t>整体绩效目标完成情况</w:t>
      </w:r>
    </w:p>
    <w:p>
      <w:pPr>
        <w:wordWrap/>
        <w:autoSpaceDE w:val="0"/>
        <w:autoSpaceDN w:val="0"/>
        <w:spacing w:before="20" w:after="0" w:line="620" w:lineRule="atLeast"/>
        <w:ind w:left="1060" w:right="860" w:firstLine="620"/>
        <w:jc w:val="both"/>
        <w:textAlignment w:val="auto"/>
        <w:rPr>
          <w:rFonts w:hint="default" w:ascii="宋体" w:hAnsi="宋体" w:eastAsia="宋体" w:cs="宋体"/>
          <w:sz w:val="28"/>
        </w:rPr>
      </w:pPr>
      <w:r>
        <w:rPr>
          <w:rFonts w:hint="default" w:ascii="宋体" w:hAnsi="宋体" w:cs="宋体"/>
          <w:sz w:val="28"/>
          <w:lang w:val="en"/>
        </w:rPr>
        <w:t>2024</w:t>
      </w:r>
      <w:r>
        <w:rPr>
          <w:rFonts w:hint="default" w:ascii="宋体" w:hAnsi="宋体" w:eastAsia="宋体" w:cs="宋体"/>
          <w:sz w:val="28"/>
        </w:rPr>
        <w:t>年我社在县委、县政府的坚强领导和上级社的正确指导下，坚持以习近平新时代中国特色社会主义思想为指导，认真贯彻落实党的二十大精神，坚持创新引领，不断夯实基础，各项工作稳中有进。具体完成</w:t>
      </w:r>
      <w:r>
        <w:rPr>
          <w:rFonts w:hint="eastAsia" w:ascii="宋体" w:hAnsi="宋体" w:cs="宋体"/>
          <w:sz w:val="28"/>
          <w:lang w:val="en-US" w:eastAsia="zh-CN"/>
        </w:rPr>
        <w:t>情况</w:t>
      </w:r>
      <w:r>
        <w:rPr>
          <w:rFonts w:hint="default" w:ascii="宋体" w:hAnsi="宋体" w:eastAsia="宋体" w:cs="宋体"/>
          <w:sz w:val="28"/>
        </w:rPr>
        <w:t>如下:</w:t>
      </w:r>
    </w:p>
    <w:p>
      <w:pPr>
        <w:wordWrap/>
        <w:autoSpaceDE w:val="0"/>
        <w:autoSpaceDN w:val="0"/>
        <w:spacing w:before="20" w:after="0" w:line="607" w:lineRule="atLeast"/>
        <w:ind w:left="1040" w:right="880" w:firstLine="640"/>
        <w:jc w:val="both"/>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1）持续加强党的建设。全年累计开展主题党日活动12次，参与率100%，开展了党组民主生活会、机关党支部党员组织生活会与民主评议党员，机关党支部组织生活常态化开展，机关支部各项制度不断健全完善,机关工作作风不断改进。</w:t>
      </w:r>
    </w:p>
    <w:p>
      <w:pPr>
        <w:wordWrap/>
        <w:autoSpaceDE w:val="0"/>
        <w:autoSpaceDN w:val="0"/>
        <w:spacing w:before="20" w:after="0" w:line="607" w:lineRule="atLeast"/>
        <w:ind w:left="1040" w:right="880" w:firstLine="640"/>
        <w:jc w:val="both"/>
        <w:textAlignment w:val="auto"/>
        <w:rPr>
          <w:rFonts w:hint="eastAsia" w:ascii="宋体" w:hAnsi="宋体" w:cs="宋体"/>
          <w:sz w:val="28"/>
          <w:lang w:val="en-US" w:eastAsia="zh-CN"/>
        </w:rPr>
      </w:pPr>
      <w:r>
        <w:rPr>
          <w:rFonts w:hint="eastAsia" w:ascii="宋体" w:hAnsi="宋体" w:cs="宋体"/>
          <w:sz w:val="28"/>
          <w:lang w:val="en-US" w:eastAsia="zh-CN"/>
        </w:rPr>
        <w:t>（2）监事会工作有起色。一是加强队伍建设，明确了监审股负责人。二是积极开展社情民意调查，共上报社情民意信息30余篇。三是积极开展监事会工作调研。监事会主要负责人牵头对社属和合作企业开展工作调研，掌握第一手资料，撰写了高质量的工作调研报告。四是积极献言建策。全年向县社党组、理事会提出工作建议数条，促进了县社各项工作开展。</w:t>
      </w:r>
    </w:p>
    <w:p>
      <w:pPr>
        <w:wordWrap/>
        <w:autoSpaceDE w:val="0"/>
        <w:autoSpaceDN w:val="0"/>
        <w:spacing w:before="20" w:after="0" w:line="607" w:lineRule="atLeast"/>
        <w:ind w:left="1040" w:right="880" w:firstLine="640"/>
        <w:jc w:val="both"/>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w:t>
      </w:r>
      <w:r>
        <w:rPr>
          <w:rFonts w:hint="eastAsia" w:ascii="宋体" w:hAnsi="宋体" w:cs="宋体"/>
          <w:sz w:val="28"/>
          <w:lang w:val="en-US" w:eastAsia="zh-CN"/>
        </w:rPr>
        <w:t>3</w:t>
      </w:r>
      <w:r>
        <w:rPr>
          <w:rFonts w:hint="eastAsia" w:ascii="宋体" w:hAnsi="宋体" w:eastAsia="宋体" w:cs="宋体"/>
          <w:sz w:val="28"/>
          <w:lang w:val="en-US" w:eastAsia="zh-CN"/>
        </w:rPr>
        <w:t>）抓好安全生产工作。县社牢固树立“隐患就是事故”理念，积极开展安全生产自查自纠活动。在春节、五一劳动节、中秋国庆双节前对承租企业、社属门店进行安全生产大检查3次,全面深入排查整治隐患，督促企业增强安全意识，确保安全生产形势持续稳定。开展“人人讲安全，个个会应急”安全生产专题学习培训2期。</w:t>
      </w:r>
    </w:p>
    <w:p>
      <w:pPr>
        <w:wordWrap/>
        <w:autoSpaceDE w:val="0"/>
        <w:autoSpaceDN w:val="0"/>
        <w:spacing w:before="20" w:after="0" w:line="607" w:lineRule="atLeast"/>
        <w:ind w:left="1040" w:right="880" w:firstLine="640"/>
        <w:jc w:val="both"/>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w:t>
      </w:r>
      <w:r>
        <w:rPr>
          <w:rFonts w:hint="eastAsia" w:ascii="宋体" w:hAnsi="宋体" w:cs="宋体"/>
          <w:sz w:val="28"/>
          <w:lang w:val="en-US" w:eastAsia="zh-CN"/>
        </w:rPr>
        <w:t>4</w:t>
      </w:r>
      <w:r>
        <w:rPr>
          <w:rFonts w:hint="eastAsia" w:ascii="宋体" w:hAnsi="宋体" w:eastAsia="宋体" w:cs="宋体"/>
          <w:sz w:val="28"/>
          <w:lang w:val="en-US" w:eastAsia="zh-CN"/>
        </w:rPr>
        <w:t>）加强意识形态工作。党组领导班子全年召开意识形态工作分析研判会议2次，对可能存在的信访案件等问题进行客观分析，提出针对性的处置办法。坚决以社会主义核心价值观占领县供销社机关意识形态工作主阵地。加强对微信工作群、衡山供销网站和“农品山香”电商平台APP的监管。机关信息发布严格实行“三审”制。制订了党组中心组学习方案和计划，将意识形态工作纳入专题学习。今年共开展党组中心组集中学习12次。</w:t>
      </w:r>
    </w:p>
    <w:p>
      <w:pPr>
        <w:wordWrap/>
        <w:autoSpaceDE w:val="0"/>
        <w:autoSpaceDN w:val="0"/>
        <w:spacing w:before="20" w:after="0" w:line="620" w:lineRule="atLeast"/>
        <w:ind w:left="1060" w:right="860" w:firstLine="620"/>
        <w:jc w:val="both"/>
        <w:textAlignment w:val="auto"/>
      </w:pPr>
      <w:r>
        <w:rPr>
          <w:rFonts w:hint="eastAsia" w:ascii="宋体" w:hAnsi="宋体" w:cs="宋体"/>
          <w:sz w:val="28"/>
          <w:lang w:eastAsia="zh-CN"/>
        </w:rPr>
        <w:t>（二）</w:t>
      </w:r>
      <w:r>
        <w:rPr>
          <w:rFonts w:ascii="宋体" w:hAnsi="宋体" w:eastAsia="宋体" w:cs="宋体"/>
          <w:sz w:val="28"/>
        </w:rPr>
        <w:t>项目绩效目标完成情况</w:t>
      </w:r>
    </w:p>
    <w:p>
      <w:pPr>
        <w:wordWrap/>
        <w:autoSpaceDE w:val="0"/>
        <w:autoSpaceDN w:val="0"/>
        <w:spacing w:before="20" w:after="0" w:line="607" w:lineRule="atLeast"/>
        <w:ind w:left="1040" w:right="880" w:firstLine="640"/>
        <w:jc w:val="both"/>
        <w:textAlignment w:val="auto"/>
        <w:rPr>
          <w:rFonts w:hint="eastAsia" w:ascii="宋体" w:hAnsi="宋体" w:eastAsia="宋体" w:cs="宋体"/>
          <w:sz w:val="28"/>
          <w:lang w:val="en-US" w:eastAsia="zh-CN"/>
        </w:rPr>
      </w:pPr>
      <w:r>
        <w:rPr>
          <w:rFonts w:hint="default" w:ascii="宋体" w:hAnsi="宋体" w:cs="宋体"/>
          <w:sz w:val="28"/>
          <w:shd w:val="clear" w:color="auto" w:fill="auto"/>
          <w:lang w:val="en" w:eastAsia="zh-CN"/>
        </w:rPr>
        <w:t>2024</w:t>
      </w:r>
      <w:r>
        <w:rPr>
          <w:rFonts w:hint="eastAsia" w:ascii="宋体" w:hAnsi="宋体" w:cs="宋体"/>
          <w:sz w:val="28"/>
          <w:shd w:val="clear" w:color="auto" w:fill="auto"/>
          <w:lang w:val="en-US" w:eastAsia="zh-CN"/>
        </w:rPr>
        <w:t>年我社项目支出</w:t>
      </w:r>
      <w:r>
        <w:rPr>
          <w:rFonts w:hint="default" w:ascii="宋体" w:hAnsi="宋体" w:cs="宋体"/>
          <w:sz w:val="28"/>
          <w:shd w:val="clear" w:color="auto" w:fill="auto"/>
          <w:lang w:val="en" w:eastAsia="zh-CN"/>
        </w:rPr>
        <w:t>232.90</w:t>
      </w:r>
      <w:r>
        <w:rPr>
          <w:rFonts w:hint="eastAsia" w:ascii="宋体" w:hAnsi="宋体" w:cs="宋体"/>
          <w:sz w:val="28"/>
          <w:shd w:val="clear" w:color="auto" w:fill="auto"/>
          <w:lang w:val="en-US" w:eastAsia="zh-CN"/>
        </w:rPr>
        <w:t>万元，未纳入部门预算的非税收入拨款</w:t>
      </w:r>
      <w:r>
        <w:rPr>
          <w:rFonts w:hint="default" w:ascii="宋体" w:hAnsi="宋体" w:cs="宋体"/>
          <w:sz w:val="28"/>
          <w:shd w:val="clear" w:color="auto" w:fill="auto"/>
          <w:lang w:val="en" w:eastAsia="zh-CN"/>
        </w:rPr>
        <w:t>30.60</w:t>
      </w:r>
      <w:r>
        <w:rPr>
          <w:rFonts w:hint="eastAsia" w:ascii="宋体" w:hAnsi="宋体" w:cs="宋体"/>
          <w:sz w:val="28"/>
          <w:shd w:val="clear" w:color="auto" w:fill="auto"/>
          <w:lang w:val="en-US" w:eastAsia="zh-CN"/>
        </w:rPr>
        <w:t>万元，</w:t>
      </w:r>
      <w:r>
        <w:rPr>
          <w:rFonts w:ascii="宋体" w:hAnsi="宋体" w:eastAsia="宋体" w:cs="宋体"/>
          <w:sz w:val="28"/>
          <w:shd w:val="clear" w:color="auto" w:fill="auto"/>
          <w:lang w:val="en-US" w:eastAsia="zh-CN"/>
        </w:rPr>
        <w:t>主要用于党建和乡村振兴等支出</w:t>
      </w:r>
      <w:r>
        <w:rPr>
          <w:rFonts w:hint="eastAsia" w:ascii="宋体" w:hAnsi="宋体" w:cs="宋体"/>
          <w:sz w:val="28"/>
          <w:shd w:val="clear" w:color="auto" w:fill="auto"/>
          <w:lang w:val="en-US" w:eastAsia="zh-CN"/>
        </w:rPr>
        <w:t>；企业破产补助专项经费</w:t>
      </w:r>
      <w:r>
        <w:rPr>
          <w:rFonts w:hint="default" w:ascii="宋体" w:hAnsi="宋体" w:cs="宋体"/>
          <w:sz w:val="28"/>
          <w:shd w:val="clear" w:color="auto" w:fill="auto"/>
          <w:lang w:val="en" w:eastAsia="zh-CN"/>
        </w:rPr>
        <w:t>74.50</w:t>
      </w:r>
      <w:r>
        <w:rPr>
          <w:rFonts w:hint="eastAsia" w:ascii="宋体" w:hAnsi="宋体" w:cs="宋体"/>
          <w:sz w:val="28"/>
          <w:shd w:val="clear" w:color="auto" w:fill="auto"/>
          <w:lang w:val="en-US" w:eastAsia="zh-CN"/>
        </w:rPr>
        <w:t>万元，主要用于改制企业负责人人员经费、春节慰问改制企业下岗职工、伤残军人生活补助等支出；供销综合改革发展</w:t>
      </w:r>
      <w:r>
        <w:rPr>
          <w:rFonts w:hint="eastAsia" w:ascii="宋体" w:hAnsi="宋体" w:eastAsia="宋体" w:cs="宋体"/>
          <w:sz w:val="28"/>
          <w:shd w:val="clear" w:color="auto" w:fill="auto"/>
          <w:lang w:val="en-US" w:eastAsia="zh-CN"/>
        </w:rPr>
        <w:t>专项经费</w:t>
      </w:r>
      <w:r>
        <w:rPr>
          <w:rFonts w:hint="default" w:ascii="宋体" w:hAnsi="宋体" w:cs="宋体"/>
          <w:sz w:val="28"/>
          <w:shd w:val="clear" w:color="auto" w:fill="auto"/>
          <w:lang w:val="en" w:eastAsia="zh-CN"/>
        </w:rPr>
        <w:t>127.80</w:t>
      </w:r>
      <w:r>
        <w:rPr>
          <w:rFonts w:hint="eastAsia" w:ascii="宋体" w:hAnsi="宋体" w:eastAsia="宋体" w:cs="宋体"/>
          <w:sz w:val="28"/>
          <w:shd w:val="clear" w:color="auto" w:fill="auto"/>
          <w:lang w:val="en-US" w:eastAsia="zh-CN"/>
        </w:rPr>
        <w:t>万元</w:t>
      </w:r>
      <w:r>
        <w:rPr>
          <w:rFonts w:hint="eastAsia" w:ascii="宋体" w:hAnsi="宋体" w:cs="宋体"/>
          <w:sz w:val="28"/>
          <w:shd w:val="clear" w:color="auto" w:fill="auto"/>
          <w:lang w:val="en-US" w:eastAsia="zh-CN"/>
        </w:rPr>
        <w:t>，</w:t>
      </w:r>
      <w:r>
        <w:rPr>
          <w:rFonts w:hint="eastAsia" w:ascii="宋体" w:hAnsi="宋体" w:eastAsia="宋体" w:cs="宋体"/>
          <w:sz w:val="28"/>
          <w:lang w:val="en-US" w:eastAsia="zh-CN"/>
        </w:rPr>
        <w:t>主要用于</w:t>
      </w:r>
      <w:r>
        <w:rPr>
          <w:rFonts w:hint="eastAsia" w:ascii="宋体" w:hAnsi="宋体" w:cs="宋体"/>
          <w:sz w:val="28"/>
          <w:lang w:val="en-US" w:eastAsia="zh-CN"/>
        </w:rPr>
        <w:t>以下五个方面</w:t>
      </w:r>
      <w:r>
        <w:rPr>
          <w:rFonts w:hint="eastAsia" w:ascii="宋体" w:hAnsi="宋体" w:eastAsia="宋体" w:cs="宋体"/>
          <w:sz w:val="28"/>
          <w:lang w:val="en-US" w:eastAsia="zh-CN"/>
        </w:rPr>
        <w:t>：</w:t>
      </w:r>
    </w:p>
    <w:p>
      <w:pPr>
        <w:wordWrap/>
        <w:autoSpaceDE w:val="0"/>
        <w:autoSpaceDN w:val="0"/>
        <w:spacing w:before="20" w:after="0" w:line="607" w:lineRule="atLeast"/>
        <w:ind w:left="1040" w:right="880" w:firstLine="640"/>
        <w:jc w:val="both"/>
        <w:textAlignment w:val="auto"/>
        <w:rPr>
          <w:rFonts w:hint="eastAsia" w:ascii="宋体" w:hAnsi="宋体" w:cs="宋体"/>
          <w:sz w:val="28"/>
          <w:lang w:val="en-US" w:eastAsia="zh-CN"/>
        </w:rPr>
      </w:pPr>
      <w:r>
        <w:rPr>
          <w:rFonts w:hint="eastAsia" w:ascii="宋体" w:hAnsi="宋体" w:cs="宋体"/>
          <w:sz w:val="28"/>
          <w:lang w:val="en-US" w:eastAsia="zh-CN"/>
        </w:rPr>
        <w:t>（一）持续做好开放办社工作。继续巩固全县102家乡村级基层供销社建设成果，以农民专业合作社、农业有限公司为主体，“开放办社、吸收入社”新增建设16家村级基层组织，助推农村村级集体经济组织发展壮大。启动机插机抛、收储烘干补助项目，完成了7个乡镇19个行政村（社区）5000亩水稻农业社会化服务试点任务。积极推进区域农资集采集配，农资年销售实现1500万元。结合巡察整改对基层组织建设、基层经营体系建设村（社区）、企业开展“回头看”，督促规范建设资金使用和发挥积极作用，收回历年投资收益10余万元。</w:t>
      </w:r>
    </w:p>
    <w:p>
      <w:pPr>
        <w:wordWrap/>
        <w:autoSpaceDE w:val="0"/>
        <w:autoSpaceDN w:val="0"/>
        <w:spacing w:before="20" w:after="0" w:line="607" w:lineRule="atLeast"/>
        <w:ind w:left="1040" w:right="880" w:firstLine="640"/>
        <w:jc w:val="both"/>
        <w:textAlignment w:val="auto"/>
        <w:rPr>
          <w:rFonts w:hint="eastAsia" w:ascii="宋体" w:hAnsi="宋体" w:cs="宋体"/>
          <w:sz w:val="28"/>
          <w:lang w:val="en-US" w:eastAsia="zh-CN"/>
        </w:rPr>
      </w:pPr>
      <w:r>
        <w:rPr>
          <w:rFonts w:hint="eastAsia" w:ascii="宋体" w:hAnsi="宋体" w:cs="宋体"/>
          <w:sz w:val="28"/>
          <w:lang w:val="en-US" w:eastAsia="zh-CN"/>
        </w:rPr>
        <w:t>（二）组织开展2024年年货节促销。1月30日上午，衡山县“2024衡山有礼·网上年货节暨消费促进年”活动启动，线下展销为期三天。年货大集汇聚了县内外25家农民专业合作社和农业企业优质农产品参展，共涉及糖食果品、干货等7大类20余个品种商品。年货节期间实现销售总额30余万元，引爆了县城居民春节消费热情，取得满意的效果。</w:t>
      </w:r>
    </w:p>
    <w:p>
      <w:pPr>
        <w:wordWrap/>
        <w:autoSpaceDE w:val="0"/>
        <w:autoSpaceDN w:val="0"/>
        <w:spacing w:before="20" w:after="0" w:line="607" w:lineRule="atLeast"/>
        <w:ind w:left="1040" w:right="880" w:firstLine="640"/>
        <w:jc w:val="both"/>
        <w:textAlignment w:val="auto"/>
        <w:rPr>
          <w:rFonts w:hint="eastAsia" w:ascii="宋体" w:hAnsi="宋体" w:cs="宋体"/>
          <w:sz w:val="28"/>
          <w:lang w:val="en-US" w:eastAsia="zh-CN"/>
        </w:rPr>
      </w:pPr>
      <w:r>
        <w:rPr>
          <w:rFonts w:hint="eastAsia" w:ascii="宋体" w:hAnsi="宋体" w:cs="宋体"/>
          <w:sz w:val="28"/>
          <w:lang w:val="en-US" w:eastAsia="zh-CN"/>
        </w:rPr>
        <w:t>（三）大力推进“数商兴农”工作。视频创作基地今年来已完成拍摄促销、农旅文结合短视频60期，开展直播带货5期，点击观看人数逾300万，完成农村电商培训2期，带动销售200余万元。涉及全县12个乡镇优质农产品和旅游资源，较好地推介了衡山地方特色品牌。农品山香农产品展销中心积极推进消费帮扶工作，广辟货源，广交顾客，努力提升服务质量和水平，截止目前完成销售总额60万元。同时派员参加了湖南省消费帮扶活动服务平台供应商大会，开阔了视野，结识了朋友。</w:t>
      </w:r>
    </w:p>
    <w:p>
      <w:pPr>
        <w:wordWrap/>
        <w:autoSpaceDE w:val="0"/>
        <w:autoSpaceDN w:val="0"/>
        <w:spacing w:before="20" w:after="0" w:line="607" w:lineRule="atLeast"/>
        <w:ind w:left="1040" w:right="880" w:firstLine="640"/>
        <w:jc w:val="both"/>
        <w:textAlignment w:val="auto"/>
        <w:rPr>
          <w:rFonts w:hint="eastAsia" w:ascii="宋体" w:hAnsi="宋体" w:cs="宋体"/>
          <w:sz w:val="28"/>
          <w:lang w:val="en-US" w:eastAsia="zh-CN"/>
        </w:rPr>
      </w:pPr>
      <w:r>
        <w:rPr>
          <w:rFonts w:hint="eastAsia" w:ascii="宋体" w:hAnsi="宋体" w:cs="宋体"/>
          <w:sz w:val="28"/>
          <w:lang w:val="en-US" w:eastAsia="zh-CN"/>
        </w:rPr>
        <w:t>（四）积极推动城乡产业运营工作。2024年，以村经济合作社为主体，“村社共建、股权联结”新增建设9家村级城乡产业运营公司，指导村级公司合理发展业务，壮大村级集体经济。根据市社工作要求，主动对接衡阳市数字供销公司业务，双方签订了战略合作协议，县城乡产业运营公司正式入股衡阳数字供销公司。组织赴省供销集团、宁乡、株洲、衡东、常宁市供销社等地开展业务工作交流学习。由县城乡产业运营公司、衡阳数字供销公司及麓园物业三方合作公司联合出资，注册成立衡山县三合供销农产品销售有限公司。公司“供销优品”商超于11月17日正式营业，开辟了农品山香农产品销售专区。商超开业迎宾，极大地提升了县城居民的购物体验，丰富了城乡产品交流。</w:t>
      </w:r>
    </w:p>
    <w:p>
      <w:pPr>
        <w:wordWrap/>
        <w:autoSpaceDE w:val="0"/>
        <w:autoSpaceDN w:val="0"/>
        <w:spacing w:before="20" w:after="0" w:line="607" w:lineRule="atLeast"/>
        <w:ind w:left="1040" w:right="880" w:firstLine="640"/>
        <w:jc w:val="both"/>
        <w:textAlignment w:val="auto"/>
        <w:rPr>
          <w:rFonts w:hint="eastAsia" w:ascii="黑体" w:hAnsi="黑体" w:eastAsia="黑体" w:cs="黑体"/>
          <w:sz w:val="28"/>
          <w:lang w:eastAsia="zh-CN"/>
        </w:rPr>
      </w:pPr>
      <w:r>
        <w:rPr>
          <w:rFonts w:hint="eastAsia" w:ascii="黑体" w:hAnsi="黑体" w:eastAsia="黑体" w:cs="黑体"/>
          <w:sz w:val="28"/>
          <w:lang w:eastAsia="zh-CN"/>
        </w:rPr>
        <w:t>七</w:t>
      </w:r>
      <w:r>
        <w:rPr>
          <w:rFonts w:ascii="黑体" w:hAnsi="黑体" w:eastAsia="黑体" w:cs="黑体"/>
          <w:sz w:val="28"/>
        </w:rPr>
        <w:t>、存在的问题及</w:t>
      </w:r>
      <w:r>
        <w:rPr>
          <w:rFonts w:hint="eastAsia" w:ascii="黑体" w:hAnsi="黑体" w:eastAsia="黑体" w:cs="黑体"/>
          <w:sz w:val="28"/>
          <w:lang w:eastAsia="zh-CN"/>
        </w:rPr>
        <w:t>原因分析</w:t>
      </w:r>
    </w:p>
    <w:p>
      <w:pPr>
        <w:wordWrap/>
        <w:autoSpaceDE w:val="0"/>
        <w:autoSpaceDN w:val="0"/>
        <w:spacing w:before="20" w:after="0" w:line="607" w:lineRule="atLeast"/>
        <w:ind w:left="1040" w:right="880" w:firstLine="640"/>
        <w:jc w:val="both"/>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（一）预算调整率较大，我社年中追加预算调整，主要为企业破产补助、未纳入财政的非税收入、供销综合改革发展专项经费等。</w:t>
      </w:r>
    </w:p>
    <w:p>
      <w:pPr>
        <w:wordWrap/>
        <w:autoSpaceDE w:val="0"/>
        <w:autoSpaceDN w:val="0"/>
        <w:spacing w:before="20" w:after="0" w:line="607" w:lineRule="atLeast"/>
        <w:ind w:left="1040" w:right="880" w:firstLine="640"/>
        <w:jc w:val="both"/>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（二）由于历史遗留问题，本单位按有关文件精神安置改制企业负责人4人，来机关担任中层骨干，因编制问题未纳入财政预算，财政年中追加人员经费，导致决算支出与年初预算差额较大。</w:t>
      </w:r>
    </w:p>
    <w:p>
      <w:pPr>
        <w:wordWrap/>
        <w:autoSpaceDE w:val="0"/>
        <w:autoSpaceDN w:val="0"/>
        <w:spacing w:before="20" w:after="0" w:line="607" w:lineRule="atLeast"/>
        <w:ind w:left="1040" w:right="880" w:firstLine="640"/>
        <w:jc w:val="both"/>
        <w:textAlignment w:val="auto"/>
        <w:rPr>
          <w:rFonts w:hint="default" w:ascii="宋体" w:hAnsi="宋体" w:cs="宋体"/>
          <w:sz w:val="28"/>
          <w:lang w:val="en-US" w:eastAsia="zh-CN"/>
        </w:rPr>
      </w:pPr>
      <w:r>
        <w:rPr>
          <w:rFonts w:hint="eastAsia" w:ascii="宋体" w:hAnsi="宋体" w:eastAsia="宋体" w:cs="宋体"/>
          <w:sz w:val="28"/>
          <w:lang w:val="en-US" w:eastAsia="zh-CN"/>
        </w:rPr>
        <w:t>（三）部分绩效目标设定不够清晰，设置目标值时未化为可衡量的指标值予以体现，绩效管理意识还有待进一步提高。</w:t>
      </w:r>
    </w:p>
    <w:p>
      <w:pPr>
        <w:wordWrap/>
        <w:autoSpaceDE w:val="0"/>
        <w:autoSpaceDN w:val="0"/>
        <w:spacing w:before="200" w:after="0" w:line="360" w:lineRule="atLeast"/>
        <w:ind w:left="1680" w:right="0"/>
        <w:jc w:val="both"/>
        <w:textAlignment w:val="auto"/>
        <w:rPr>
          <w:rFonts w:hint="eastAsia" w:ascii="黑体" w:hAnsi="黑体" w:eastAsia="黑体" w:cs="黑体"/>
          <w:sz w:val="28"/>
          <w:lang w:val="en-US" w:eastAsia="zh-CN"/>
        </w:rPr>
      </w:pPr>
      <w:r>
        <w:rPr>
          <w:rFonts w:hint="eastAsia" w:ascii="黑体" w:hAnsi="黑体" w:eastAsia="黑体" w:cs="黑体"/>
          <w:sz w:val="28"/>
          <w:lang w:val="en-US" w:eastAsia="zh-CN"/>
        </w:rPr>
        <w:t>（八）下一步改进措施</w:t>
      </w:r>
    </w:p>
    <w:p>
      <w:pPr>
        <w:wordWrap/>
        <w:autoSpaceDE w:val="0"/>
        <w:autoSpaceDN w:val="0"/>
        <w:spacing w:before="20" w:after="0" w:line="607" w:lineRule="atLeast"/>
        <w:ind w:left="1040" w:right="880" w:firstLine="640"/>
        <w:jc w:val="both"/>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一）加强预算管理，提高预算编制的精准度。预算编制的合理性和准确性是预算执行高效率的前提保障，编制预算时，应根据单位实际情况，提前做好充分的调研和论证工作，科学精准编制预算，提高预算执行进度，充分发挥财政资金的使用效益。</w:t>
      </w:r>
    </w:p>
    <w:p>
      <w:pPr>
        <w:wordWrap/>
        <w:autoSpaceDE w:val="0"/>
        <w:autoSpaceDN w:val="0"/>
        <w:spacing w:before="20" w:after="0" w:line="607" w:lineRule="atLeast"/>
        <w:ind w:left="1040" w:right="880" w:firstLine="640"/>
        <w:jc w:val="both"/>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二）加强采购预算管理，降低采购执行率偏差遵循预算管理办法，从严控制年中采购预算追加规模。对于年度无法预计的临时追加的相关采购费用，严格按照预算调整追加程序，逐级申报批准，有效控制采购预算执行率。</w:t>
      </w:r>
    </w:p>
    <w:p>
      <w:pPr>
        <w:wordWrap/>
        <w:autoSpaceDE w:val="0"/>
        <w:autoSpaceDN w:val="0"/>
        <w:spacing w:before="20" w:after="0" w:line="607" w:lineRule="atLeast"/>
        <w:ind w:left="1040" w:right="880" w:firstLine="640"/>
        <w:jc w:val="both"/>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三）加强绩效管理，使其贯穿于项目始终按照财政绩效管理要求，进一步强化绩效管理的责任意识，确保在申报项目预算时制定明确、细化、量化、合理的绩效目标，以绩效目标为依据指导项目实施，在项目结束后按要求对项目进行自评，使绩效管理贯穿于项目始终。</w:t>
      </w:r>
    </w:p>
    <w:p>
      <w:pPr>
        <w:wordWrap/>
        <w:autoSpaceDE w:val="0"/>
        <w:autoSpaceDN w:val="0"/>
        <w:spacing w:before="20" w:after="0" w:line="607" w:lineRule="atLeast"/>
        <w:ind w:left="1040" w:right="880" w:firstLine="640"/>
        <w:jc w:val="both"/>
        <w:textAlignment w:val="auto"/>
        <w:rPr>
          <w:rFonts w:hint="eastAsia" w:ascii="黑体" w:hAnsi="黑体" w:eastAsia="黑体" w:cs="黑体"/>
          <w:sz w:val="28"/>
          <w:lang w:val="en-US" w:eastAsia="zh-CN"/>
        </w:rPr>
      </w:pPr>
      <w:r>
        <w:rPr>
          <w:rFonts w:hint="eastAsia" w:ascii="黑体" w:hAnsi="黑体" w:eastAsia="黑体" w:cs="黑体"/>
          <w:sz w:val="28"/>
          <w:lang w:val="en-US" w:eastAsia="zh-CN"/>
        </w:rPr>
        <w:t>九、部门整体支出绩效自评结果拟应用和公开情况</w:t>
      </w:r>
    </w:p>
    <w:p>
      <w:pPr>
        <w:wordWrap/>
        <w:autoSpaceDE w:val="0"/>
        <w:autoSpaceDN w:val="0"/>
        <w:spacing w:before="20" w:after="0" w:line="607" w:lineRule="atLeast"/>
        <w:ind w:left="1040" w:right="880" w:firstLine="640"/>
        <w:jc w:val="both"/>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通过绩效自评，我社进一步掌握了部门整体支出使用情况和取得的效果，总结了项目资金管理经验，发现了工作中存在的问题和不足，为下一年提高资金的使用效益、加强财政支出的规范化管理、健全和完善项目支出和资金使用管理办法、完善预算编制、加强绩效目标管理和绩效考核工作提供了重要的参考依据。对于本次绩效自评过程中发现的问题，将反馈相关单位，明确整改要求，并严格督促整改到位。</w:t>
      </w:r>
    </w:p>
    <w:p>
      <w:pPr>
        <w:wordWrap/>
        <w:autoSpaceDE w:val="0"/>
        <w:autoSpaceDN w:val="0"/>
        <w:spacing w:before="20" w:after="0" w:line="607" w:lineRule="atLeast"/>
        <w:ind w:left="1040" w:right="880" w:firstLine="640"/>
        <w:jc w:val="both"/>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我社将按县财政局的统一要求按时按规将绩效自评结果在部门网站予以公开，并将预算执行质量及进度纳入考核的范围，推动全面预算管理工作取得进展。</w:t>
      </w:r>
    </w:p>
    <w:p>
      <w:pPr>
        <w:wordWrap/>
        <w:autoSpaceDE w:val="0"/>
        <w:autoSpaceDN w:val="0"/>
        <w:spacing w:before="200" w:after="0" w:line="360" w:lineRule="atLeast"/>
        <w:ind w:left="1680" w:right="0"/>
        <w:jc w:val="both"/>
        <w:textAlignment w:val="auto"/>
        <w:rPr>
          <w:rFonts w:ascii="黑体" w:hAnsi="黑体" w:eastAsia="黑体" w:cs="黑体"/>
          <w:sz w:val="28"/>
        </w:rPr>
      </w:pPr>
      <w:r>
        <w:rPr>
          <w:rFonts w:hint="eastAsia" w:ascii="黑体" w:hAnsi="黑体" w:eastAsia="黑体" w:cs="黑体"/>
          <w:sz w:val="28"/>
          <w:lang w:val="en-US" w:eastAsia="zh-CN"/>
        </w:rPr>
        <w:t>十</w:t>
      </w:r>
      <w:r>
        <w:rPr>
          <w:rFonts w:hint="eastAsia" w:ascii="黑体" w:hAnsi="黑体" w:eastAsia="黑体" w:cs="黑体"/>
          <w:sz w:val="28"/>
        </w:rPr>
        <w:t>、其他需要说明的情况</w:t>
      </w:r>
    </w:p>
    <w:p>
      <w:pPr>
        <w:wordWrap/>
        <w:autoSpaceDE w:val="0"/>
        <w:autoSpaceDN w:val="0"/>
        <w:spacing w:before="20" w:after="0" w:line="607" w:lineRule="atLeast"/>
        <w:ind w:left="1040" w:right="880" w:firstLine="640"/>
        <w:jc w:val="both"/>
        <w:textAlignment w:val="auto"/>
        <w:rPr>
          <w:rFonts w:hint="default" w:ascii="宋体" w:hAnsi="宋体" w:eastAsia="宋体" w:cs="宋体"/>
          <w:sz w:val="28"/>
          <w:lang w:val="en-US" w:eastAsia="zh-CN"/>
        </w:rPr>
      </w:pPr>
      <w:r>
        <w:rPr>
          <w:rFonts w:hint="default" w:ascii="宋体" w:hAnsi="宋体" w:eastAsia="宋体" w:cs="宋体"/>
          <w:sz w:val="28"/>
          <w:lang w:val="en-US" w:eastAsia="zh-CN"/>
        </w:rPr>
        <w:t>本单位将部门支出绩效自评结果在本单位的门户网站公开，接收社会监督。</w:t>
      </w:r>
    </w:p>
    <w:p>
      <w:pPr>
        <w:pStyle w:val="2"/>
        <w:ind w:left="1431"/>
      </w:pPr>
      <w:r>
        <w:rPr>
          <w:spacing w:val="-4"/>
        </w:rPr>
        <w:br w:type="column"/>
      </w:r>
      <w:r>
        <w:rPr>
          <w:spacing w:val="-4"/>
        </w:rPr>
        <w:t>附件：</w:t>
      </w:r>
      <w:r>
        <w:rPr>
          <w:rFonts w:ascii="Times New Roman" w:eastAsia="Times New Roman"/>
          <w:spacing w:val="-4"/>
        </w:rPr>
        <w:t>1</w:t>
      </w:r>
      <w:r>
        <w:rPr>
          <w:spacing w:val="-5"/>
        </w:rPr>
        <w:t>、部门整体支出绩效评价基础数据表</w:t>
      </w:r>
    </w:p>
    <w:p>
      <w:pPr>
        <w:pStyle w:val="2"/>
        <w:spacing w:before="190"/>
        <w:ind w:left="2387"/>
      </w:pPr>
      <w:r>
        <w:rPr>
          <w:rFonts w:ascii="Times New Roman" w:eastAsia="Times New Roman"/>
          <w:spacing w:val="-4"/>
        </w:rPr>
        <w:t>2</w:t>
      </w:r>
      <w:r>
        <w:rPr>
          <w:spacing w:val="-5"/>
        </w:rPr>
        <w:t>、部门整体支出绩效自评表</w:t>
      </w:r>
    </w:p>
    <w:p>
      <w:pPr>
        <w:pStyle w:val="2"/>
        <w:spacing w:before="190"/>
        <w:ind w:left="2387"/>
      </w:pPr>
      <w:r>
        <w:rPr>
          <w:rFonts w:ascii="Times New Roman" w:eastAsia="Times New Roman"/>
          <w:spacing w:val="-4"/>
        </w:rPr>
        <w:t>3</w:t>
      </w:r>
      <w:r>
        <w:rPr>
          <w:spacing w:val="-4"/>
        </w:rPr>
        <w:t>、项目支出绩效自评表（每个一级项目一张表</w:t>
      </w:r>
      <w:r>
        <w:rPr>
          <w:spacing w:val="-10"/>
        </w:rPr>
        <w:t>）</w:t>
      </w:r>
    </w:p>
    <w:p>
      <w:pPr>
        <w:pStyle w:val="2"/>
        <w:spacing w:before="190"/>
        <w:ind w:left="2387"/>
      </w:pPr>
      <w:r>
        <w:rPr>
          <w:rFonts w:ascii="Times New Roman" w:eastAsia="Times New Roman"/>
          <w:spacing w:val="-4"/>
        </w:rPr>
        <w:t>4</w:t>
      </w:r>
      <w:r>
        <w:rPr>
          <w:spacing w:val="-5"/>
        </w:rPr>
        <w:t>、政府性基金预算支出情况表</w:t>
      </w:r>
    </w:p>
    <w:p>
      <w:pPr>
        <w:pStyle w:val="2"/>
        <w:spacing w:before="190"/>
        <w:ind w:left="2387"/>
        <w:rPr>
          <w:spacing w:val="-5"/>
        </w:rPr>
      </w:pPr>
      <w:r>
        <w:rPr>
          <w:rFonts w:ascii="Times New Roman" w:eastAsia="Times New Roman"/>
          <w:spacing w:val="-4"/>
        </w:rPr>
        <w:t>5</w:t>
      </w:r>
      <w:r>
        <w:rPr>
          <w:spacing w:val="-5"/>
        </w:rPr>
        <w:t>、国有资本经营预算支出情况表</w:t>
      </w:r>
    </w:p>
    <w:p>
      <w:pPr>
        <w:pStyle w:val="2"/>
        <w:spacing w:before="190"/>
        <w:ind w:left="2387"/>
        <w:rPr>
          <w:rFonts w:hint="eastAsia"/>
          <w:spacing w:val="-5"/>
        </w:rPr>
      </w:pPr>
      <w:r>
        <w:rPr>
          <w:rFonts w:hint="eastAsia" w:ascii="Times New Roman" w:hAnsi="宋体" w:eastAsia="Times New Roman" w:cs="宋体"/>
          <w:spacing w:val="-4"/>
        </w:rPr>
        <w:t>6</w:t>
      </w:r>
      <w:r>
        <w:rPr>
          <w:rFonts w:hint="eastAsia"/>
          <w:spacing w:val="-5"/>
        </w:rPr>
        <w:t>、社会保险基金预算支出情况表</w:t>
      </w:r>
    </w:p>
    <w:p>
      <w:pPr>
        <w:pStyle w:val="2"/>
        <w:spacing w:before="190"/>
        <w:ind w:left="2387"/>
        <w:rPr>
          <w:rFonts w:hint="eastAsia"/>
          <w:spacing w:val="-5"/>
        </w:rPr>
      </w:pPr>
      <w:r>
        <w:rPr>
          <w:rFonts w:hint="eastAsia" w:ascii="Times New Roman" w:hAnsi="宋体" w:eastAsia="Times New Roman" w:cs="宋体"/>
          <w:spacing w:val="-4"/>
        </w:rPr>
        <w:t>7</w:t>
      </w:r>
      <w:r>
        <w:rPr>
          <w:rFonts w:hint="eastAsia"/>
          <w:spacing w:val="-5"/>
        </w:rPr>
        <w:t>、衡山县供销社部门项目库建设情况表</w:t>
      </w:r>
    </w:p>
    <w:p>
      <w:pPr>
        <w:pStyle w:val="2"/>
        <w:spacing w:before="190"/>
        <w:ind w:left="2387"/>
        <w:rPr>
          <w:rFonts w:hint="eastAsia"/>
          <w:spacing w:val="-5"/>
        </w:rPr>
      </w:pPr>
      <w:r>
        <w:rPr>
          <w:rFonts w:hint="eastAsia" w:ascii="Times New Roman" w:hAnsi="宋体" w:eastAsia="Times New Roman" w:cs="宋体"/>
          <w:spacing w:val="-4"/>
        </w:rPr>
        <w:t>8</w:t>
      </w:r>
      <w:r>
        <w:rPr>
          <w:rFonts w:hint="eastAsia"/>
          <w:spacing w:val="-5"/>
        </w:rPr>
        <w:t>、衡山县供销社部门各类支出标准体系建设情况表</w:t>
      </w:r>
    </w:p>
    <w:p>
      <w:pPr>
        <w:pStyle w:val="2"/>
        <w:spacing w:before="190"/>
        <w:ind w:left="2387"/>
        <w:rPr>
          <w:rFonts w:hint="eastAsia"/>
          <w:spacing w:val="-5"/>
        </w:rPr>
      </w:pPr>
      <w:r>
        <w:rPr>
          <w:rFonts w:hint="eastAsia" w:ascii="Times New Roman" w:hAnsi="宋体" w:eastAsia="Times New Roman" w:cs="宋体"/>
          <w:spacing w:val="-4"/>
        </w:rPr>
        <w:t>9</w:t>
      </w:r>
      <w:r>
        <w:rPr>
          <w:rFonts w:hint="eastAsia"/>
          <w:spacing w:val="-5"/>
        </w:rPr>
        <w:t>、衡山县供销社部门预算绩效管理制度建设清单</w:t>
      </w:r>
    </w:p>
    <w:p>
      <w:pPr>
        <w:pStyle w:val="2"/>
        <w:spacing w:before="190"/>
        <w:ind w:left="2387"/>
        <w:rPr>
          <w:rFonts w:hint="eastAsia"/>
          <w:spacing w:val="-5"/>
        </w:rPr>
      </w:pPr>
      <w:r>
        <w:rPr>
          <w:rFonts w:hint="eastAsia" w:ascii="Times New Roman" w:hAnsi="宋体" w:eastAsia="Times New Roman" w:cs="宋体"/>
          <w:spacing w:val="-4"/>
        </w:rPr>
        <w:t>10</w:t>
      </w:r>
      <w:r>
        <w:rPr>
          <w:rFonts w:hint="eastAsia"/>
          <w:spacing w:val="-5"/>
        </w:rPr>
        <w:t>、事前绩效评估报告（含所属单位）</w:t>
      </w:r>
    </w:p>
    <w:p>
      <w:pPr>
        <w:pStyle w:val="2"/>
        <w:spacing w:before="190"/>
        <w:ind w:left="2387"/>
        <w:rPr>
          <w:spacing w:val="-5"/>
        </w:rPr>
      </w:pPr>
      <w:r>
        <w:rPr>
          <w:rFonts w:hint="eastAsia" w:ascii="Times New Roman" w:hAnsi="宋体" w:eastAsia="Times New Roman" w:cs="宋体"/>
          <w:spacing w:val="-4"/>
        </w:rPr>
        <w:t>11</w:t>
      </w:r>
      <w:r>
        <w:rPr>
          <w:rFonts w:hint="eastAsia"/>
          <w:spacing w:val="-5"/>
        </w:rPr>
        <w:t>、预算绩效管理各环节结果应用清单</w:t>
      </w:r>
    </w:p>
    <w:p>
      <w:pPr>
        <w:wordWrap/>
        <w:autoSpaceDE w:val="0"/>
        <w:autoSpaceDN w:val="0"/>
        <w:spacing w:before="20" w:after="0" w:line="607" w:lineRule="atLeast"/>
        <w:ind w:left="1040" w:right="880" w:firstLine="640"/>
        <w:jc w:val="left"/>
        <w:textAlignment w:val="auto"/>
        <w:rPr>
          <w:rFonts w:hint="default" w:ascii="宋体" w:hAnsi="宋体" w:eastAsia="宋体" w:cs="宋体"/>
          <w:sz w:val="28"/>
          <w:lang w:val="en-US" w:eastAsia="zh-CN"/>
        </w:rPr>
      </w:pPr>
    </w:p>
    <w:p>
      <w:pPr>
        <w:wordWrap/>
        <w:autoSpaceDE w:val="0"/>
        <w:autoSpaceDN w:val="0"/>
        <w:spacing w:before="200" w:after="0" w:line="360" w:lineRule="atLeast"/>
        <w:ind w:right="0"/>
        <w:jc w:val="both"/>
        <w:textAlignment w:val="auto"/>
        <w:rPr>
          <w:rFonts w:hint="eastAsia"/>
          <w:lang w:val="en-US" w:eastAsia="zh-CN"/>
        </w:rPr>
      </w:pPr>
    </w:p>
    <w:sectPr>
      <w:footerReference r:id="rId3" w:type="default"/>
      <w:pgSz w:w="11860" w:h="16800"/>
      <w:pgMar w:top="800" w:right="800" w:bottom="800" w:left="800" w:header="720" w:footer="72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isplayHorizontalDrawingGridEvery w:val="1"/>
  <w:displayVerticalDrawingGridEvery w:val="1"/>
  <w:noPunctuationKerning w:val="true"/>
  <w:compat>
    <w:ulTrailSpace/>
    <w:doNotExpandShiftReturn/>
    <w:doNotWrapTextWithPunct/>
    <w:doNotUseEastAsianBreakRules/>
    <w:useFELayout/>
    <w:doNotUseIndentAsNumberingTabStop/>
    <w:useAltKinsokuLineBreakRules/>
    <w:compatSetting w:name="compatibilityMode" w:uri="http://schemas.microsoft.com/office/word" w:val="15"/>
  </w:compat>
  <w:docVars>
    <w:docVar w:name="commondata" w:val="eyJoZGlkIjoiMmNjMmQ1ZTAxYWE2MzNiYWExZjJhYmQ1NDNmZTVkZDYifQ=="/>
  </w:docVars>
  <w:rsids>
    <w:rsidRoot w:val="00000000"/>
    <w:rsid w:val="05F642EA"/>
    <w:rsid w:val="07B26C3A"/>
    <w:rsid w:val="0A467110"/>
    <w:rsid w:val="0B75DCCB"/>
    <w:rsid w:val="0FA506D5"/>
    <w:rsid w:val="11861685"/>
    <w:rsid w:val="14235491"/>
    <w:rsid w:val="166061F2"/>
    <w:rsid w:val="16F45E8F"/>
    <w:rsid w:val="17FDA09C"/>
    <w:rsid w:val="1EBF85CA"/>
    <w:rsid w:val="1FE6966C"/>
    <w:rsid w:val="1FEF6D79"/>
    <w:rsid w:val="27FE8BD8"/>
    <w:rsid w:val="29082681"/>
    <w:rsid w:val="2ED077C3"/>
    <w:rsid w:val="2EFF82BC"/>
    <w:rsid w:val="2FFFE105"/>
    <w:rsid w:val="30DE553C"/>
    <w:rsid w:val="30FB07B0"/>
    <w:rsid w:val="33F713E7"/>
    <w:rsid w:val="375BBC2F"/>
    <w:rsid w:val="376FD987"/>
    <w:rsid w:val="37EF0BEE"/>
    <w:rsid w:val="3B347E1D"/>
    <w:rsid w:val="3B69EC44"/>
    <w:rsid w:val="3B6BCE88"/>
    <w:rsid w:val="3BFCBFBF"/>
    <w:rsid w:val="3CFFC468"/>
    <w:rsid w:val="3D7FBD29"/>
    <w:rsid w:val="3DAF4E1B"/>
    <w:rsid w:val="3DDE116E"/>
    <w:rsid w:val="3FCF1BD7"/>
    <w:rsid w:val="3FDE8A09"/>
    <w:rsid w:val="3FFBBE8F"/>
    <w:rsid w:val="3FFFFBF8"/>
    <w:rsid w:val="46CE4BC0"/>
    <w:rsid w:val="47CCC0E7"/>
    <w:rsid w:val="49204766"/>
    <w:rsid w:val="4AE5E359"/>
    <w:rsid w:val="4CC07189"/>
    <w:rsid w:val="4FE0C04A"/>
    <w:rsid w:val="4FF7D969"/>
    <w:rsid w:val="53EFE1DC"/>
    <w:rsid w:val="55BDA297"/>
    <w:rsid w:val="55F953AA"/>
    <w:rsid w:val="56CAB9CA"/>
    <w:rsid w:val="57F7D59E"/>
    <w:rsid w:val="58C5F5A2"/>
    <w:rsid w:val="5AF19517"/>
    <w:rsid w:val="5AF7233E"/>
    <w:rsid w:val="5EBF207D"/>
    <w:rsid w:val="5FAF941E"/>
    <w:rsid w:val="629C4D5A"/>
    <w:rsid w:val="632F4CA2"/>
    <w:rsid w:val="64CCEE6D"/>
    <w:rsid w:val="66BBE52F"/>
    <w:rsid w:val="66EA61F0"/>
    <w:rsid w:val="693E93A2"/>
    <w:rsid w:val="696FC3F5"/>
    <w:rsid w:val="6B5FA879"/>
    <w:rsid w:val="6BBFECC6"/>
    <w:rsid w:val="6BF3F76E"/>
    <w:rsid w:val="6EF69493"/>
    <w:rsid w:val="6F9D702D"/>
    <w:rsid w:val="6FA5EA56"/>
    <w:rsid w:val="6FFC00E2"/>
    <w:rsid w:val="6FFFE337"/>
    <w:rsid w:val="73DF5B87"/>
    <w:rsid w:val="73FB7339"/>
    <w:rsid w:val="73FCD8B1"/>
    <w:rsid w:val="743EAFED"/>
    <w:rsid w:val="75DE5090"/>
    <w:rsid w:val="75FBA460"/>
    <w:rsid w:val="765F4854"/>
    <w:rsid w:val="7666E55E"/>
    <w:rsid w:val="76DFDA66"/>
    <w:rsid w:val="76F5C7BF"/>
    <w:rsid w:val="7749C852"/>
    <w:rsid w:val="77EE8C0D"/>
    <w:rsid w:val="77FA71E7"/>
    <w:rsid w:val="77FF80B8"/>
    <w:rsid w:val="77FFF030"/>
    <w:rsid w:val="7A7DDA7C"/>
    <w:rsid w:val="7AC7DD71"/>
    <w:rsid w:val="7ADFDBF7"/>
    <w:rsid w:val="7BBDD128"/>
    <w:rsid w:val="7BCF2BDD"/>
    <w:rsid w:val="7C7DA5A3"/>
    <w:rsid w:val="7CFEF4AC"/>
    <w:rsid w:val="7CFFED27"/>
    <w:rsid w:val="7D86F1D4"/>
    <w:rsid w:val="7DFE2EB8"/>
    <w:rsid w:val="7DFEE4EB"/>
    <w:rsid w:val="7E7F6A05"/>
    <w:rsid w:val="7EBE8C1E"/>
    <w:rsid w:val="7ED9069A"/>
    <w:rsid w:val="7EF751A5"/>
    <w:rsid w:val="7EFB52A0"/>
    <w:rsid w:val="7EFFF980"/>
    <w:rsid w:val="7F570B1D"/>
    <w:rsid w:val="7F6C7103"/>
    <w:rsid w:val="7F7EF0F1"/>
    <w:rsid w:val="7FAE8A93"/>
    <w:rsid w:val="7FAFE236"/>
    <w:rsid w:val="7FB549EE"/>
    <w:rsid w:val="7FB943F8"/>
    <w:rsid w:val="7FBCC3B1"/>
    <w:rsid w:val="7FD87855"/>
    <w:rsid w:val="7FDBBC7F"/>
    <w:rsid w:val="7FDEEDC2"/>
    <w:rsid w:val="7FEC38F3"/>
    <w:rsid w:val="7FFB5868"/>
    <w:rsid w:val="7FFD93AA"/>
    <w:rsid w:val="7FFF039A"/>
    <w:rsid w:val="8AFD5566"/>
    <w:rsid w:val="93FCD2F2"/>
    <w:rsid w:val="9CEF8988"/>
    <w:rsid w:val="9DFEFB07"/>
    <w:rsid w:val="9DFF723C"/>
    <w:rsid w:val="AEFB1197"/>
    <w:rsid w:val="AEFF0849"/>
    <w:rsid w:val="AF7FF975"/>
    <w:rsid w:val="B0FC89E6"/>
    <w:rsid w:val="B5FEB7A9"/>
    <w:rsid w:val="B7ED052E"/>
    <w:rsid w:val="BAFC07C7"/>
    <w:rsid w:val="BC7E14F5"/>
    <w:rsid w:val="BDFDE2BB"/>
    <w:rsid w:val="BDFFD45A"/>
    <w:rsid w:val="BFFC7EA4"/>
    <w:rsid w:val="BFFEC47F"/>
    <w:rsid w:val="C6D5A4D3"/>
    <w:rsid w:val="CC7EE0C6"/>
    <w:rsid w:val="CDFFDC72"/>
    <w:rsid w:val="D15F2DC6"/>
    <w:rsid w:val="D55EBD79"/>
    <w:rsid w:val="D5FB2164"/>
    <w:rsid w:val="D5FF9E1E"/>
    <w:rsid w:val="D71F3D9D"/>
    <w:rsid w:val="D76EDFFB"/>
    <w:rsid w:val="D7FF7FBE"/>
    <w:rsid w:val="D8AD731C"/>
    <w:rsid w:val="D9DF0E78"/>
    <w:rsid w:val="DAEF539C"/>
    <w:rsid w:val="DBEF81DD"/>
    <w:rsid w:val="DDDF952E"/>
    <w:rsid w:val="DDFF85ED"/>
    <w:rsid w:val="DEDD6165"/>
    <w:rsid w:val="DFBF4891"/>
    <w:rsid w:val="DFDD7E70"/>
    <w:rsid w:val="DFE7ADB5"/>
    <w:rsid w:val="DFF5789A"/>
    <w:rsid w:val="E2CEAACC"/>
    <w:rsid w:val="E3FE977F"/>
    <w:rsid w:val="E3FF01F3"/>
    <w:rsid w:val="E47C46B7"/>
    <w:rsid w:val="E574237E"/>
    <w:rsid w:val="E5DFE855"/>
    <w:rsid w:val="E73F70A5"/>
    <w:rsid w:val="E79FCDF2"/>
    <w:rsid w:val="E7FF079A"/>
    <w:rsid w:val="E7FF2B00"/>
    <w:rsid w:val="E9FF5758"/>
    <w:rsid w:val="EDB7D094"/>
    <w:rsid w:val="EDC29A6D"/>
    <w:rsid w:val="EDFBDB23"/>
    <w:rsid w:val="EED9E94F"/>
    <w:rsid w:val="EF6E63E2"/>
    <w:rsid w:val="EFE6E492"/>
    <w:rsid w:val="EFEF4117"/>
    <w:rsid w:val="EFEFE61E"/>
    <w:rsid w:val="EFFEDA0D"/>
    <w:rsid w:val="F3EB6C24"/>
    <w:rsid w:val="F3EE7694"/>
    <w:rsid w:val="F76B2171"/>
    <w:rsid w:val="F7E44A0D"/>
    <w:rsid w:val="F7F70FD1"/>
    <w:rsid w:val="F99D04C3"/>
    <w:rsid w:val="F9DE8E78"/>
    <w:rsid w:val="FADFD245"/>
    <w:rsid w:val="FAFD1E7C"/>
    <w:rsid w:val="FB7F89B8"/>
    <w:rsid w:val="FBD23AD9"/>
    <w:rsid w:val="FBED9478"/>
    <w:rsid w:val="FBFEA0FF"/>
    <w:rsid w:val="FD3F39EC"/>
    <w:rsid w:val="FD7E3741"/>
    <w:rsid w:val="FD7FFC47"/>
    <w:rsid w:val="FDBE2ECD"/>
    <w:rsid w:val="FDDFB6E9"/>
    <w:rsid w:val="FDEECBF5"/>
    <w:rsid w:val="FDFB0F80"/>
    <w:rsid w:val="FDFF46CD"/>
    <w:rsid w:val="FDFF631B"/>
    <w:rsid w:val="FDFFEC24"/>
    <w:rsid w:val="FEBFFFAC"/>
    <w:rsid w:val="FEF90B30"/>
    <w:rsid w:val="FEFFC5E3"/>
    <w:rsid w:val="FF7F0304"/>
    <w:rsid w:val="FF7F70A6"/>
    <w:rsid w:val="FF7FAD42"/>
    <w:rsid w:val="FF97F41D"/>
    <w:rsid w:val="FFB4D1DA"/>
    <w:rsid w:val="FFB5A776"/>
    <w:rsid w:val="FFD7E1E1"/>
    <w:rsid w:val="FFDFB4D9"/>
    <w:rsid w:val="FFEBB17C"/>
    <w:rsid w:val="FFEFCB5F"/>
    <w:rsid w:val="FFF767BD"/>
    <w:rsid w:val="FFFBF91F"/>
    <w:rsid w:val="FFFD39AE"/>
    <w:rsid w:val="FFFF94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3998</Words>
  <Characters>4302</Characters>
  <TotalTime>2</TotalTime>
  <ScaleCrop>false</ScaleCrop>
  <LinksUpToDate>false</LinksUpToDate>
  <CharactersWithSpaces>4352</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2023-07-30T08:39:00Z</dcterms:created>
  <dc:creator>Apache POI</dc:creator>
  <cp:lastModifiedBy>kylin</cp:lastModifiedBy>
  <cp:lastPrinted>2025-06-26T10:50:05Z</cp:lastPrinted>
  <dcterms:modified xsi:type="dcterms:W3CDTF">2025-06-26T16:02:19Z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7AEA7BC456D24BA399E815F8CAABFC83_12</vt:lpwstr>
  </property>
</Properties>
</file>