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1F62E">
      <w:pPr>
        <w:jc w:val="left"/>
        <w:rPr>
          <w:rFonts w:hint="eastAsia" w:ascii="华文宋体" w:hAnsi="华文宋体" w:eastAsia="华文宋体" w:cs="华文宋体"/>
          <w:sz w:val="30"/>
          <w:szCs w:val="30"/>
          <w:lang w:eastAsia="zh-CN"/>
        </w:rPr>
      </w:pPr>
      <w:r>
        <w:rPr>
          <w:rFonts w:hint="eastAsia" w:ascii="华文宋体" w:hAnsi="华文宋体" w:eastAsia="华文宋体" w:cs="华文宋体"/>
          <w:sz w:val="30"/>
          <w:szCs w:val="30"/>
          <w:lang w:eastAsia="zh-CN"/>
        </w:rPr>
        <w:t>附件四</w:t>
      </w:r>
    </w:p>
    <w:p w14:paraId="1C8B36D5">
      <w:pPr>
        <w:jc w:val="center"/>
        <w:rPr>
          <w:rFonts w:hint="eastAsia" w:ascii="华文宋体" w:hAnsi="华文宋体" w:eastAsia="华文宋体" w:cs="华文宋体"/>
          <w:sz w:val="30"/>
          <w:szCs w:val="30"/>
          <w:lang w:eastAsia="zh-CN"/>
        </w:rPr>
      </w:pPr>
    </w:p>
    <w:p w14:paraId="0DDC2EB1">
      <w:pPr>
        <w:jc w:val="center"/>
        <w:rPr>
          <w:rFonts w:hint="eastAsia" w:ascii="华文宋体" w:hAnsi="华文宋体" w:eastAsia="华文宋体" w:cs="华文宋体"/>
          <w:sz w:val="30"/>
          <w:szCs w:val="30"/>
          <w:lang w:eastAsia="zh-CN"/>
        </w:rPr>
      </w:pPr>
    </w:p>
    <w:p w14:paraId="02849A6A">
      <w:pPr>
        <w:jc w:val="center"/>
        <w:rPr>
          <w:rFonts w:hint="eastAsia" w:ascii="华文宋体" w:hAnsi="华文宋体" w:eastAsia="华文宋体" w:cs="华文宋体"/>
          <w:sz w:val="30"/>
          <w:szCs w:val="30"/>
          <w:lang w:eastAsia="zh-CN"/>
        </w:rPr>
      </w:pPr>
    </w:p>
    <w:p w14:paraId="103A5956">
      <w:pPr>
        <w:jc w:val="center"/>
        <w:rPr>
          <w:rFonts w:hint="eastAsia" w:ascii="华文宋体" w:hAnsi="华文宋体" w:eastAsia="华文宋体" w:cs="华文宋体"/>
          <w:sz w:val="30"/>
          <w:szCs w:val="30"/>
          <w:lang w:eastAsia="zh-CN"/>
        </w:rPr>
      </w:pPr>
    </w:p>
    <w:p w14:paraId="23C947F6">
      <w:pPr>
        <w:jc w:val="center"/>
        <w:rPr>
          <w:rFonts w:hint="eastAsia" w:ascii="华文宋体" w:hAnsi="华文宋体" w:eastAsia="华文宋体" w:cs="华文宋体"/>
          <w:b/>
          <w:bCs/>
          <w:sz w:val="52"/>
          <w:szCs w:val="52"/>
          <w:lang w:val="en-US" w:eastAsia="zh-CN"/>
        </w:rPr>
      </w:pPr>
      <w:r>
        <w:rPr>
          <w:rFonts w:hint="eastAsia" w:ascii="华文宋体" w:hAnsi="华文宋体" w:eastAsia="华文宋体" w:cs="华文宋体"/>
          <w:b/>
          <w:bCs/>
          <w:sz w:val="52"/>
          <w:szCs w:val="52"/>
          <w:lang w:val="en-US" w:eastAsia="zh-CN"/>
        </w:rPr>
        <w:t>2024年度衡山县民政局部门整体</w:t>
      </w:r>
    </w:p>
    <w:p w14:paraId="7468AB57">
      <w:pPr>
        <w:jc w:val="center"/>
        <w:rPr>
          <w:rFonts w:hint="eastAsia" w:ascii="华文宋体" w:hAnsi="华文宋体" w:eastAsia="华文宋体" w:cs="华文宋体"/>
          <w:b/>
          <w:bCs/>
          <w:sz w:val="52"/>
          <w:szCs w:val="52"/>
          <w:lang w:val="en-US" w:eastAsia="zh-CN"/>
        </w:rPr>
      </w:pPr>
      <w:bookmarkStart w:id="0" w:name="_GoBack"/>
      <w:bookmarkEnd w:id="0"/>
      <w:r>
        <w:rPr>
          <w:rFonts w:hint="eastAsia" w:ascii="华文宋体" w:hAnsi="华文宋体" w:eastAsia="华文宋体" w:cs="华文宋体"/>
          <w:b/>
          <w:bCs/>
          <w:sz w:val="52"/>
          <w:szCs w:val="52"/>
          <w:lang w:val="en-US" w:eastAsia="zh-CN"/>
        </w:rPr>
        <w:t>支出绩效自评报告</w:t>
      </w:r>
    </w:p>
    <w:p w14:paraId="0CECA49D">
      <w:pPr>
        <w:jc w:val="center"/>
        <w:rPr>
          <w:rFonts w:hint="eastAsia" w:ascii="华文宋体" w:hAnsi="华文宋体" w:eastAsia="华文宋体" w:cs="华文宋体"/>
          <w:b/>
          <w:bCs/>
          <w:sz w:val="52"/>
          <w:szCs w:val="52"/>
          <w:lang w:val="en-US" w:eastAsia="zh-CN"/>
        </w:rPr>
      </w:pPr>
    </w:p>
    <w:p w14:paraId="0E737C18">
      <w:pPr>
        <w:jc w:val="center"/>
        <w:rPr>
          <w:rFonts w:hint="eastAsia" w:ascii="华文宋体" w:hAnsi="华文宋体" w:eastAsia="华文宋体" w:cs="华文宋体"/>
          <w:b/>
          <w:bCs/>
          <w:sz w:val="52"/>
          <w:szCs w:val="52"/>
          <w:lang w:val="en-US" w:eastAsia="zh-CN"/>
        </w:rPr>
      </w:pPr>
    </w:p>
    <w:p w14:paraId="7DC9E453">
      <w:pPr>
        <w:jc w:val="center"/>
        <w:rPr>
          <w:rFonts w:hint="eastAsia" w:ascii="华文宋体" w:hAnsi="华文宋体" w:eastAsia="华文宋体" w:cs="华文宋体"/>
          <w:b/>
          <w:bCs/>
          <w:sz w:val="52"/>
          <w:szCs w:val="52"/>
          <w:lang w:val="en-US" w:eastAsia="zh-CN"/>
        </w:rPr>
      </w:pPr>
    </w:p>
    <w:p w14:paraId="3569055F">
      <w:pPr>
        <w:jc w:val="center"/>
        <w:rPr>
          <w:rFonts w:hint="eastAsia" w:ascii="华文宋体" w:hAnsi="华文宋体" w:eastAsia="华文宋体" w:cs="华文宋体"/>
          <w:b/>
          <w:bCs/>
          <w:sz w:val="52"/>
          <w:szCs w:val="52"/>
          <w:lang w:val="en-US" w:eastAsia="zh-CN"/>
        </w:rPr>
      </w:pPr>
    </w:p>
    <w:p w14:paraId="558E4534">
      <w:pPr>
        <w:jc w:val="center"/>
        <w:rPr>
          <w:rFonts w:hint="eastAsia" w:ascii="华文宋体" w:hAnsi="华文宋体" w:eastAsia="华文宋体" w:cs="华文宋体"/>
          <w:b/>
          <w:bCs/>
          <w:sz w:val="52"/>
          <w:szCs w:val="52"/>
          <w:lang w:val="en-US" w:eastAsia="zh-CN"/>
        </w:rPr>
      </w:pPr>
    </w:p>
    <w:p w14:paraId="70ED7410">
      <w:pPr>
        <w:jc w:val="center"/>
        <w:rPr>
          <w:rFonts w:hint="eastAsia" w:ascii="华文宋体" w:hAnsi="华文宋体" w:eastAsia="华文宋体" w:cs="华文宋体"/>
          <w:b/>
          <w:bCs/>
          <w:sz w:val="52"/>
          <w:szCs w:val="52"/>
          <w:lang w:val="en-US" w:eastAsia="zh-CN"/>
        </w:rPr>
      </w:pPr>
    </w:p>
    <w:p w14:paraId="5AFAB6E3">
      <w:pPr>
        <w:jc w:val="center"/>
        <w:rPr>
          <w:rFonts w:hint="eastAsia" w:ascii="华文宋体" w:hAnsi="华文宋体" w:eastAsia="华文宋体" w:cs="华文宋体"/>
          <w:b/>
          <w:bCs/>
          <w:sz w:val="52"/>
          <w:szCs w:val="52"/>
          <w:lang w:val="en-US" w:eastAsia="zh-CN"/>
        </w:rPr>
      </w:pPr>
    </w:p>
    <w:p w14:paraId="21F384F8">
      <w:pPr>
        <w:jc w:val="both"/>
        <w:rPr>
          <w:rFonts w:hint="eastAsia" w:ascii="华文宋体" w:hAnsi="华文宋体" w:eastAsia="华文宋体" w:cs="华文宋体"/>
          <w:b/>
          <w:bCs/>
          <w:sz w:val="52"/>
          <w:szCs w:val="52"/>
          <w:lang w:val="en-US" w:eastAsia="zh-CN"/>
        </w:rPr>
      </w:pPr>
    </w:p>
    <w:p w14:paraId="65152DFB">
      <w:pPr>
        <w:pStyle w:val="3"/>
        <w:tabs>
          <w:tab w:val="left" w:pos="5993"/>
        </w:tabs>
        <w:ind w:left="555"/>
        <w:jc w:val="center"/>
      </w:pPr>
      <w:r>
        <w:rPr>
          <w:spacing w:val="-4"/>
        </w:rPr>
        <w:t>部门（单位）名称：</w:t>
      </w:r>
      <w:r>
        <w:rPr>
          <w:rFonts w:hint="eastAsia"/>
          <w:spacing w:val="-4"/>
          <w:u w:val="single"/>
          <w:lang w:val="en-US" w:eastAsia="zh-CN"/>
        </w:rPr>
        <w:t>衡山县民政局</w:t>
      </w:r>
      <w:r>
        <w:rPr>
          <w:spacing w:val="-4"/>
          <w:u w:val="single"/>
        </w:rPr>
        <w:t>（盖章</w:t>
      </w:r>
      <w:r>
        <w:rPr>
          <w:spacing w:val="-10"/>
          <w:u w:val="single"/>
        </w:rPr>
        <w:t>）</w:t>
      </w:r>
      <w:r>
        <w:rPr>
          <w:u w:val="single"/>
        </w:rPr>
        <w:tab/>
      </w:r>
    </w:p>
    <w:p w14:paraId="04A8662F">
      <w:pPr>
        <w:pStyle w:val="3"/>
        <w:spacing w:before="190"/>
        <w:ind w:left="3987"/>
      </w:pPr>
      <w:r>
        <w:rPr>
          <w:rFonts w:hint="eastAsia"/>
          <w:lang w:val="en-US" w:eastAsia="zh-CN"/>
        </w:rPr>
        <w:t>2025</w:t>
      </w:r>
      <w:r>
        <w:t>年</w:t>
      </w:r>
      <w:r>
        <w:rPr>
          <w:rFonts w:hint="eastAsia"/>
          <w:lang w:val="en-US" w:eastAsia="zh-CN"/>
        </w:rPr>
        <w:t>6</w:t>
      </w:r>
      <w:r>
        <w:t>月</w:t>
      </w:r>
      <w:r>
        <w:rPr>
          <w:rFonts w:hint="eastAsia"/>
          <w:lang w:val="en-US" w:eastAsia="zh-CN"/>
        </w:rPr>
        <w:t>16</w:t>
      </w:r>
      <w:r>
        <w:rPr>
          <w:spacing w:val="-10"/>
        </w:rPr>
        <w:t>日</w:t>
      </w:r>
    </w:p>
    <w:p w14:paraId="2835B79A">
      <w:pPr>
        <w:pStyle w:val="3"/>
        <w:spacing w:before="401"/>
        <w:ind w:left="4031"/>
        <w:rPr>
          <w:spacing w:val="-10"/>
        </w:rPr>
      </w:pPr>
      <w:r>
        <w:rPr>
          <w:spacing w:val="-4"/>
        </w:rPr>
        <w:t>（此页为封面</w:t>
      </w:r>
      <w:r>
        <w:rPr>
          <w:spacing w:val="-10"/>
        </w:rPr>
        <w:t>）</w:t>
      </w:r>
    </w:p>
    <w:p w14:paraId="28C262B2">
      <w:pPr>
        <w:pStyle w:val="3"/>
        <w:spacing w:before="401"/>
        <w:ind w:left="4031"/>
        <w:rPr>
          <w:spacing w:val="-10"/>
        </w:rPr>
      </w:pPr>
    </w:p>
    <w:p w14:paraId="69636681">
      <w:pPr>
        <w:pStyle w:val="2"/>
        <w:keepNext w:val="0"/>
        <w:keepLines w:val="0"/>
        <w:pageBreakBefore w:val="0"/>
        <w:widowControl w:val="0"/>
        <w:kinsoku/>
        <w:wordWrap/>
        <w:overflowPunct/>
        <w:topLinePunct w:val="0"/>
        <w:autoSpaceDE/>
        <w:autoSpaceDN/>
        <w:bidi w:val="0"/>
        <w:adjustRightInd/>
        <w:snapToGrid/>
        <w:spacing w:before="43" w:line="500" w:lineRule="exact"/>
        <w:ind w:left="362" w:leftChars="1" w:right="323" w:rightChars="0" w:hanging="360" w:hangingChars="100"/>
        <w:jc w:val="center"/>
        <w:textAlignment w:val="auto"/>
        <w:rPr>
          <w:rFonts w:hint="eastAsia" w:ascii="仿宋" w:hAnsi="仿宋" w:eastAsia="仿宋" w:cs="仿宋"/>
          <w:sz w:val="36"/>
          <w:szCs w:val="36"/>
        </w:rPr>
      </w:pPr>
      <w:r>
        <w:rPr>
          <w:rFonts w:hint="eastAsia" w:ascii="仿宋" w:hAnsi="仿宋" w:eastAsia="仿宋" w:cs="仿宋"/>
          <w:sz w:val="36"/>
          <w:szCs w:val="36"/>
        </w:rPr>
        <w:t>202</w:t>
      </w:r>
      <w:r>
        <w:rPr>
          <w:rFonts w:hint="eastAsia" w:ascii="仿宋" w:hAnsi="仿宋" w:eastAsia="仿宋" w:cs="仿宋"/>
          <w:sz w:val="36"/>
          <w:szCs w:val="36"/>
          <w:lang w:eastAsia="zh-CN"/>
        </w:rPr>
        <w:t>4</w:t>
      </w:r>
      <w:r>
        <w:rPr>
          <w:rFonts w:hint="eastAsia" w:ascii="仿宋" w:hAnsi="仿宋" w:eastAsia="仿宋" w:cs="仿宋"/>
          <w:spacing w:val="-28"/>
          <w:sz w:val="36"/>
          <w:szCs w:val="36"/>
        </w:rPr>
        <w:t xml:space="preserve"> </w:t>
      </w:r>
      <w:r>
        <w:rPr>
          <w:rFonts w:hint="eastAsia" w:ascii="仿宋" w:hAnsi="仿宋" w:eastAsia="仿宋" w:cs="仿宋"/>
          <w:sz w:val="36"/>
          <w:szCs w:val="36"/>
        </w:rPr>
        <w:t>年度</w:t>
      </w:r>
      <w:r>
        <w:rPr>
          <w:rFonts w:hint="eastAsia" w:ascii="仿宋" w:hAnsi="仿宋" w:eastAsia="仿宋" w:cs="仿宋"/>
          <w:sz w:val="36"/>
          <w:szCs w:val="36"/>
          <w:lang w:val="en-US" w:eastAsia="zh-CN"/>
        </w:rPr>
        <w:t>衡山县民政局</w:t>
      </w:r>
      <w:r>
        <w:rPr>
          <w:rFonts w:hint="eastAsia" w:ascii="仿宋" w:hAnsi="仿宋" w:eastAsia="仿宋" w:cs="仿宋"/>
          <w:sz w:val="36"/>
          <w:szCs w:val="36"/>
        </w:rPr>
        <w:t>部门整体</w:t>
      </w:r>
    </w:p>
    <w:p w14:paraId="267F1B71">
      <w:pPr>
        <w:pStyle w:val="2"/>
        <w:keepNext w:val="0"/>
        <w:keepLines w:val="0"/>
        <w:pageBreakBefore w:val="0"/>
        <w:widowControl w:val="0"/>
        <w:kinsoku/>
        <w:wordWrap/>
        <w:overflowPunct/>
        <w:topLinePunct w:val="0"/>
        <w:autoSpaceDE/>
        <w:autoSpaceDN/>
        <w:bidi w:val="0"/>
        <w:adjustRightInd/>
        <w:snapToGrid/>
        <w:spacing w:before="43" w:line="500" w:lineRule="exact"/>
        <w:ind w:left="362" w:leftChars="1" w:right="323" w:rightChars="0" w:hanging="360" w:hangingChars="100"/>
        <w:jc w:val="center"/>
        <w:textAlignment w:val="auto"/>
        <w:rPr>
          <w:rFonts w:hint="eastAsia" w:ascii="仿宋" w:hAnsi="仿宋" w:eastAsia="仿宋" w:cs="仿宋"/>
          <w:spacing w:val="-2"/>
          <w:sz w:val="36"/>
          <w:szCs w:val="36"/>
        </w:rPr>
      </w:pPr>
      <w:r>
        <w:rPr>
          <w:rFonts w:hint="eastAsia" w:ascii="仿宋" w:hAnsi="仿宋" w:eastAsia="仿宋" w:cs="仿宋"/>
          <w:sz w:val="36"/>
          <w:szCs w:val="36"/>
        </w:rPr>
        <w:t>支出</w:t>
      </w:r>
      <w:r>
        <w:rPr>
          <w:rFonts w:hint="eastAsia" w:ascii="仿宋" w:hAnsi="仿宋" w:eastAsia="仿宋" w:cs="仿宋"/>
          <w:spacing w:val="-2"/>
          <w:sz w:val="36"/>
          <w:szCs w:val="36"/>
        </w:rPr>
        <w:t>绩效自评报告</w:t>
      </w:r>
    </w:p>
    <w:p w14:paraId="1FFFA7E9">
      <w:pPr>
        <w:rPr>
          <w:rFonts w:hint="eastAsia"/>
        </w:rPr>
      </w:pPr>
    </w:p>
    <w:p w14:paraId="5F1CF538">
      <w:pPr>
        <w:pStyle w:val="3"/>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200" w:firstLine="0" w:firstLineChars="0"/>
        <w:textAlignment w:val="auto"/>
        <w:rPr>
          <w:rFonts w:hint="eastAsia" w:ascii="仿宋" w:hAnsi="仿宋" w:eastAsia="仿宋" w:cs="仿宋"/>
          <w:b/>
          <w:bCs/>
          <w:spacing w:val="-5"/>
          <w:sz w:val="30"/>
          <w:szCs w:val="30"/>
        </w:rPr>
      </w:pPr>
      <w:r>
        <w:rPr>
          <w:rFonts w:hint="eastAsia" w:ascii="仿宋" w:hAnsi="仿宋" w:eastAsia="仿宋" w:cs="仿宋"/>
          <w:b/>
          <w:bCs/>
          <w:spacing w:val="-5"/>
          <w:sz w:val="30"/>
          <w:szCs w:val="30"/>
        </w:rPr>
        <w:t>部门基本情况</w:t>
      </w:r>
    </w:p>
    <w:p w14:paraId="7906D3AD">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76" w:leftChars="179" w:right="483" w:rightChars="230" w:firstLine="290" w:firstLineChars="100"/>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val="en-US" w:eastAsia="zh-CN"/>
        </w:rPr>
        <w:t>1</w:t>
      </w:r>
      <w:r>
        <w:rPr>
          <w:rFonts w:hint="eastAsia" w:ascii="仿宋" w:hAnsi="仿宋" w:eastAsia="仿宋" w:cs="仿宋"/>
          <w:spacing w:val="-5"/>
          <w:sz w:val="30"/>
          <w:szCs w:val="30"/>
        </w:rPr>
        <w:t>、主要职能:负责老年人、孤儿及事实无人抚养孤儿、城乡低保户、特困供养人员等特殊困难群体权益保护的行政管理工作;组织全县社会福利有奖募捐工作;指导村民委员会民主选举、民主决策、民主管理和民主监督工作;承办行政区域的设立、撤销、更名和界限变更的审核、申报;负责婚姻登记管理、殡葬管理、收养登记和流浪乞讨人员救助工作;承办县委、县政府和上级业务部门交办的其他事项。</w:t>
      </w:r>
    </w:p>
    <w:p w14:paraId="097E0DAC">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76" w:leftChars="179" w:right="420" w:rightChars="200" w:firstLine="290" w:firstLineChars="100"/>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val="en-US" w:eastAsia="zh-CN"/>
        </w:rPr>
        <w:t>2、机构设置：</w:t>
      </w:r>
      <w:r>
        <w:rPr>
          <w:rFonts w:hint="eastAsia" w:ascii="仿宋" w:hAnsi="仿宋" w:eastAsia="仿宋" w:cs="仿宋"/>
          <w:spacing w:val="-5"/>
          <w:sz w:val="30"/>
          <w:szCs w:val="30"/>
        </w:rPr>
        <w:t>纳入部门决算编制单位1个。内设9个职能股室:办公室、规划财务股、养老服务股、儿童福利股、社会事务股、政策法规股、区划地名办、行政审批服务股，慈善事业促进和社会工作股。下设二级机构6个:慈善总会办公室、社会组织中心、殡仪馆、社会福利院、社会组织综合党工委、城乡社会救助中心。参公机构1个:城乡社会救助服务中心。全额事业机构7个:救助站、老区开发服务中心、社会福利院、社会组织服务中心、慈善总会办公司、婚姻登记信息中心、殡仪馆。差额事业机构1个:社会福利彩票事务中心。其中慈善总会办公室、社会组织中心、殡仪馆、社会福利院、社会组织综合党工委、城乡社会救助中心为副科级机构。全县各乡镇分别设立乡镇民政办、其人员编制及人事关系属乡镇管理，业务上受县民政局指导。</w:t>
      </w:r>
    </w:p>
    <w:p w14:paraId="6547A2CA">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200" w:right="500" w:rightChars="238" w:firstLine="290" w:firstLineChars="100"/>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val="en-US" w:eastAsia="zh-CN"/>
        </w:rPr>
        <w:t>3、</w:t>
      </w:r>
      <w:r>
        <w:rPr>
          <w:rFonts w:hint="eastAsia" w:ascii="仿宋" w:hAnsi="仿宋" w:eastAsia="仿宋" w:cs="仿宋"/>
          <w:spacing w:val="-5"/>
          <w:sz w:val="30"/>
          <w:szCs w:val="30"/>
        </w:rPr>
        <w:t>人员情况</w:t>
      </w:r>
      <w:r>
        <w:rPr>
          <w:rFonts w:hint="eastAsia" w:ascii="仿宋" w:hAnsi="仿宋" w:eastAsia="仿宋" w:cs="仿宋"/>
          <w:spacing w:val="-5"/>
          <w:sz w:val="30"/>
          <w:szCs w:val="30"/>
          <w:lang w:eastAsia="zh-CN"/>
        </w:rPr>
        <w:t>：</w:t>
      </w:r>
      <w:r>
        <w:rPr>
          <w:rFonts w:hint="eastAsia" w:ascii="仿宋" w:hAnsi="仿宋" w:eastAsia="仿宋" w:cs="仿宋"/>
          <w:spacing w:val="-5"/>
          <w:sz w:val="30"/>
          <w:szCs w:val="30"/>
        </w:rPr>
        <w:t>行政编制12人、事业编制53人</w:t>
      </w:r>
      <w:r>
        <w:rPr>
          <w:rFonts w:hint="eastAsia"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年末</w:t>
      </w:r>
      <w:r>
        <w:rPr>
          <w:rFonts w:hint="eastAsia" w:ascii="仿宋" w:hAnsi="仿宋" w:eastAsia="仿宋" w:cs="仿宋"/>
          <w:spacing w:val="-5"/>
          <w:sz w:val="30"/>
          <w:szCs w:val="30"/>
        </w:rPr>
        <w:t>实有</w:t>
      </w:r>
      <w:r>
        <w:rPr>
          <w:rFonts w:hint="eastAsia" w:ascii="仿宋" w:hAnsi="仿宋" w:eastAsia="仿宋" w:cs="仿宋"/>
          <w:spacing w:val="-5"/>
          <w:sz w:val="30"/>
          <w:szCs w:val="30"/>
          <w:lang w:val="en-US" w:eastAsia="zh-CN"/>
        </w:rPr>
        <w:t>在职</w:t>
      </w:r>
      <w:r>
        <w:rPr>
          <w:rFonts w:hint="eastAsia" w:ascii="仿宋" w:hAnsi="仿宋" w:eastAsia="仿宋" w:cs="仿宋"/>
          <w:spacing w:val="-5"/>
          <w:sz w:val="30"/>
          <w:szCs w:val="30"/>
        </w:rPr>
        <w:t>人</w:t>
      </w:r>
      <w:r>
        <w:rPr>
          <w:rFonts w:hint="eastAsia" w:ascii="仿宋" w:hAnsi="仿宋" w:eastAsia="仿宋" w:cs="仿宋"/>
          <w:spacing w:val="-5"/>
          <w:sz w:val="30"/>
          <w:szCs w:val="30"/>
          <w:lang w:val="en-US" w:eastAsia="zh-CN"/>
        </w:rPr>
        <w:t>数34</w:t>
      </w:r>
      <w:r>
        <w:rPr>
          <w:rFonts w:hint="eastAsia" w:ascii="仿宋" w:hAnsi="仿宋" w:eastAsia="仿宋" w:cs="仿宋"/>
          <w:spacing w:val="-5"/>
          <w:sz w:val="30"/>
          <w:szCs w:val="30"/>
        </w:rPr>
        <w:t>人</w:t>
      </w:r>
      <w:r>
        <w:rPr>
          <w:rFonts w:hint="eastAsia"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退休人员50人</w:t>
      </w:r>
      <w:r>
        <w:rPr>
          <w:rFonts w:hint="eastAsia" w:ascii="仿宋" w:hAnsi="仿宋" w:eastAsia="仿宋" w:cs="仿宋"/>
          <w:spacing w:val="-5"/>
          <w:sz w:val="30"/>
          <w:szCs w:val="30"/>
          <w:lang w:eastAsia="zh-CN"/>
        </w:rPr>
        <w:t>。</w:t>
      </w:r>
    </w:p>
    <w:p w14:paraId="726BCB9E">
      <w:pPr>
        <w:pStyle w:val="3"/>
        <w:keepNext w:val="0"/>
        <w:keepLines w:val="0"/>
        <w:pageBreakBefore w:val="0"/>
        <w:widowControl w:val="0"/>
        <w:numPr>
          <w:ilvl w:val="0"/>
          <w:numId w:val="1"/>
        </w:numPr>
        <w:kinsoku/>
        <w:wordWrap/>
        <w:overflowPunct/>
        <w:topLinePunct w:val="0"/>
        <w:autoSpaceDE/>
        <w:autoSpaceDN/>
        <w:bidi w:val="0"/>
        <w:adjustRightInd/>
        <w:snapToGrid/>
        <w:spacing w:before="190" w:line="500" w:lineRule="exact"/>
        <w:ind w:left="420" w:leftChars="200" w:right="571" w:rightChars="272" w:firstLine="0" w:firstLineChars="0"/>
        <w:textAlignment w:val="auto"/>
        <w:rPr>
          <w:rFonts w:hint="eastAsia" w:ascii="仿宋" w:hAnsi="仿宋" w:eastAsia="仿宋" w:cs="仿宋"/>
          <w:b/>
          <w:bCs/>
          <w:spacing w:val="-5"/>
          <w:sz w:val="30"/>
          <w:szCs w:val="30"/>
        </w:rPr>
      </w:pPr>
      <w:r>
        <w:rPr>
          <w:rFonts w:hint="eastAsia" w:ascii="仿宋" w:hAnsi="仿宋" w:eastAsia="仿宋" w:cs="仿宋"/>
          <w:b/>
          <w:bCs/>
          <w:spacing w:val="-5"/>
          <w:sz w:val="30"/>
          <w:szCs w:val="30"/>
        </w:rPr>
        <w:t>一般公共预算支出情况</w:t>
      </w:r>
    </w:p>
    <w:p w14:paraId="433B62C2">
      <w:pPr>
        <w:pStyle w:val="3"/>
        <w:keepNext w:val="0"/>
        <w:keepLines w:val="0"/>
        <w:pageBreakBefore w:val="0"/>
        <w:widowControl w:val="0"/>
        <w:numPr>
          <w:ilvl w:val="0"/>
          <w:numId w:val="0"/>
        </w:numPr>
        <w:kinsoku/>
        <w:wordWrap/>
        <w:overflowPunct/>
        <w:topLinePunct w:val="0"/>
        <w:autoSpaceDE/>
        <w:autoSpaceDN/>
        <w:bidi w:val="0"/>
        <w:adjustRightInd/>
        <w:snapToGrid/>
        <w:spacing w:before="190" w:line="500" w:lineRule="exact"/>
        <w:ind w:leftChars="200" w:right="571" w:rightChars="272"/>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val="en-US" w:eastAsia="zh-CN"/>
        </w:rPr>
        <w:t>1</w:t>
      </w:r>
      <w:r>
        <w:rPr>
          <w:rFonts w:hint="eastAsia" w:ascii="仿宋" w:hAnsi="仿宋" w:eastAsia="仿宋" w:cs="仿宋"/>
          <w:spacing w:val="-5"/>
          <w:sz w:val="30"/>
          <w:szCs w:val="30"/>
        </w:rPr>
        <w:t>、收入支出预算安排情况</w:t>
      </w:r>
    </w:p>
    <w:p w14:paraId="72BAA75E">
      <w:pPr>
        <w:pStyle w:val="3"/>
        <w:keepNext w:val="0"/>
        <w:keepLines w:val="0"/>
        <w:pageBreakBefore w:val="0"/>
        <w:widowControl w:val="0"/>
        <w:numPr>
          <w:ilvl w:val="0"/>
          <w:numId w:val="0"/>
        </w:numPr>
        <w:kinsoku/>
        <w:wordWrap/>
        <w:overflowPunct/>
        <w:topLinePunct w:val="0"/>
        <w:autoSpaceDE/>
        <w:autoSpaceDN/>
        <w:bidi w:val="0"/>
        <w:adjustRightInd/>
        <w:snapToGrid/>
        <w:spacing w:before="190" w:line="500" w:lineRule="exact"/>
        <w:ind w:leftChars="200" w:right="571" w:rightChars="272"/>
        <w:textAlignment w:val="auto"/>
        <w:rPr>
          <w:rFonts w:hint="eastAsia" w:ascii="仿宋" w:hAnsi="仿宋" w:eastAsia="仿宋" w:cs="仿宋"/>
          <w:spacing w:val="-5"/>
          <w:sz w:val="30"/>
          <w:szCs w:val="30"/>
        </w:rPr>
      </w:pPr>
      <w:r>
        <w:rPr>
          <w:rFonts w:hint="eastAsia" w:ascii="仿宋" w:hAnsi="仿宋" w:eastAsia="仿宋" w:cs="仿宋"/>
          <w:spacing w:val="-5"/>
          <w:sz w:val="30"/>
          <w:szCs w:val="30"/>
        </w:rPr>
        <w:t>本年收入预算总计10746.24万元，其中：经费拨款10746.24万元。本年支出预算总计10746.24万元，其中：基本支出474.69万元，项目支出10271.55万元。</w:t>
      </w:r>
    </w:p>
    <w:p w14:paraId="3C44C7BE">
      <w:pPr>
        <w:pStyle w:val="3"/>
        <w:keepNext w:val="0"/>
        <w:keepLines w:val="0"/>
        <w:pageBreakBefore w:val="0"/>
        <w:widowControl w:val="0"/>
        <w:numPr>
          <w:ilvl w:val="0"/>
          <w:numId w:val="0"/>
        </w:numPr>
        <w:kinsoku/>
        <w:wordWrap/>
        <w:overflowPunct/>
        <w:topLinePunct w:val="0"/>
        <w:autoSpaceDE/>
        <w:autoSpaceDN/>
        <w:bidi w:val="0"/>
        <w:adjustRightInd/>
        <w:snapToGrid/>
        <w:spacing w:before="190" w:line="500" w:lineRule="exact"/>
        <w:ind w:leftChars="200" w:right="571" w:rightChars="272"/>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val="en-US" w:eastAsia="zh-CN"/>
        </w:rPr>
        <w:t>2</w:t>
      </w:r>
      <w:r>
        <w:rPr>
          <w:rFonts w:hint="eastAsia" w:ascii="仿宋" w:hAnsi="仿宋" w:eastAsia="仿宋" w:cs="仿宋"/>
          <w:spacing w:val="-5"/>
          <w:sz w:val="30"/>
          <w:szCs w:val="30"/>
        </w:rPr>
        <w:t>、收入支出预算执行情况</w:t>
      </w:r>
    </w:p>
    <w:p w14:paraId="39ADF7B2">
      <w:pPr>
        <w:pStyle w:val="3"/>
        <w:keepNext w:val="0"/>
        <w:keepLines w:val="0"/>
        <w:pageBreakBefore w:val="0"/>
        <w:widowControl w:val="0"/>
        <w:numPr>
          <w:ilvl w:val="0"/>
          <w:numId w:val="0"/>
        </w:numPr>
        <w:kinsoku/>
        <w:wordWrap/>
        <w:overflowPunct/>
        <w:topLinePunct w:val="0"/>
        <w:autoSpaceDE/>
        <w:autoSpaceDN/>
        <w:bidi w:val="0"/>
        <w:adjustRightInd/>
        <w:snapToGrid/>
        <w:spacing w:before="190" w:line="500" w:lineRule="exact"/>
        <w:ind w:leftChars="200" w:right="571" w:rightChars="272"/>
        <w:textAlignment w:val="auto"/>
        <w:rPr>
          <w:rFonts w:hint="eastAsia" w:ascii="仿宋" w:hAnsi="仿宋" w:eastAsia="仿宋" w:cs="仿宋"/>
          <w:spacing w:val="-5"/>
          <w:sz w:val="30"/>
          <w:szCs w:val="30"/>
        </w:rPr>
      </w:pPr>
      <w:r>
        <w:rPr>
          <w:rFonts w:hint="eastAsia" w:ascii="仿宋" w:hAnsi="仿宋" w:eastAsia="仿宋" w:cs="仿宋"/>
          <w:spacing w:val="-5"/>
          <w:sz w:val="30"/>
          <w:szCs w:val="30"/>
        </w:rPr>
        <w:t>本年收入决算总计10659.26万元，其中：一般公共预算财政拨款10223.49万元，政府性基金预算财政拨款229.49万元，其他收入206.27万元。2024年支出决算数总计10475.33万元，其中基本支出493.33万元，项目支出9981.99万元。</w:t>
      </w:r>
    </w:p>
    <w:p w14:paraId="24C96C03">
      <w:pPr>
        <w:pStyle w:val="3"/>
        <w:keepNext w:val="0"/>
        <w:keepLines w:val="0"/>
        <w:pageBreakBefore w:val="0"/>
        <w:widowControl w:val="0"/>
        <w:numPr>
          <w:ilvl w:val="0"/>
          <w:numId w:val="0"/>
        </w:numPr>
        <w:kinsoku/>
        <w:wordWrap/>
        <w:overflowPunct/>
        <w:topLinePunct w:val="0"/>
        <w:autoSpaceDE/>
        <w:autoSpaceDN/>
        <w:bidi w:val="0"/>
        <w:adjustRightInd/>
        <w:snapToGrid/>
        <w:spacing w:before="190" w:line="500" w:lineRule="exact"/>
        <w:ind w:leftChars="200" w:right="571" w:rightChars="272"/>
        <w:textAlignment w:val="auto"/>
        <w:rPr>
          <w:rFonts w:hint="eastAsia" w:ascii="仿宋" w:hAnsi="仿宋" w:eastAsia="仿宋" w:cs="仿宋"/>
          <w:spacing w:val="-5"/>
          <w:sz w:val="30"/>
          <w:szCs w:val="30"/>
        </w:rPr>
      </w:pPr>
      <w:r>
        <w:rPr>
          <w:rFonts w:hint="eastAsia" w:ascii="仿宋" w:hAnsi="仿宋" w:eastAsia="仿宋" w:cs="仿宋"/>
          <w:spacing w:val="-5"/>
          <w:sz w:val="30"/>
          <w:szCs w:val="30"/>
        </w:rPr>
        <w:t>较 2023年有所增加，因2024年进行养老机构撤并改革及开云镇、白果镇两所中心敬老院建设，项目支出有所增加。</w:t>
      </w:r>
    </w:p>
    <w:p w14:paraId="7FCEA333">
      <w:pPr>
        <w:pStyle w:val="3"/>
        <w:keepNext w:val="0"/>
        <w:keepLines w:val="0"/>
        <w:pageBreakBefore w:val="0"/>
        <w:widowControl w:val="0"/>
        <w:numPr>
          <w:ilvl w:val="0"/>
          <w:numId w:val="0"/>
        </w:numPr>
        <w:kinsoku/>
        <w:wordWrap/>
        <w:overflowPunct/>
        <w:topLinePunct w:val="0"/>
        <w:autoSpaceDE/>
        <w:autoSpaceDN/>
        <w:bidi w:val="0"/>
        <w:adjustRightInd/>
        <w:snapToGrid/>
        <w:spacing w:before="190" w:line="500" w:lineRule="exact"/>
        <w:ind w:leftChars="200" w:right="571" w:rightChars="272"/>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val="en-US" w:eastAsia="zh-CN"/>
        </w:rPr>
        <w:t>3</w:t>
      </w:r>
      <w:r>
        <w:rPr>
          <w:rFonts w:hint="eastAsia" w:ascii="仿宋" w:hAnsi="仿宋" w:eastAsia="仿宋" w:cs="仿宋"/>
          <w:spacing w:val="-5"/>
          <w:sz w:val="30"/>
          <w:szCs w:val="30"/>
        </w:rPr>
        <w:t>、重点经济分类支出执行情况</w:t>
      </w:r>
    </w:p>
    <w:p w14:paraId="5A3EDF5A">
      <w:pPr>
        <w:pStyle w:val="3"/>
        <w:keepNext w:val="0"/>
        <w:keepLines w:val="0"/>
        <w:pageBreakBefore w:val="0"/>
        <w:widowControl w:val="0"/>
        <w:numPr>
          <w:ilvl w:val="0"/>
          <w:numId w:val="0"/>
        </w:numPr>
        <w:kinsoku/>
        <w:wordWrap/>
        <w:overflowPunct/>
        <w:topLinePunct w:val="0"/>
        <w:autoSpaceDE/>
        <w:autoSpaceDN/>
        <w:bidi w:val="0"/>
        <w:adjustRightInd/>
        <w:snapToGrid/>
        <w:spacing w:before="190" w:line="500" w:lineRule="exact"/>
        <w:ind w:leftChars="200" w:right="571" w:rightChars="272"/>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一</w:t>
      </w:r>
      <w:r>
        <w:rPr>
          <w:rFonts w:hint="eastAsia" w:ascii="仿宋" w:hAnsi="仿宋" w:eastAsia="仿宋" w:cs="仿宋"/>
          <w:spacing w:val="-5"/>
          <w:sz w:val="30"/>
          <w:szCs w:val="30"/>
          <w:lang w:eastAsia="zh-CN"/>
        </w:rPr>
        <w:t>）</w:t>
      </w:r>
      <w:r>
        <w:rPr>
          <w:rFonts w:hint="eastAsia" w:ascii="仿宋" w:hAnsi="仿宋" w:eastAsia="仿宋" w:cs="仿宋"/>
          <w:spacing w:val="-5"/>
          <w:sz w:val="30"/>
          <w:szCs w:val="30"/>
        </w:rPr>
        <w:t>、“三公”经费支出情况：2024年“三公”经费预算数为4万元，其中：公务用车购置及运行维护费3万元，公务接待费1万元。2024年“三公”经费实际支出数为4.38万元，其中：公务用车购置及运行维护费3.27万元，公务接待费1.1万元。</w:t>
      </w:r>
    </w:p>
    <w:p w14:paraId="6B5CA819">
      <w:pPr>
        <w:pStyle w:val="3"/>
        <w:keepNext w:val="0"/>
        <w:keepLines w:val="0"/>
        <w:pageBreakBefore w:val="0"/>
        <w:widowControl w:val="0"/>
        <w:numPr>
          <w:ilvl w:val="0"/>
          <w:numId w:val="0"/>
        </w:numPr>
        <w:kinsoku/>
        <w:wordWrap/>
        <w:overflowPunct/>
        <w:topLinePunct w:val="0"/>
        <w:autoSpaceDE/>
        <w:autoSpaceDN/>
        <w:bidi w:val="0"/>
        <w:adjustRightInd/>
        <w:snapToGrid/>
        <w:spacing w:before="190" w:line="500" w:lineRule="exact"/>
        <w:ind w:leftChars="200" w:right="571" w:rightChars="272"/>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二</w:t>
      </w:r>
      <w:r>
        <w:rPr>
          <w:rFonts w:hint="eastAsia" w:ascii="仿宋" w:hAnsi="仿宋" w:eastAsia="仿宋" w:cs="仿宋"/>
          <w:spacing w:val="-5"/>
          <w:sz w:val="30"/>
          <w:szCs w:val="30"/>
          <w:lang w:eastAsia="zh-CN"/>
        </w:rPr>
        <w:t>）</w:t>
      </w:r>
      <w:r>
        <w:rPr>
          <w:rFonts w:hint="eastAsia" w:ascii="仿宋" w:hAnsi="仿宋" w:eastAsia="仿宋" w:cs="仿宋"/>
          <w:spacing w:val="-5"/>
          <w:sz w:val="30"/>
          <w:szCs w:val="30"/>
        </w:rPr>
        <w:t>、培训费支出情况：本年度培训费支出10.23万元。</w:t>
      </w:r>
    </w:p>
    <w:p w14:paraId="22E038A3">
      <w:pPr>
        <w:pStyle w:val="3"/>
        <w:keepNext w:val="0"/>
        <w:keepLines w:val="0"/>
        <w:pageBreakBefore w:val="0"/>
        <w:widowControl w:val="0"/>
        <w:numPr>
          <w:ilvl w:val="0"/>
          <w:numId w:val="0"/>
        </w:numPr>
        <w:kinsoku/>
        <w:wordWrap/>
        <w:overflowPunct/>
        <w:topLinePunct w:val="0"/>
        <w:autoSpaceDE/>
        <w:autoSpaceDN/>
        <w:bidi w:val="0"/>
        <w:adjustRightInd/>
        <w:snapToGrid/>
        <w:spacing w:before="190" w:line="500" w:lineRule="exact"/>
        <w:ind w:leftChars="200" w:right="571" w:rightChars="272"/>
        <w:textAlignment w:val="auto"/>
        <w:rPr>
          <w:rFonts w:hint="eastAsia" w:ascii="仿宋" w:hAnsi="仿宋" w:eastAsia="仿宋" w:cs="仿宋"/>
          <w:spacing w:val="-5"/>
          <w:sz w:val="30"/>
          <w:szCs w:val="30"/>
        </w:rPr>
      </w:pPr>
      <w:r>
        <w:rPr>
          <w:rFonts w:hint="eastAsia"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三</w:t>
      </w:r>
      <w:r>
        <w:rPr>
          <w:rFonts w:hint="eastAsia" w:ascii="仿宋" w:hAnsi="仿宋" w:eastAsia="仿宋" w:cs="仿宋"/>
          <w:spacing w:val="-5"/>
          <w:sz w:val="30"/>
          <w:szCs w:val="30"/>
          <w:lang w:eastAsia="zh-CN"/>
        </w:rPr>
        <w:t>）</w:t>
      </w:r>
      <w:r>
        <w:rPr>
          <w:rFonts w:hint="eastAsia" w:ascii="仿宋" w:hAnsi="仿宋" w:eastAsia="仿宋" w:cs="仿宋"/>
          <w:spacing w:val="-5"/>
          <w:sz w:val="30"/>
          <w:szCs w:val="30"/>
        </w:rPr>
        <w:t>、会议费支出情况：本年度无会议费支出。</w:t>
      </w:r>
    </w:p>
    <w:p w14:paraId="16EA6D45">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b/>
          <w:bCs/>
          <w:spacing w:val="-4"/>
          <w:sz w:val="30"/>
          <w:szCs w:val="30"/>
        </w:rPr>
      </w:pPr>
      <w:r>
        <w:rPr>
          <w:rFonts w:hint="eastAsia" w:ascii="仿宋" w:hAnsi="仿宋" w:eastAsia="仿宋" w:cs="仿宋"/>
          <w:b/>
          <w:bCs/>
          <w:spacing w:val="-4"/>
          <w:sz w:val="30"/>
          <w:szCs w:val="30"/>
          <w:lang w:val="en-US" w:eastAsia="zh-CN"/>
        </w:rPr>
        <w:t>三、</w:t>
      </w:r>
      <w:r>
        <w:rPr>
          <w:rFonts w:hint="eastAsia" w:ascii="仿宋" w:hAnsi="仿宋" w:eastAsia="仿宋" w:cs="仿宋"/>
          <w:b/>
          <w:bCs/>
          <w:spacing w:val="-4"/>
          <w:sz w:val="30"/>
          <w:szCs w:val="30"/>
        </w:rPr>
        <w:t>主要工作情况及措施</w:t>
      </w:r>
    </w:p>
    <w:p w14:paraId="50A20166">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（一）持续有力推进民生兜底保障</w:t>
      </w:r>
    </w:p>
    <w:p w14:paraId="58476467">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是强化社会救助规范管理，兜底保障更加精准。建立监测数据库，实行动态管理，做到进出有序，及时救助。实行“逢进必核”，强化居民家庭收入核对，建立系统核对和手工核对并行工作机制，确保社会救助对象认定准确、高效、公正，做到精准救助。全年累计新增城乡低保对象684人，退出523人，新增分散特困供养对象172人。</w:t>
      </w:r>
    </w:p>
    <w:p w14:paraId="4B933F09">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是推进政府购买服务工作，全自理分散特困人员照料护理服务更加专业。与第三方养老中心签订全自理分散供养特困人员日常生活照料服务协议，确保全自理分散供养特困人员每个月能享受到洗衣被、理发、谈心陪伴等关怀服务。开发了服务专用APP，建立每月服务台账，并对服务对象进行走访，确保服务落实到位。</w:t>
      </w:r>
    </w:p>
    <w:p w14:paraId="12937BE5">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是开展送政策下乡，基层民政服务能力更加专业。为进一步加强民政队伍建设，提高乡镇、村（社区）民政专干的政策水平和业务能力，11月-12月，我局相关业务骨干成立专班下沉到乡镇送政策下乡，对乡镇、村（社区）民政工作人员进行政策和业务培训，现场答疑解惑，有针对性地解决具体问题。通过此次培训，既宣传了最新救助政策，又提升了镇村两级民政干部的政策理论水平、业务能力和服务本领，为实施社会救助精准化、规范化提供了有力保障。</w:t>
      </w:r>
    </w:p>
    <w:p w14:paraId="4D583DA9">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（二）逐步完善养老服务体系</w:t>
      </w:r>
    </w:p>
    <w:p w14:paraId="3100B954">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是抓好养老服务重点民生实事。因地制宜，结合实际，积极推进老年助餐服务点建设，建成助餐服务点3个，其中白果镇岳北村老年服务驿站获得群众的高度肯定和赞扬，并且央视财经在《经济半小时》栏目中进行了播报，《湖南日报》10月17日进行了刊发，10月23日河南省商丘市委深改办一行到白果镇岳北村进行了考察调研。实施特殊困难老年人家庭适老化改造，按照“一户一策”，根据困难老人家庭实际情况，合理实施改造，共完成176户改造任务。</w:t>
      </w:r>
    </w:p>
    <w:p w14:paraId="649E4BD9">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是推进养老设施建设。积极争取上级资金，实施萱洲镇敬老院提质改造项目和社会福利院消防设施升级，并积极包装衡山县综合养老服务能力提升项目（从2023年11月至2025年10月在我县12个乡镇建设/改扩建综合性养老服务中心），得到县发改局的高度认可和重视。</w:t>
      </w:r>
    </w:p>
    <w:p w14:paraId="56288DA5">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是落实关爱服务。精准落实养老保障政策，实行动态管理，对全县高龄老人和百岁老人进行核查，并发放津贴80万余元。实施政府购买居家养老服务，为特困供养对象、低保对象、贫困户等全失能、半失能老年人提供上门理发、洗被服、搞卫生等服务，今年为711人购买居家养老服务。推动困难失能老人集中照护服务工作，为贯彻落实《衡阳市民政局、财政局关于做好经济困难失能老年人集中照护服务工作实施方案》精神，我局组织对全县经济困难失能老人进行了能力评估认定，评估人数349人，初步满足了有意愿入住养老机构的经济困难失能老年人集中照护服务需求，明显减轻了其家庭照护压力，切实增强了经济困难失能老年人及其家庭的获得感、幸福感和安全感。</w:t>
      </w:r>
    </w:p>
    <w:p w14:paraId="460E6908">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四是强化对养老机构监管力度。抓紧抓牢养老机构安全管理工作，积极组织安全生产培训，开展消防演练，确保全年无安全生产事故发生。切实保障特困人员集中供养服务机构运转，共放发特困供养机构运转经费、生活费、电价补贴、护理补贴等共700余万元。稳步推进公办敬老院县级统筹管理工作，经前期摸底调查、制定了《衡山县乡镇敬老院实行县级统筹统管的工作方案》，并在县政府常务会议上专题研究部署，目前稳步推进中，预计12月底完成县级统筹统管工作。</w:t>
      </w:r>
    </w:p>
    <w:p w14:paraId="2F49F51C">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（三）逐渐提升儿童福利水平</w:t>
      </w:r>
    </w:p>
    <w:p w14:paraId="50AEBC86">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是切实兜住、兜准、兜牢困境儿童基本权益保障底线。将社会散居孤儿基本生活费最低保障标准提高到1150元/月，集中供养孤儿基本生活费最低保障标准提高到1600元/月，事实无人抚养儿童、艾滋病病毒感染儿童参照孤儿标准同等保障。1-12月，全县散居孤儿生活费累计发放571人次，发放资金65.895万元；事实无人抚养儿童生活费累计发放2195人次，发放资金192.838万元。对18岁以上还在全日制中专、大专、大学、本科学校学习的孤儿开展福彩孤儿助学活动，助学标准为1万元/人/年，按季度发放，累计发放61人次，发放助学金15.6668万元。</w:t>
      </w:r>
    </w:p>
    <w:p w14:paraId="5D5655DB">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是积极开展各类关爱慰问活动。联合衡山县阳光心理咨询服务中心及其下属各乡镇基层社工站开展了一系列针对孤儿、事实无人抚养儿童、留守儿童、贫困儿童的慰问、关爱、教育活动，并对个别特殊儿童进行了心理辅导，开展各类活动共37场。开展春节、六一慰问帮扶，共慰问528人，发放慰问金23.6万元。发放孤儿、事实无人抚养儿童一次性生活补贴210人，发放资金21万元。</w:t>
      </w:r>
    </w:p>
    <w:p w14:paraId="054A6144">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是强化未保工作。加强动态管理，督促各村（居）儿童主任摸清本辖区内特殊儿童的底数，按时开展走访帮扶，并按“一人一档”要求做好台账资料。开展督查考核，对全县12个乡镇村（居）儿童主任履职情况进行了督查，督促乡镇儿童督导员、村（居）儿童主任落实工作责任，扎实开展“利剑护蕾·雷霆行动”相关工作。强化队伍建设，举办了2024年度全县儿童主任培训班，参训人数达200人，切实提高了全县未保工作队伍能力素养。</w:t>
      </w:r>
    </w:p>
    <w:p w14:paraId="275C79C7">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四是做好农村留守儿童、流动儿童的信息管理。以村居为单位，在各自村居内开展“横到边、纵到底，不漏一人”的拉网式排查，并积极与县教育局、县公安局人口出入境大队等部门交流互通、信息共享，做到底数清、情况明，确保填报数据准确性、真实性、可靠性。对符合救助条件的留守儿童和流动儿童情况及时进行申报。目前我县在“全国儿童福利信息系统”已录入679名留守儿童基本信息，1921名流动儿童基本信息。</w:t>
      </w:r>
    </w:p>
    <w:p w14:paraId="09AF3AB3">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（四）有力发挥社会组织作用</w:t>
      </w:r>
    </w:p>
    <w:p w14:paraId="6C80934A">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是严格落实社会组织管理。截至目前，衡山县登记在册的社会组织共169家，社会团体67家，民办非企业102家。2024年，新成立登记社会团体2家，变更登记14家，撤销登记9家。年检参检率87.4%，其中，年检合格的社会组织104家，基本合格的26家，年检不合格的37家。联合县委统战部、县民宗局开展的排查行动，查处取缔非法社会组织2家。</w:t>
      </w:r>
    </w:p>
    <w:p w14:paraId="431A6F04">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是引导社会组织积极响应国家乡村振兴战略。衡山县水果协会、衡山县永和乡贤会、衡山县茶业协会等社会组织充分发挥自身优势，帮助脱贫地区农副产品采购帮销，直接采购金额达21.6万元，累计帮助销售金额达102.83万元，帮助脱贫地区销售旅游等服务金额46.6万元。</w:t>
      </w:r>
    </w:p>
    <w:p w14:paraId="6CAA3831">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（五）不断优化基本社会服务</w:t>
      </w:r>
    </w:p>
    <w:p w14:paraId="77C70BE7">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一是持续推进残疾人福利工作。提高残疾人“两项补贴”标准并及时足额发放，由每人80元/月提高到90元/月，全年累计发放困难残疾人生活补贴231.768万元，重度残疾人护理补贴655.119万元。</w:t>
      </w:r>
    </w:p>
    <w:p w14:paraId="3513F11D">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是保障流浪乞讨人员能够得到及时有效的救助。积极推进新救助站附属工程建设，于8月31日正式建成投入使用，救助水平极大提升。积极开展“夏季送清凉”、“寒冬送温暖”专项行动，确保流浪乞讨人员得到及时有效的救助，县救助站共计接待、救助、处理各类受助对象323人次，其中街面救助17人次，寻亲成功19人次，医疗救助4人次，护送返乡12人次。</w:t>
      </w:r>
    </w:p>
    <w:p w14:paraId="2E753021">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是做好婚姻登记工作。共办理结婚登记1242对、离婚冷静期受理782对、办理离婚登记423对、补发结婚证434对、补办结婚证1对、补发离婚证63对，登记合格率达100%。充分发挥好婚调委工作职能，采取主动提前介入法，耐心细致的做好家庭矛盾纠纷调解工作。对特殊情况婚姻矛盾纠纷采取全程跟踪，及时与当地村（居）委取得联系，密切配合做好化解工作。全年共成功调解82对，有效维护了家庭的和谐与社会的稳定，</w:t>
      </w:r>
    </w:p>
    <w:p w14:paraId="22FF0ADB">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四是持续推动殡葬改革。强化政策宣传，充分利用广播、电视、网络等宣传载体，广泛宣传殡葬改革成效，引导群众移风易俗丧葬简办。做好县殡仪馆的运营管理，落实惠民减免政策，共完成遗体接运544具，火化499具，上缴财政250万元，惠民补贴减免人数356人，减免殡葬惠民资金达41.61万元。</w:t>
      </w:r>
    </w:p>
    <w:p w14:paraId="37DE83AD">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（六）不断扩大福彩公益和慈善品牌影响力</w:t>
      </w:r>
    </w:p>
    <w:p w14:paraId="76C5CBC4">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是福彩公益事业健康发展。紧紧围绕市场需求，积极调整销售策略，加大市场开拓力度，销售业绩稳步提升，共销售彩票1729.5万元，新渠道建福潮店7家。积极响应国家号召，不断加大公益事业的投入力度，通过与社会各界的紧密合作，开展了“福泽潇湘为梦加油”助学活动等公益项目，为弱势群体提供了实实在在的帮助。</w:t>
      </w:r>
    </w:p>
    <w:p w14:paraId="6B1C6200">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是慈善事业再上新台阶。紧紧围绕“人人慈善”工作主线，立足公益，面向社会，积极开展慰问、助学、助力乡村振兴、“慈善一日捐”等各类活动，不断拓宽慈善募捐渠道，广泛宣传慈善文化，及时救助社会困难群众，全年共募集善款239.6万元，慈善资金支出159.66万元，物资支出8万元。</w:t>
      </w:r>
    </w:p>
    <w:p w14:paraId="451D45B5">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b/>
          <w:bCs/>
          <w:spacing w:val="-4"/>
          <w:sz w:val="30"/>
          <w:szCs w:val="30"/>
        </w:rPr>
      </w:pPr>
      <w:r>
        <w:rPr>
          <w:rFonts w:hint="eastAsia" w:ascii="仿宋" w:hAnsi="仿宋" w:eastAsia="仿宋" w:cs="仿宋"/>
          <w:b/>
          <w:bCs/>
          <w:spacing w:val="-4"/>
          <w:sz w:val="30"/>
          <w:szCs w:val="30"/>
          <w:lang w:val="en-US" w:eastAsia="zh-CN"/>
        </w:rPr>
        <w:t>四、</w:t>
      </w:r>
      <w:r>
        <w:rPr>
          <w:rFonts w:hint="eastAsia" w:ascii="仿宋" w:hAnsi="仿宋" w:eastAsia="仿宋" w:cs="仿宋"/>
          <w:b/>
          <w:bCs/>
          <w:spacing w:val="-4"/>
          <w:sz w:val="30"/>
          <w:szCs w:val="30"/>
        </w:rPr>
        <w:t>存在的问题及建议</w:t>
      </w:r>
    </w:p>
    <w:p w14:paraId="52B957C5">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1、提高认识，加强部门决算管理是一项非常重要的工作，是单位当年经济活动的总结，也是对当年预算执行情况的总结，</w:t>
      </w:r>
      <w:r>
        <w:rPr>
          <w:rFonts w:hint="eastAsia" w:ascii="仿宋" w:hAnsi="仿宋" w:eastAsia="仿宋" w:cs="仿宋"/>
          <w:spacing w:val="-4"/>
          <w:sz w:val="30"/>
          <w:szCs w:val="30"/>
        </w:rPr>
        <w:tab/>
      </w:r>
      <w:r>
        <w:rPr>
          <w:rFonts w:hint="eastAsia" w:ascii="仿宋" w:hAnsi="仿宋" w:eastAsia="仿宋" w:cs="仿宋"/>
          <w:spacing w:val="-4"/>
          <w:sz w:val="30"/>
          <w:szCs w:val="30"/>
        </w:rPr>
        <w:t>要对外披露的单位年度报表，填报单位要对本单位填报的数据真实性、完整性负责。单位应加大对部门决算编制工作的重视程度，充分认识部门决算编制工作的重要性，为部门决算编制工作提供有力保障。部门决算编制人员应在理念上对决算工作提高重视，本着严谨、求实的工作态度，认真求证、科学合理、真实有效地完成部门决算编制工作。使部门决算能够充分发挥年度总结和提供参考的重要作用。</w:t>
      </w:r>
    </w:p>
    <w:p w14:paraId="5DB2C473">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2、加强学习，增强编制人员综合素质，部门决算编制中的编是杜撰，不是为了完成编制任务而随意的填写。不能为了编而编，为了平衡而去平衡，随意更改财务数据及其他相关数据。部门决算编制人员要充分理解部门决算的编制意义，掌握部门决算的编制方法与要求，依据单位实际情况，编制出科学合理、真实有效的部门决算。</w:t>
      </w:r>
    </w:p>
    <w:p w14:paraId="1BB4F430">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3、夯实基础，提升会计核算质量会计信息质量是编制出高质量的部门决算的重要基础。会计信息质量的高低与会计核算质量惠息相关。会计核算质量提升途径主要包括提高财务人员会计核算能力、会计信息力求账实相符两个方面。(1)提高财务人员会计核算能力。财务人员应当提高财务专业知识及自身综合素质，要对本单位的职能工作和经济活动有全盘了解，能够及时取得经济活动有效凭据，并进行正确的账务处理，有效反映单位经济活动整体情况。(2)会计信息力求账实相符。单位在日常活动中，应加强对经济活动有效管理。无论是资产的增加、减少等变动信息还是收入与支出的发生与记录，都应及时取得相关凭据，准确进行账务处理，做到账账相符、账证相符、账表相符、账实相符。</w:t>
      </w:r>
    </w:p>
    <w:p w14:paraId="08A9F92E">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b/>
          <w:bCs/>
          <w:spacing w:val="-4"/>
          <w:sz w:val="30"/>
          <w:szCs w:val="30"/>
        </w:rPr>
      </w:pPr>
      <w:r>
        <w:rPr>
          <w:rFonts w:hint="eastAsia" w:ascii="仿宋" w:hAnsi="仿宋" w:eastAsia="仿宋" w:cs="仿宋"/>
          <w:b/>
          <w:bCs/>
          <w:spacing w:val="-4"/>
          <w:sz w:val="30"/>
          <w:szCs w:val="30"/>
          <w:lang w:val="en-US" w:eastAsia="zh-CN"/>
        </w:rPr>
        <w:t>五、</w:t>
      </w:r>
      <w:r>
        <w:rPr>
          <w:rFonts w:hint="eastAsia" w:ascii="仿宋" w:hAnsi="仿宋" w:eastAsia="仿宋" w:cs="仿宋"/>
          <w:b/>
          <w:bCs/>
          <w:spacing w:val="-4"/>
          <w:sz w:val="30"/>
          <w:szCs w:val="30"/>
        </w:rPr>
        <w:t xml:space="preserve"> </w:t>
      </w:r>
      <w:r>
        <w:rPr>
          <w:rFonts w:hint="eastAsia" w:ascii="仿宋" w:hAnsi="仿宋" w:eastAsia="仿宋" w:cs="仿宋"/>
          <w:b/>
          <w:bCs/>
          <w:spacing w:val="-4"/>
          <w:sz w:val="30"/>
          <w:szCs w:val="30"/>
          <w:lang w:val="en-US" w:eastAsia="zh-CN"/>
        </w:rPr>
        <w:t>下一步</w:t>
      </w:r>
      <w:r>
        <w:rPr>
          <w:rFonts w:hint="eastAsia" w:ascii="仿宋" w:hAnsi="仿宋" w:eastAsia="仿宋" w:cs="仿宋"/>
          <w:b/>
          <w:bCs/>
          <w:spacing w:val="-4"/>
          <w:sz w:val="30"/>
          <w:szCs w:val="30"/>
        </w:rPr>
        <w:t>工作</w:t>
      </w:r>
      <w:r>
        <w:rPr>
          <w:rFonts w:hint="eastAsia" w:ascii="仿宋" w:hAnsi="仿宋" w:eastAsia="仿宋" w:cs="仿宋"/>
          <w:b/>
          <w:bCs/>
          <w:spacing w:val="-4"/>
          <w:sz w:val="30"/>
          <w:szCs w:val="30"/>
          <w:lang w:val="en-US" w:eastAsia="zh-CN"/>
        </w:rPr>
        <w:t>计划及</w:t>
      </w:r>
      <w:r>
        <w:rPr>
          <w:rFonts w:hint="eastAsia" w:ascii="仿宋" w:hAnsi="仿宋" w:eastAsia="仿宋" w:cs="仿宋"/>
          <w:b/>
          <w:bCs/>
          <w:spacing w:val="-4"/>
          <w:sz w:val="30"/>
          <w:szCs w:val="30"/>
        </w:rPr>
        <w:t>思路</w:t>
      </w:r>
    </w:p>
    <w:p w14:paraId="3A2F79E7">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1、继续做好单位财务会计相关工作，把有限的资金用在最必要的地方，施展资金的最大效益。</w:t>
      </w:r>
    </w:p>
    <w:p w14:paraId="19B4377B">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2、树立严格的内部节制制度，发挥内部控制制度的作用。</w:t>
      </w:r>
    </w:p>
    <w:p w14:paraId="50FF92F8">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3、继承增强财务知识的学习、培训，进一步提高自身的思想素质、业务素质。</w:t>
      </w:r>
    </w:p>
    <w:p w14:paraId="21EC9E66">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p>
    <w:p w14:paraId="41624899">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 xml:space="preserve">                                      衡山县民政局</w:t>
      </w:r>
    </w:p>
    <w:p w14:paraId="2B95B900">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 xml:space="preserve">                                     202</w:t>
      </w:r>
      <w:r>
        <w:rPr>
          <w:rFonts w:hint="eastAsia" w:ascii="仿宋" w:hAnsi="仿宋" w:eastAsia="仿宋" w:cs="仿宋"/>
          <w:spacing w:val="-4"/>
          <w:sz w:val="30"/>
          <w:szCs w:val="30"/>
          <w:lang w:val="en-US" w:eastAsia="zh-CN"/>
        </w:rPr>
        <w:t>5</w:t>
      </w:r>
      <w:r>
        <w:rPr>
          <w:rFonts w:hint="eastAsia" w:ascii="仿宋" w:hAnsi="仿宋" w:eastAsia="仿宋" w:cs="仿宋"/>
          <w:spacing w:val="-4"/>
          <w:sz w:val="30"/>
          <w:szCs w:val="30"/>
        </w:rPr>
        <w:t>年</w:t>
      </w:r>
      <w:r>
        <w:rPr>
          <w:rFonts w:hint="eastAsia" w:ascii="仿宋" w:hAnsi="仿宋" w:eastAsia="仿宋" w:cs="仿宋"/>
          <w:spacing w:val="-4"/>
          <w:sz w:val="30"/>
          <w:szCs w:val="30"/>
          <w:lang w:val="en-US" w:eastAsia="zh-CN"/>
        </w:rPr>
        <w:t>6</w:t>
      </w:r>
      <w:r>
        <w:rPr>
          <w:rFonts w:hint="eastAsia" w:ascii="仿宋" w:hAnsi="仿宋" w:eastAsia="仿宋" w:cs="仿宋"/>
          <w:spacing w:val="-4"/>
          <w:sz w:val="30"/>
          <w:szCs w:val="30"/>
        </w:rPr>
        <w:t>月</w:t>
      </w:r>
      <w:r>
        <w:rPr>
          <w:rFonts w:hint="eastAsia" w:ascii="仿宋" w:hAnsi="仿宋" w:eastAsia="仿宋" w:cs="仿宋"/>
          <w:spacing w:val="-4"/>
          <w:sz w:val="30"/>
          <w:szCs w:val="30"/>
          <w:lang w:val="en-US" w:eastAsia="zh-CN"/>
        </w:rPr>
        <w:t>1</w:t>
      </w:r>
      <w:r>
        <w:rPr>
          <w:rFonts w:hint="eastAsia" w:ascii="仿宋" w:hAnsi="仿宋" w:eastAsia="仿宋" w:cs="仿宋"/>
          <w:spacing w:val="-4"/>
          <w:sz w:val="30"/>
          <w:szCs w:val="30"/>
        </w:rPr>
        <w:t>6日</w:t>
      </w:r>
    </w:p>
    <w:p w14:paraId="0150C3C8">
      <w:pPr>
        <w:pStyle w:val="3"/>
        <w:keepNext w:val="0"/>
        <w:keepLines w:val="0"/>
        <w:pageBreakBefore w:val="0"/>
        <w:widowControl w:val="0"/>
        <w:kinsoku/>
        <w:wordWrap/>
        <w:overflowPunct/>
        <w:topLinePunct w:val="0"/>
        <w:autoSpaceDE/>
        <w:autoSpaceDN/>
        <w:bidi w:val="0"/>
        <w:adjustRightInd/>
        <w:snapToGrid/>
        <w:spacing w:line="500" w:lineRule="exact"/>
        <w:ind w:left="420" w:leftChars="200" w:right="714" w:rightChars="340" w:firstLine="0" w:firstLineChars="0"/>
        <w:textAlignment w:val="auto"/>
        <w:rPr>
          <w:rFonts w:hint="eastAsia" w:ascii="仿宋" w:hAnsi="仿宋" w:eastAsia="仿宋" w:cs="仿宋"/>
          <w:spacing w:val="-4"/>
          <w:sz w:val="30"/>
          <w:szCs w:val="30"/>
        </w:rPr>
      </w:pPr>
    </w:p>
    <w:p w14:paraId="1E5C6DD7">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pacing w:val="-4"/>
          <w:sz w:val="30"/>
          <w:szCs w:val="30"/>
        </w:rPr>
      </w:pPr>
    </w:p>
    <w:p w14:paraId="3AB10568">
      <w:pPr>
        <w:pStyle w:val="3"/>
        <w:keepNext w:val="0"/>
        <w:keepLines w:val="0"/>
        <w:pageBreakBefore w:val="0"/>
        <w:widowControl w:val="0"/>
        <w:kinsoku/>
        <w:wordWrap/>
        <w:overflowPunct/>
        <w:topLinePunct w:val="0"/>
        <w:autoSpaceDE/>
        <w:autoSpaceDN/>
        <w:bidi w:val="0"/>
        <w:adjustRightInd/>
        <w:snapToGrid/>
        <w:spacing w:line="500" w:lineRule="exact"/>
        <w:ind w:left="1431"/>
        <w:textAlignment w:val="auto"/>
        <w:rPr>
          <w:rFonts w:hint="eastAsia" w:ascii="仿宋" w:hAnsi="仿宋" w:eastAsia="仿宋" w:cs="仿宋"/>
          <w:spacing w:val="-4"/>
          <w:sz w:val="30"/>
          <w:szCs w:val="30"/>
        </w:rPr>
      </w:pPr>
    </w:p>
    <w:p w14:paraId="748F2D1C">
      <w:pPr>
        <w:pStyle w:val="3"/>
        <w:keepNext w:val="0"/>
        <w:keepLines w:val="0"/>
        <w:pageBreakBefore w:val="0"/>
        <w:widowControl w:val="0"/>
        <w:kinsoku/>
        <w:wordWrap/>
        <w:overflowPunct/>
        <w:topLinePunct w:val="0"/>
        <w:autoSpaceDE/>
        <w:autoSpaceDN/>
        <w:bidi w:val="0"/>
        <w:adjustRightInd/>
        <w:snapToGrid/>
        <w:spacing w:line="500" w:lineRule="exact"/>
        <w:ind w:left="359" w:leftChars="171" w:right="928" w:rightChars="442" w:firstLine="0" w:firstLineChars="0"/>
        <w:textAlignment w:val="auto"/>
        <w:rPr>
          <w:rFonts w:hint="eastAsia" w:ascii="仿宋" w:hAnsi="仿宋" w:eastAsia="仿宋" w:cs="仿宋"/>
          <w:sz w:val="30"/>
          <w:szCs w:val="30"/>
        </w:rPr>
      </w:pPr>
      <w:r>
        <w:rPr>
          <w:rFonts w:hint="eastAsia" w:ascii="仿宋" w:hAnsi="仿宋" w:eastAsia="仿宋" w:cs="仿宋"/>
          <w:spacing w:val="-4"/>
          <w:sz w:val="30"/>
          <w:szCs w:val="30"/>
        </w:rPr>
        <w:t>附件：1</w:t>
      </w:r>
      <w:r>
        <w:rPr>
          <w:rFonts w:hint="eastAsia" w:ascii="仿宋" w:hAnsi="仿宋" w:eastAsia="仿宋" w:cs="仿宋"/>
          <w:spacing w:val="-5"/>
          <w:sz w:val="30"/>
          <w:szCs w:val="30"/>
        </w:rPr>
        <w:t>、部门整体支出绩效评价基础数据表</w:t>
      </w:r>
    </w:p>
    <w:p w14:paraId="7509D4DF">
      <w:pPr>
        <w:pStyle w:val="3"/>
        <w:keepNext w:val="0"/>
        <w:keepLines w:val="0"/>
        <w:pageBreakBefore w:val="0"/>
        <w:widowControl w:val="0"/>
        <w:kinsoku/>
        <w:wordWrap/>
        <w:overflowPunct/>
        <w:topLinePunct w:val="0"/>
        <w:autoSpaceDE/>
        <w:autoSpaceDN/>
        <w:bidi w:val="0"/>
        <w:adjustRightInd/>
        <w:snapToGrid/>
        <w:spacing w:before="190" w:line="500" w:lineRule="exact"/>
        <w:ind w:left="1369" w:leftChars="652" w:firstLine="0" w:firstLineChars="0"/>
        <w:textAlignment w:val="auto"/>
        <w:rPr>
          <w:rFonts w:hint="eastAsia" w:ascii="仿宋" w:hAnsi="仿宋" w:eastAsia="仿宋" w:cs="仿宋"/>
          <w:sz w:val="30"/>
          <w:szCs w:val="30"/>
        </w:rPr>
      </w:pPr>
      <w:r>
        <w:rPr>
          <w:rFonts w:hint="eastAsia" w:ascii="仿宋" w:hAnsi="仿宋" w:eastAsia="仿宋" w:cs="仿宋"/>
          <w:spacing w:val="-4"/>
          <w:sz w:val="30"/>
          <w:szCs w:val="30"/>
        </w:rPr>
        <w:t>2</w:t>
      </w:r>
      <w:r>
        <w:rPr>
          <w:rFonts w:hint="eastAsia" w:ascii="仿宋" w:hAnsi="仿宋" w:eastAsia="仿宋" w:cs="仿宋"/>
          <w:spacing w:val="-5"/>
          <w:sz w:val="30"/>
          <w:szCs w:val="30"/>
        </w:rPr>
        <w:t>、部门整体支出绩效自评表</w:t>
      </w:r>
    </w:p>
    <w:p w14:paraId="25BCCCE3">
      <w:pPr>
        <w:pStyle w:val="3"/>
        <w:keepNext w:val="0"/>
        <w:keepLines w:val="0"/>
        <w:pageBreakBefore w:val="0"/>
        <w:widowControl w:val="0"/>
        <w:kinsoku/>
        <w:wordWrap/>
        <w:overflowPunct/>
        <w:topLinePunct w:val="0"/>
        <w:autoSpaceDE/>
        <w:autoSpaceDN/>
        <w:bidi w:val="0"/>
        <w:adjustRightInd/>
        <w:snapToGrid/>
        <w:spacing w:before="190" w:line="500" w:lineRule="exact"/>
        <w:ind w:left="1369" w:leftChars="652" w:firstLine="0" w:firstLineChars="0"/>
        <w:textAlignment w:val="auto"/>
        <w:rPr>
          <w:rFonts w:hint="eastAsia" w:ascii="仿宋" w:hAnsi="仿宋" w:eastAsia="仿宋" w:cs="仿宋"/>
          <w:sz w:val="30"/>
          <w:szCs w:val="30"/>
        </w:rPr>
      </w:pPr>
      <w:r>
        <w:rPr>
          <w:rFonts w:hint="eastAsia" w:ascii="仿宋" w:hAnsi="仿宋" w:eastAsia="仿宋" w:cs="仿宋"/>
          <w:spacing w:val="-4"/>
          <w:sz w:val="30"/>
          <w:szCs w:val="30"/>
          <w:lang w:val="en-US" w:eastAsia="zh-CN"/>
        </w:rPr>
        <w:t>3</w:t>
      </w:r>
      <w:r>
        <w:rPr>
          <w:rFonts w:hint="eastAsia" w:ascii="仿宋" w:hAnsi="仿宋" w:eastAsia="仿宋" w:cs="仿宋"/>
          <w:spacing w:val="-4"/>
          <w:sz w:val="30"/>
          <w:szCs w:val="30"/>
        </w:rPr>
        <w:t>、项目支出绩效自评表（每个一级项目一张表</w:t>
      </w:r>
      <w:r>
        <w:rPr>
          <w:rFonts w:hint="eastAsia" w:ascii="仿宋" w:hAnsi="仿宋" w:eastAsia="仿宋" w:cs="仿宋"/>
          <w:spacing w:val="-10"/>
          <w:sz w:val="30"/>
          <w:szCs w:val="30"/>
        </w:rPr>
        <w:t>）</w:t>
      </w:r>
    </w:p>
    <w:p w14:paraId="0BE93A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42"/>
        <w:jc w:val="both"/>
        <w:textAlignment w:val="auto"/>
        <w:rPr>
          <w:rFonts w:hint="default"/>
          <w:spacing w:val="-5"/>
          <w:sz w:val="32"/>
          <w:szCs w:val="32"/>
          <w:lang w:val="en-US" w:eastAsia="zh-CN"/>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57EDA"/>
    <w:multiLevelType w:val="singleLevel"/>
    <w:tmpl w:val="55157E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325D5"/>
    <w:rsid w:val="09685485"/>
    <w:rsid w:val="1CE703E3"/>
    <w:rsid w:val="26D9206E"/>
    <w:rsid w:val="2739657D"/>
    <w:rsid w:val="2D393E5F"/>
    <w:rsid w:val="36CA86CD"/>
    <w:rsid w:val="42E72513"/>
    <w:rsid w:val="4AFDADA9"/>
    <w:rsid w:val="50A025FD"/>
    <w:rsid w:val="56855914"/>
    <w:rsid w:val="5D8F5999"/>
    <w:rsid w:val="5FEE5114"/>
    <w:rsid w:val="60487440"/>
    <w:rsid w:val="6CEF961D"/>
    <w:rsid w:val="ADB668DE"/>
    <w:rsid w:val="BFF325D5"/>
    <w:rsid w:val="DDBF7927"/>
    <w:rsid w:val="E96343D3"/>
    <w:rsid w:val="EFE7CC2B"/>
    <w:rsid w:val="F7EEB5A1"/>
    <w:rsid w:val="FAFF9A16"/>
    <w:rsid w:val="FEFE05BB"/>
    <w:rsid w:val="FFCFA44C"/>
    <w:rsid w:val="FFFFF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3"/>
      <w:jc w:val="center"/>
      <w:outlineLvl w:val="0"/>
    </w:pPr>
    <w:rPr>
      <w:rFonts w:ascii="宋体" w:hAnsi="宋体" w:eastAsia="宋体" w:cs="宋体"/>
      <w:sz w:val="44"/>
      <w:szCs w:val="4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宋体" w:hAnsi="宋体" w:eastAsia="宋体" w:cs="宋体"/>
      <w:lang w:val="en-US" w:eastAsia="zh-CN" w:bidi="ar-SA"/>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unhideWhenUsed/>
    <w:qFormat/>
    <w:uiPriority w:val="0"/>
    <w:tblPr>
      <w:tblStyle w:val="4"/>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1755</Words>
  <Characters>2178</Characters>
  <Lines>0</Lines>
  <Paragraphs>0</Paragraphs>
  <TotalTime>32</TotalTime>
  <ScaleCrop>false</ScaleCrop>
  <LinksUpToDate>false</LinksUpToDate>
  <CharactersWithSpaces>2297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2024-05-14T16:51:00Z</dcterms:created>
  <dc:creator>kylin</dc:creator>
  <cp:lastModifiedBy>XLY~园子</cp:lastModifiedBy>
  <cp:lastPrinted>2025-07-02T00:40:49Z</cp:lastPrinted>
  <dcterms:modified xsi:type="dcterms:W3CDTF">2025-07-02T00:49:18Z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eyJoZGlkIjoiMTVkMGNlMDk2OTI4MGYxOGE5YTg5Y2JlYzBjOTFmNTIiLCJ1c2VySWQiOiIyMjAyMDk5NDMifQ==</vt:lpwstr>
  </property>
  <property fmtid="{D5CDD505-2E9C-101B-9397-08002B2CF9AE}" pid="4" name="ICV">
    <vt:lpwstr>D5DA3B0E5184437F81162F3E72DE0F65_13</vt:lpwstr>
  </property>
</Properties>
</file>