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B0CDEF">
      <w:pPr>
        <w:jc w:val="center"/>
        <w:rPr>
          <w:rFonts w:ascii="方正小标宋_GBK" w:eastAsia="方正小标宋_GBK"/>
          <w:sz w:val="48"/>
          <w:szCs w:val="48"/>
        </w:rPr>
      </w:pPr>
      <w:r>
        <w:rPr>
          <w:rFonts w:hint="eastAsia" w:ascii="方正小标宋_GBK" w:eastAsia="方正小标宋_GBK"/>
          <w:sz w:val="48"/>
          <w:szCs w:val="48"/>
          <w:lang w:val="en-US" w:eastAsia="zh-CN"/>
        </w:rPr>
        <w:t>2024</w:t>
      </w:r>
      <w:r>
        <w:rPr>
          <w:rFonts w:hint="eastAsia" w:ascii="方正小标宋_GBK" w:eastAsia="方正小标宋_GBK"/>
          <w:sz w:val="48"/>
          <w:szCs w:val="48"/>
        </w:rPr>
        <w:t>年度部门整体支出绩效自评报告</w:t>
      </w:r>
    </w:p>
    <w:p w14:paraId="55737DCC">
      <w:pPr>
        <w:jc w:val="center"/>
        <w:rPr>
          <w:rFonts w:ascii="黑体" w:eastAsia="黑体"/>
          <w:sz w:val="32"/>
          <w:szCs w:val="32"/>
        </w:rPr>
      </w:pPr>
    </w:p>
    <w:p w14:paraId="37F09954">
      <w:pPr>
        <w:jc w:val="center"/>
        <w:rPr>
          <w:rFonts w:ascii="黑体" w:eastAsia="黑体"/>
          <w:sz w:val="32"/>
          <w:szCs w:val="32"/>
        </w:rPr>
      </w:pPr>
    </w:p>
    <w:p w14:paraId="4A63CB31">
      <w:pPr>
        <w:jc w:val="center"/>
        <w:rPr>
          <w:rFonts w:ascii="黑体" w:eastAsia="黑体"/>
          <w:sz w:val="32"/>
          <w:szCs w:val="32"/>
        </w:rPr>
      </w:pPr>
    </w:p>
    <w:p w14:paraId="4A7332D0">
      <w:pPr>
        <w:jc w:val="center"/>
        <w:rPr>
          <w:rFonts w:ascii="黑体" w:eastAsia="黑体"/>
          <w:sz w:val="32"/>
          <w:szCs w:val="32"/>
        </w:rPr>
      </w:pPr>
    </w:p>
    <w:p w14:paraId="08CA04C0">
      <w:pPr>
        <w:jc w:val="center"/>
        <w:rPr>
          <w:rFonts w:ascii="黑体" w:eastAsia="黑体"/>
          <w:sz w:val="32"/>
          <w:szCs w:val="32"/>
        </w:rPr>
      </w:pPr>
    </w:p>
    <w:p w14:paraId="3BD67353">
      <w:pPr>
        <w:jc w:val="center"/>
        <w:rPr>
          <w:rFonts w:ascii="黑体" w:eastAsia="黑体"/>
          <w:sz w:val="32"/>
          <w:szCs w:val="32"/>
        </w:rPr>
      </w:pPr>
    </w:p>
    <w:p w14:paraId="1868B2A7">
      <w:pPr>
        <w:jc w:val="center"/>
        <w:rPr>
          <w:rFonts w:ascii="黑体" w:eastAsia="黑体"/>
          <w:sz w:val="32"/>
          <w:szCs w:val="32"/>
        </w:rPr>
      </w:pPr>
    </w:p>
    <w:p w14:paraId="23F1586D">
      <w:pPr>
        <w:jc w:val="center"/>
        <w:rPr>
          <w:rFonts w:ascii="黑体" w:eastAsia="黑体"/>
          <w:sz w:val="32"/>
          <w:szCs w:val="32"/>
        </w:rPr>
      </w:pPr>
    </w:p>
    <w:p w14:paraId="4A6DE974">
      <w:pPr>
        <w:rPr>
          <w:rFonts w:ascii="黑体" w:eastAsia="黑体"/>
          <w:sz w:val="32"/>
          <w:szCs w:val="32"/>
        </w:rPr>
      </w:pPr>
    </w:p>
    <w:p w14:paraId="492F9765">
      <w:pPr>
        <w:pStyle w:val="6"/>
      </w:pPr>
    </w:p>
    <w:p w14:paraId="5965EA74">
      <w:pPr>
        <w:pStyle w:val="6"/>
      </w:pPr>
    </w:p>
    <w:p w14:paraId="326BA83A">
      <w:pPr>
        <w:jc w:val="center"/>
        <w:rPr>
          <w:rFonts w:ascii="黑体" w:eastAsia="黑体"/>
          <w:sz w:val="32"/>
          <w:szCs w:val="32"/>
        </w:rPr>
      </w:pPr>
    </w:p>
    <w:p w14:paraId="7BCF3741">
      <w:pPr>
        <w:pStyle w:val="2"/>
        <w:kinsoku w:val="0"/>
        <w:overflowPunct w:val="0"/>
        <w:spacing w:before="65" w:line="276" w:lineRule="auto"/>
        <w:ind w:right="236" w:firstLine="2880" w:firstLineChars="800"/>
        <w:jc w:val="left"/>
        <w:rPr>
          <w:rFonts w:hint="eastAsia" w:ascii="仿宋" w:hAnsi="仿宋" w:eastAsia="仿宋" w:cs="仿宋"/>
          <w:kern w:val="2"/>
          <w:sz w:val="32"/>
          <w:szCs w:val="32"/>
          <w:lang w:val="en-US" w:eastAsia="zh-CN" w:bidi="ar-SA"/>
        </w:rPr>
      </w:pPr>
      <w:r>
        <w:rPr>
          <w:rFonts w:hint="eastAsia" w:ascii="方正小标宋_GBK" w:hAnsi="Calibri" w:eastAsia="方正小标宋_GBK" w:cs="Times New Roman"/>
          <w:kern w:val="2"/>
          <w:sz w:val="36"/>
          <w:szCs w:val="36"/>
          <w:lang w:val="en-US" w:eastAsia="zh-CN" w:bidi="ar-SA"/>
        </w:rPr>
        <w:t>衡山县</w:t>
      </w:r>
      <w:r>
        <w:rPr>
          <w:rFonts w:hint="eastAsia" w:ascii="方正小标宋_GBK" w:eastAsia="方正小标宋_GBK" w:cs="Times New Roman"/>
          <w:kern w:val="2"/>
          <w:sz w:val="36"/>
          <w:szCs w:val="36"/>
          <w:lang w:val="en-US" w:eastAsia="zh-CN" w:bidi="ar-SA"/>
        </w:rPr>
        <w:t>开云镇卫生院</w:t>
      </w:r>
      <w:r>
        <w:rPr>
          <w:rFonts w:hint="eastAsia" w:ascii="方正小标宋_GBK" w:hAnsi="Calibri" w:eastAsia="方正小标宋_GBK" w:cs="Times New Roman"/>
          <w:kern w:val="2"/>
          <w:sz w:val="36"/>
          <w:szCs w:val="36"/>
          <w:lang w:val="en-US" w:eastAsia="zh-CN" w:bidi="ar-SA"/>
        </w:rPr>
        <w:tab/>
      </w:r>
      <w:r>
        <w:rPr>
          <w:rFonts w:hint="eastAsia" w:ascii="方正小标宋_GBK" w:hAnsi="Calibri" w:eastAsia="方正小标宋_GBK" w:cs="Times New Roman"/>
          <w:kern w:val="2"/>
          <w:sz w:val="36"/>
          <w:szCs w:val="36"/>
          <w:lang w:val="en-US" w:eastAsia="zh-CN" w:bidi="ar-SA"/>
        </w:rPr>
        <w:br w:type="page"/>
      </w:r>
      <w:r>
        <w:rPr>
          <w:rFonts w:hint="eastAsia"/>
          <w:lang w:val="en-US" w:eastAsia="zh-CN"/>
        </w:rPr>
        <w:t xml:space="preserve">    </w:t>
      </w:r>
      <w:r>
        <w:rPr>
          <w:rFonts w:hint="eastAsia" w:ascii="仿宋" w:hAnsi="仿宋" w:eastAsia="仿宋" w:cs="仿宋"/>
          <w:kern w:val="2"/>
          <w:sz w:val="32"/>
          <w:szCs w:val="32"/>
          <w:lang w:val="en-US" w:eastAsia="zh-CN" w:bidi="ar-SA"/>
        </w:rPr>
        <w:t>根据《预算法》有关“各级政府、各部门、各单位应当对预算支出情况开展绩效评价”的规定及衡山县财政局关于印发《</w:t>
      </w:r>
      <w:bookmarkStart w:id="0" w:name="OLE_LINK5"/>
      <w:r>
        <w:rPr>
          <w:rFonts w:hint="eastAsia" w:ascii="仿宋" w:hAnsi="仿宋" w:eastAsia="仿宋" w:cs="仿宋"/>
          <w:kern w:val="2"/>
          <w:sz w:val="32"/>
          <w:szCs w:val="32"/>
          <w:lang w:val="en-US" w:eastAsia="zh-CN" w:bidi="ar-SA"/>
        </w:rPr>
        <w:t>关于开展2024年度预算单位绩效自评的通知</w:t>
      </w:r>
      <w:bookmarkEnd w:id="0"/>
      <w:r>
        <w:rPr>
          <w:rFonts w:hint="eastAsia" w:ascii="仿宋" w:hAnsi="仿宋" w:eastAsia="仿宋" w:cs="仿宋"/>
          <w:kern w:val="2"/>
          <w:sz w:val="32"/>
          <w:szCs w:val="32"/>
          <w:lang w:val="en-US" w:eastAsia="zh-CN" w:bidi="ar-SA"/>
        </w:rPr>
        <w:t>》（山财绩〔2025〕69号）文件精神，衡山县贺家乡卫生院对部门整体支出及专项项目资金支出进行了绩效评价，现将自评有关情况报告如下：</w:t>
      </w:r>
    </w:p>
    <w:p w14:paraId="2CE4FD21">
      <w:pPr>
        <w:pStyle w:val="4"/>
        <w:numPr>
          <w:ilvl w:val="0"/>
          <w:numId w:val="1"/>
        </w:numPr>
        <w:ind w:left="0" w:leftChars="0" w:firstLine="0" w:firstLineChars="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部门概况</w:t>
      </w:r>
    </w:p>
    <w:p w14:paraId="4DC3F84C">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（一）部门基本情况</w:t>
      </w:r>
    </w:p>
    <w:p w14:paraId="1FACB46B">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衡山县开云镇卫生院为二级预算单位，负责人：周辉虎，机构地址：衡山县开云镇人民西路。</w:t>
      </w:r>
    </w:p>
    <w:p w14:paraId="2050790D">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（二）机构设置情况</w:t>
      </w:r>
    </w:p>
    <w:p w14:paraId="5035C94B">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衡山县开云镇卫生院卫正股级医疗机构，设有预防保健科、内科、外科、妇科、中医理疗科、两病门诊、检验科、功能科等临床科室。</w:t>
      </w:r>
    </w:p>
    <w:p w14:paraId="795F55B9">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（三）部门职能职责</w:t>
      </w:r>
    </w:p>
    <w:p w14:paraId="263C10A8">
      <w:pPr>
        <w:pStyle w:val="5"/>
        <w:numPr>
          <w:ilvl w:val="0"/>
          <w:numId w:val="0"/>
        </w:num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主要职责：公共卫生服务为主，为群众提供中西医医疗、预防、保健、康复等医疗卫生服务；贯彻落实医药卫生体制改革、中西医并重方针和国家中医药法律法规，执行中医药政策，拟定实施中医药和中西医结合发展战略、规划，加强卫生院标准化管理；贯彻落实国家基本药物制度和药品集中采购工作，执行医用耗材集中采购工作；开展各种医疗保健卫生知识宣传，做好城镇职工医疗保险，城乡居民合作医疗保险等定点医疗机构的各项工作。完成县卫生健康局交办的其他任务。</w:t>
      </w:r>
    </w:p>
    <w:p w14:paraId="261F867E">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（四）人员编制情况</w:t>
      </w:r>
    </w:p>
    <w:p w14:paraId="1EE1A974">
      <w:pPr>
        <w:ind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截止2024年12月31日，现有工作人员88名，其中专业技术人员79人，在编在职52人、聘用36人。</w:t>
      </w:r>
    </w:p>
    <w:p w14:paraId="7EA23E66">
      <w:pPr>
        <w:pStyle w:val="4"/>
        <w:numPr>
          <w:ilvl w:val="0"/>
          <w:numId w:val="1"/>
        </w:numPr>
        <w:ind w:left="0" w:leftChars="0" w:firstLine="0" w:firstLineChars="0"/>
        <w:jc w:val="both"/>
        <w:rPr>
          <w:rFonts w:hint="eastAsia" w:ascii="宋体" w:hAnsi="宋体" w:cs="宋体"/>
          <w:sz w:val="32"/>
          <w:szCs w:val="32"/>
          <w:lang w:val="en-US" w:eastAsia="zh-CN"/>
        </w:rPr>
      </w:pPr>
      <w:r>
        <w:rPr>
          <w:rFonts w:hint="eastAsia" w:ascii="宋体" w:hAnsi="宋体" w:cs="宋体"/>
          <w:sz w:val="32"/>
          <w:szCs w:val="32"/>
          <w:lang w:val="en-US" w:eastAsia="zh-CN"/>
        </w:rPr>
        <w:t>预算支出及绩效情况</w:t>
      </w:r>
    </w:p>
    <w:p w14:paraId="63DB14EC">
      <w:pPr>
        <w:keepNext w:val="0"/>
        <w:keepLines w:val="0"/>
        <w:pageBreakBefore w:val="0"/>
        <w:widowControl w:val="0"/>
        <w:kinsoku/>
        <w:wordWrap/>
        <w:overflowPunct/>
        <w:topLinePunct w:val="0"/>
        <w:autoSpaceDE/>
        <w:autoSpaceDN/>
        <w:bidi w:val="0"/>
        <w:adjustRightInd w:val="0"/>
        <w:snapToGrid w:val="0"/>
        <w:spacing w:line="360" w:lineRule="auto"/>
        <w:ind w:firstLine="320" w:firstLineChars="1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（一）</w:t>
      </w:r>
      <w:r>
        <w:rPr>
          <w:rFonts w:hint="eastAsia" w:ascii="仿宋" w:hAnsi="仿宋" w:eastAsia="仿宋" w:cs="仿宋"/>
          <w:b w:val="0"/>
          <w:bCs w:val="0"/>
          <w:sz w:val="32"/>
          <w:szCs w:val="32"/>
          <w:lang w:val="en-US" w:eastAsia="zh-CN"/>
        </w:rPr>
        <w:t>部门</w:t>
      </w:r>
      <w:r>
        <w:rPr>
          <w:rFonts w:hint="eastAsia" w:ascii="仿宋" w:hAnsi="仿宋" w:eastAsia="仿宋" w:cs="仿宋"/>
          <w:b w:val="0"/>
          <w:bCs w:val="0"/>
          <w:sz w:val="32"/>
          <w:szCs w:val="32"/>
        </w:rPr>
        <w:t>预决算情况</w:t>
      </w:r>
    </w:p>
    <w:p w14:paraId="4046EFB1">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1.部门</w:t>
      </w:r>
      <w:r>
        <w:rPr>
          <w:rFonts w:hint="eastAsia" w:ascii="仿宋" w:hAnsi="仿宋" w:eastAsia="仿宋" w:cs="仿宋"/>
          <w:b w:val="0"/>
          <w:bCs w:val="0"/>
          <w:sz w:val="32"/>
          <w:szCs w:val="32"/>
        </w:rPr>
        <w:t>预算情况</w:t>
      </w:r>
    </w:p>
    <w:p w14:paraId="1B72B95B">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年年初预算安排收入</w:t>
      </w:r>
      <w:r>
        <w:rPr>
          <w:rFonts w:hint="eastAsia" w:ascii="仿宋" w:hAnsi="仿宋" w:eastAsia="仿宋" w:cs="仿宋"/>
          <w:sz w:val="32"/>
          <w:szCs w:val="32"/>
          <w:lang w:val="en-US" w:eastAsia="zh-CN"/>
        </w:rPr>
        <w:t xml:space="preserve"> 0</w:t>
      </w:r>
      <w:r>
        <w:rPr>
          <w:rFonts w:hint="eastAsia" w:ascii="仿宋" w:hAnsi="仿宋" w:eastAsia="仿宋" w:cs="仿宋"/>
          <w:sz w:val="32"/>
          <w:szCs w:val="32"/>
        </w:rPr>
        <w:t>万元，其中一般公共财政拨款</w:t>
      </w:r>
      <w:r>
        <w:rPr>
          <w:rFonts w:hint="eastAsia" w:ascii="仿宋" w:hAnsi="仿宋" w:eastAsia="仿宋" w:cs="仿宋"/>
          <w:sz w:val="32"/>
          <w:szCs w:val="32"/>
          <w:lang w:val="en-US" w:eastAsia="zh-CN"/>
        </w:rPr>
        <w:t xml:space="preserve"> 0</w:t>
      </w:r>
      <w:r>
        <w:rPr>
          <w:rFonts w:hint="eastAsia" w:ascii="仿宋" w:hAnsi="仿宋" w:eastAsia="仿宋" w:cs="仿宋"/>
          <w:sz w:val="32"/>
          <w:szCs w:val="32"/>
        </w:rPr>
        <w:t>万元；20</w:t>
      </w:r>
      <w:r>
        <w:rPr>
          <w:rFonts w:hint="eastAsia" w:ascii="仿宋" w:hAnsi="仿宋" w:eastAsia="仿宋" w:cs="仿宋"/>
          <w:sz w:val="32"/>
          <w:szCs w:val="32"/>
          <w:lang w:val="en-US" w:eastAsia="zh-CN"/>
        </w:rPr>
        <w:t>24</w:t>
      </w:r>
      <w:r>
        <w:rPr>
          <w:rFonts w:hint="eastAsia" w:ascii="仿宋" w:hAnsi="仿宋" w:eastAsia="仿宋" w:cs="仿宋"/>
          <w:sz w:val="32"/>
          <w:szCs w:val="32"/>
        </w:rPr>
        <w:t>年年初预算安排支出</w:t>
      </w:r>
      <w:r>
        <w:rPr>
          <w:rFonts w:hint="eastAsia" w:ascii="仿宋" w:hAnsi="仿宋" w:eastAsia="仿宋" w:cs="仿宋"/>
          <w:sz w:val="32"/>
          <w:szCs w:val="32"/>
          <w:lang w:val="en-US" w:eastAsia="zh-CN"/>
        </w:rPr>
        <w:t xml:space="preserve"> 0 </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 xml:space="preserve"> 0 </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 xml:space="preserve"> 0</w:t>
      </w:r>
      <w:r>
        <w:rPr>
          <w:rFonts w:hint="eastAsia" w:ascii="仿宋" w:hAnsi="仿宋" w:eastAsia="仿宋" w:cs="仿宋"/>
          <w:sz w:val="32"/>
          <w:szCs w:val="32"/>
        </w:rPr>
        <w:t>万元。</w:t>
      </w:r>
    </w:p>
    <w:p w14:paraId="20495B9B">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val="en-US" w:eastAsia="zh-CN"/>
        </w:rPr>
        <w:t>2.部门</w:t>
      </w:r>
      <w:r>
        <w:rPr>
          <w:rFonts w:hint="eastAsia" w:ascii="仿宋" w:hAnsi="仿宋" w:eastAsia="仿宋" w:cs="仿宋"/>
          <w:b w:val="0"/>
          <w:bCs w:val="0"/>
          <w:sz w:val="32"/>
          <w:szCs w:val="32"/>
        </w:rPr>
        <w:t>决算情况</w:t>
      </w:r>
    </w:p>
    <w:p w14:paraId="15EC7AA3">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default" w:ascii="仿宋" w:hAnsi="仿宋" w:eastAsia="仿宋" w:cs="仿宋"/>
          <w:sz w:val="32"/>
          <w:szCs w:val="32"/>
          <w:lang w:val="en-US"/>
        </w:rPr>
      </w:pPr>
      <w:r>
        <w:rPr>
          <w:rFonts w:hint="eastAsia" w:ascii="仿宋" w:hAnsi="仿宋" w:eastAsia="仿宋" w:cs="仿宋"/>
          <w:sz w:val="32"/>
          <w:szCs w:val="32"/>
          <w:lang w:val="en-US" w:eastAsia="zh-CN"/>
        </w:rPr>
        <w:t>2024</w:t>
      </w:r>
      <w:r>
        <w:rPr>
          <w:rFonts w:hint="eastAsia" w:ascii="仿宋" w:hAnsi="仿宋" w:eastAsia="仿宋" w:cs="仿宋"/>
          <w:sz w:val="32"/>
          <w:szCs w:val="32"/>
        </w:rPr>
        <w:t>年决算总收</w:t>
      </w:r>
      <w:r>
        <w:rPr>
          <w:rFonts w:hint="eastAsia" w:ascii="仿宋" w:hAnsi="仿宋" w:eastAsia="仿宋" w:cs="仿宋"/>
          <w:sz w:val="32"/>
          <w:szCs w:val="32"/>
          <w:lang w:val="en-US" w:eastAsia="zh-CN"/>
        </w:rPr>
        <w:t>入1954.82</w:t>
      </w:r>
      <w:r>
        <w:rPr>
          <w:rFonts w:hint="eastAsia" w:ascii="仿宋" w:hAnsi="仿宋" w:eastAsia="仿宋" w:cs="仿宋"/>
          <w:sz w:val="32"/>
          <w:szCs w:val="32"/>
        </w:rPr>
        <w:t>万元，总支出</w:t>
      </w:r>
      <w:r>
        <w:rPr>
          <w:rFonts w:hint="eastAsia" w:ascii="仿宋" w:hAnsi="仿宋" w:eastAsia="仿宋" w:cs="仿宋"/>
          <w:sz w:val="32"/>
          <w:szCs w:val="32"/>
          <w:lang w:val="en-US" w:eastAsia="zh-CN"/>
        </w:rPr>
        <w:t>1954.82</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1102.8</w:t>
      </w:r>
      <w:r>
        <w:rPr>
          <w:rFonts w:hint="eastAsia" w:ascii="仿宋" w:hAnsi="仿宋" w:eastAsia="仿宋" w:cs="仿宋"/>
          <w:sz w:val="32"/>
          <w:szCs w:val="32"/>
        </w:rPr>
        <w:t>万元，占总支出的</w:t>
      </w:r>
      <w:r>
        <w:rPr>
          <w:rFonts w:hint="eastAsia" w:ascii="仿宋" w:hAnsi="仿宋" w:eastAsia="仿宋" w:cs="仿宋"/>
          <w:sz w:val="32"/>
          <w:szCs w:val="32"/>
          <w:lang w:val="en-US" w:eastAsia="zh-CN"/>
        </w:rPr>
        <w:t>56.41</w:t>
      </w:r>
      <w:r>
        <w:rPr>
          <w:rFonts w:hint="eastAsia" w:ascii="仿宋" w:hAnsi="仿宋" w:eastAsia="仿宋" w:cs="仿宋"/>
          <w:sz w:val="32"/>
          <w:szCs w:val="32"/>
        </w:rPr>
        <w:t>％；项目支出</w:t>
      </w:r>
      <w:r>
        <w:rPr>
          <w:rFonts w:hint="eastAsia" w:ascii="仿宋" w:hAnsi="仿宋" w:eastAsia="仿宋" w:cs="仿宋"/>
          <w:sz w:val="32"/>
          <w:szCs w:val="32"/>
          <w:lang w:val="en-US" w:eastAsia="zh-CN"/>
        </w:rPr>
        <w:t>852.02</w:t>
      </w:r>
      <w:r>
        <w:rPr>
          <w:rFonts w:hint="eastAsia" w:ascii="仿宋" w:hAnsi="仿宋" w:eastAsia="仿宋" w:cs="仿宋"/>
          <w:sz w:val="32"/>
          <w:szCs w:val="32"/>
        </w:rPr>
        <w:t>万元，占总支出的</w:t>
      </w:r>
      <w:r>
        <w:rPr>
          <w:rFonts w:hint="eastAsia" w:ascii="仿宋" w:hAnsi="仿宋" w:eastAsia="仿宋" w:cs="仿宋"/>
          <w:sz w:val="32"/>
          <w:szCs w:val="32"/>
          <w:lang w:val="en-US" w:eastAsia="zh-CN"/>
        </w:rPr>
        <w:t>43.59</w:t>
      </w:r>
      <w:r>
        <w:rPr>
          <w:rFonts w:hint="eastAsia" w:ascii="仿宋" w:hAnsi="仿宋" w:eastAsia="仿宋" w:cs="仿宋"/>
          <w:sz w:val="32"/>
          <w:szCs w:val="32"/>
        </w:rPr>
        <w:t>％。差异产生的主要原因</w:t>
      </w:r>
      <w:r>
        <w:rPr>
          <w:rFonts w:hint="eastAsia" w:ascii="仿宋" w:hAnsi="仿宋" w:eastAsia="仿宋" w:cs="仿宋"/>
          <w:sz w:val="32"/>
          <w:szCs w:val="32"/>
          <w:lang w:val="en-US" w:eastAsia="zh-CN"/>
        </w:rPr>
        <w:t>一是基本公共卫生服务补助、基本药物制度补助及医疗体制改革补助合并下发在基层医疗机构财务集中核算中心，未单独分配至各卫生院；二是业务收入也未纳入年初部门预算。</w:t>
      </w:r>
    </w:p>
    <w:p w14:paraId="50BAB055">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3.</w:t>
      </w:r>
      <w:r>
        <w:rPr>
          <w:rFonts w:hint="eastAsia" w:ascii="仿宋" w:hAnsi="仿宋" w:eastAsia="仿宋" w:cs="仿宋"/>
          <w:b w:val="0"/>
          <w:bCs w:val="0"/>
          <w:sz w:val="32"/>
          <w:szCs w:val="32"/>
        </w:rPr>
        <w:t>“三公"经费执行情况</w:t>
      </w:r>
    </w:p>
    <w:p w14:paraId="1CDE61FA">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2024年</w:t>
      </w:r>
      <w:r>
        <w:rPr>
          <w:rFonts w:hint="eastAsia" w:ascii="仿宋" w:hAnsi="仿宋" w:eastAsia="仿宋" w:cs="仿宋"/>
          <w:sz w:val="32"/>
          <w:szCs w:val="32"/>
        </w:rPr>
        <w:t>“三公"经费预算数</w:t>
      </w:r>
      <w:r>
        <w:rPr>
          <w:rFonts w:hint="eastAsia" w:ascii="仿宋" w:hAnsi="仿宋" w:eastAsia="仿宋" w:cs="仿宋"/>
          <w:sz w:val="32"/>
          <w:szCs w:val="32"/>
          <w:lang w:val="en-US" w:eastAsia="zh-CN"/>
        </w:rPr>
        <w:t>0</w:t>
      </w:r>
      <w:r>
        <w:rPr>
          <w:rFonts w:hint="eastAsia" w:ascii="仿宋" w:hAnsi="仿宋" w:eastAsia="仿宋" w:cs="仿宋"/>
          <w:sz w:val="32"/>
          <w:szCs w:val="32"/>
        </w:rPr>
        <w:t>万元，其中：因公出国（境）费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万元，公务用车购置及运行维护费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万元，公务接待费</w:t>
      </w:r>
      <w:r>
        <w:rPr>
          <w:rFonts w:hint="eastAsia" w:ascii="仿宋" w:hAnsi="仿宋" w:eastAsia="仿宋" w:cs="仿宋"/>
          <w:sz w:val="32"/>
          <w:szCs w:val="32"/>
          <w:lang w:val="en-US" w:eastAsia="zh-CN"/>
        </w:rPr>
        <w:t>0</w:t>
      </w:r>
      <w:r>
        <w:rPr>
          <w:rFonts w:hint="eastAsia" w:ascii="仿宋" w:hAnsi="仿宋" w:eastAsia="仿宋" w:cs="仿宋"/>
          <w:sz w:val="32"/>
          <w:szCs w:val="32"/>
        </w:rPr>
        <w:t>万元。“三公"经费决算数</w:t>
      </w:r>
      <w:r>
        <w:rPr>
          <w:rFonts w:hint="eastAsia" w:ascii="仿宋" w:hAnsi="仿宋" w:eastAsia="仿宋" w:cs="仿宋"/>
          <w:sz w:val="32"/>
          <w:szCs w:val="32"/>
          <w:lang w:val="en-US" w:eastAsia="zh-CN"/>
        </w:rPr>
        <w:t>0</w:t>
      </w:r>
      <w:r>
        <w:rPr>
          <w:rFonts w:hint="eastAsia" w:ascii="仿宋" w:hAnsi="仿宋" w:eastAsia="仿宋" w:cs="仿宋"/>
          <w:sz w:val="32"/>
          <w:szCs w:val="32"/>
        </w:rPr>
        <w:t>元，其中：因公出国（境）费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万元，公务用车运行维护费</w:t>
      </w:r>
      <w:r>
        <w:rPr>
          <w:rFonts w:hint="eastAsia" w:ascii="仿宋" w:hAnsi="仿宋" w:eastAsia="仿宋" w:cs="仿宋"/>
          <w:sz w:val="32"/>
          <w:szCs w:val="32"/>
          <w:lang w:val="en-US" w:eastAsia="zh-CN"/>
        </w:rPr>
        <w:t>0</w:t>
      </w:r>
      <w:r>
        <w:rPr>
          <w:rFonts w:hint="eastAsia" w:ascii="仿宋" w:hAnsi="仿宋" w:eastAsia="仿宋" w:cs="仿宋"/>
          <w:sz w:val="32"/>
          <w:szCs w:val="32"/>
        </w:rPr>
        <w:t>万元，公务接待费</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r>
        <w:rPr>
          <w:rFonts w:hint="eastAsia" w:ascii="仿宋" w:hAnsi="仿宋" w:eastAsia="仿宋" w:cs="仿宋"/>
          <w:sz w:val="32"/>
          <w:szCs w:val="32"/>
          <w:lang w:eastAsia="zh-CN"/>
        </w:rPr>
        <w:t>。</w:t>
      </w:r>
    </w:p>
    <w:p w14:paraId="3758F677">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4.</w:t>
      </w:r>
      <w:r>
        <w:rPr>
          <w:rFonts w:hint="eastAsia" w:ascii="仿宋" w:hAnsi="仿宋" w:eastAsia="仿宋" w:cs="仿宋"/>
          <w:b w:val="0"/>
          <w:bCs w:val="0"/>
          <w:sz w:val="32"/>
          <w:szCs w:val="32"/>
        </w:rPr>
        <w:t>政府采购执行情况</w:t>
      </w:r>
    </w:p>
    <w:p w14:paraId="24893BA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年度政府采购支出</w:t>
      </w:r>
      <w:r>
        <w:rPr>
          <w:rFonts w:hint="eastAsia" w:ascii="仿宋" w:hAnsi="仿宋" w:eastAsia="仿宋" w:cs="仿宋"/>
          <w:sz w:val="32"/>
          <w:szCs w:val="32"/>
          <w:lang w:val="en-US" w:eastAsia="zh-CN"/>
        </w:rPr>
        <w:t>9.71</w:t>
      </w:r>
      <w:r>
        <w:rPr>
          <w:rFonts w:hint="eastAsia" w:ascii="仿宋" w:hAnsi="仿宋" w:eastAsia="仿宋" w:cs="仿宋"/>
          <w:sz w:val="32"/>
          <w:szCs w:val="32"/>
        </w:rPr>
        <w:t>万元，其中：货物</w:t>
      </w:r>
      <w:r>
        <w:rPr>
          <w:rFonts w:hint="eastAsia" w:ascii="仿宋" w:hAnsi="仿宋" w:eastAsia="仿宋" w:cs="仿宋"/>
          <w:sz w:val="32"/>
          <w:szCs w:val="32"/>
          <w:lang w:val="en-US" w:eastAsia="zh-CN"/>
        </w:rPr>
        <w:t>9.71</w:t>
      </w:r>
      <w:r>
        <w:rPr>
          <w:rFonts w:hint="eastAsia" w:ascii="仿宋" w:hAnsi="仿宋" w:eastAsia="仿宋" w:cs="仿宋"/>
          <w:sz w:val="32"/>
          <w:szCs w:val="32"/>
        </w:rPr>
        <w:t>元，工程</w:t>
      </w:r>
      <w:r>
        <w:rPr>
          <w:rFonts w:hint="eastAsia" w:ascii="仿宋" w:hAnsi="仿宋" w:eastAsia="仿宋" w:cs="仿宋"/>
          <w:sz w:val="32"/>
          <w:szCs w:val="32"/>
          <w:lang w:val="en-US" w:eastAsia="zh-CN"/>
        </w:rPr>
        <w:t>0</w:t>
      </w:r>
      <w:r>
        <w:rPr>
          <w:rFonts w:hint="eastAsia" w:ascii="仿宋" w:hAnsi="仿宋" w:eastAsia="仿宋" w:cs="仿宋"/>
          <w:sz w:val="32"/>
          <w:szCs w:val="32"/>
        </w:rPr>
        <w:t>万元，服务</w:t>
      </w:r>
      <w:r>
        <w:rPr>
          <w:rFonts w:hint="eastAsia" w:ascii="仿宋" w:hAnsi="仿宋" w:eastAsia="仿宋" w:cs="仿宋"/>
          <w:sz w:val="32"/>
          <w:szCs w:val="32"/>
          <w:lang w:val="en-US" w:eastAsia="zh-CN"/>
        </w:rPr>
        <w:t>0</w:t>
      </w:r>
      <w:r>
        <w:rPr>
          <w:rFonts w:hint="eastAsia" w:ascii="仿宋" w:hAnsi="仿宋" w:eastAsia="仿宋" w:cs="仿宋"/>
          <w:sz w:val="32"/>
          <w:szCs w:val="32"/>
        </w:rPr>
        <w:t>万元。</w:t>
      </w:r>
    </w:p>
    <w:p w14:paraId="08ACA69E">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rPr>
        <w:t>资产管理情况</w:t>
      </w:r>
    </w:p>
    <w:p w14:paraId="5E9318DB">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24</w:t>
      </w:r>
      <w:r>
        <w:rPr>
          <w:rFonts w:hint="eastAsia" w:ascii="仿宋" w:hAnsi="仿宋" w:eastAsia="仿宋" w:cs="仿宋"/>
          <w:sz w:val="32"/>
          <w:szCs w:val="32"/>
        </w:rPr>
        <w:t>年年末资产总额</w:t>
      </w:r>
      <w:r>
        <w:rPr>
          <w:rFonts w:hint="eastAsia" w:ascii="仿宋" w:hAnsi="仿宋" w:eastAsia="仿宋" w:cs="仿宋"/>
          <w:sz w:val="32"/>
          <w:szCs w:val="32"/>
          <w:lang w:val="en-US" w:eastAsia="zh-CN"/>
        </w:rPr>
        <w:t xml:space="preserve"> 754.39</w:t>
      </w:r>
      <w:r>
        <w:rPr>
          <w:rFonts w:hint="eastAsia" w:ascii="仿宋" w:hAnsi="仿宋" w:eastAsia="仿宋" w:cs="仿宋"/>
          <w:sz w:val="32"/>
          <w:szCs w:val="32"/>
        </w:rPr>
        <w:t>万元，负债总额</w:t>
      </w:r>
      <w:r>
        <w:rPr>
          <w:rFonts w:hint="eastAsia" w:ascii="仿宋" w:hAnsi="仿宋" w:eastAsia="仿宋" w:cs="仿宋"/>
          <w:sz w:val="32"/>
          <w:szCs w:val="32"/>
          <w:lang w:val="en-US" w:eastAsia="zh-CN"/>
        </w:rPr>
        <w:t xml:space="preserve">1203.32   </w:t>
      </w:r>
      <w:r>
        <w:rPr>
          <w:rFonts w:hint="eastAsia" w:ascii="仿宋" w:hAnsi="仿宋" w:eastAsia="仿宋" w:cs="仿宋"/>
          <w:sz w:val="32"/>
          <w:szCs w:val="32"/>
        </w:rPr>
        <w:t>万元，净资产</w:t>
      </w:r>
      <w:r>
        <w:rPr>
          <w:rFonts w:hint="eastAsia" w:ascii="仿宋" w:hAnsi="仿宋" w:eastAsia="仿宋" w:cs="仿宋"/>
          <w:sz w:val="32"/>
          <w:szCs w:val="32"/>
          <w:lang w:val="en-US" w:eastAsia="zh-CN"/>
        </w:rPr>
        <w:t xml:space="preserve"> -448.93</w:t>
      </w:r>
      <w:r>
        <w:rPr>
          <w:rFonts w:hint="eastAsia" w:ascii="仿宋" w:hAnsi="仿宋" w:eastAsia="仿宋" w:cs="仿宋"/>
          <w:sz w:val="32"/>
          <w:szCs w:val="32"/>
        </w:rPr>
        <w:t>万元。截至20</w:t>
      </w:r>
      <w:r>
        <w:rPr>
          <w:rFonts w:hint="eastAsia" w:ascii="仿宋" w:hAnsi="仿宋" w:eastAsia="仿宋" w:cs="仿宋"/>
          <w:sz w:val="32"/>
          <w:szCs w:val="32"/>
          <w:lang w:val="en-US" w:eastAsia="zh-CN"/>
        </w:rPr>
        <w:t>24</w:t>
      </w:r>
      <w:r>
        <w:rPr>
          <w:rFonts w:hint="eastAsia" w:ascii="仿宋" w:hAnsi="仿宋" w:eastAsia="仿宋" w:cs="仿宋"/>
          <w:sz w:val="32"/>
          <w:szCs w:val="32"/>
        </w:rPr>
        <w:t>年12月31日，固定资产账面原值</w:t>
      </w:r>
      <w:r>
        <w:rPr>
          <w:rFonts w:hint="eastAsia" w:ascii="仿宋" w:hAnsi="仿宋" w:eastAsia="仿宋" w:cs="仿宋"/>
          <w:sz w:val="32"/>
          <w:szCs w:val="32"/>
          <w:lang w:val="en-US" w:eastAsia="zh-CN"/>
        </w:rPr>
        <w:t>813.59</w:t>
      </w:r>
      <w:r>
        <w:rPr>
          <w:rFonts w:hint="eastAsia" w:ascii="仿宋" w:hAnsi="仿宋" w:eastAsia="仿宋" w:cs="仿宋"/>
          <w:sz w:val="32"/>
          <w:szCs w:val="32"/>
        </w:rPr>
        <w:t>万元，在用资产</w:t>
      </w:r>
      <w:r>
        <w:rPr>
          <w:rFonts w:hint="eastAsia" w:ascii="仿宋" w:hAnsi="仿宋" w:eastAsia="仿宋" w:cs="仿宋"/>
          <w:sz w:val="32"/>
          <w:szCs w:val="32"/>
          <w:lang w:val="en-US" w:eastAsia="zh-CN"/>
        </w:rPr>
        <w:t>813.59</w:t>
      </w:r>
      <w:r>
        <w:rPr>
          <w:rFonts w:hint="eastAsia" w:ascii="仿宋" w:hAnsi="仿宋" w:eastAsia="仿宋" w:cs="仿宋"/>
          <w:sz w:val="32"/>
          <w:szCs w:val="32"/>
        </w:rPr>
        <w:t>万元，资产使用率</w:t>
      </w:r>
      <w:r>
        <w:rPr>
          <w:rFonts w:hint="eastAsia" w:ascii="仿宋" w:hAnsi="仿宋" w:eastAsia="仿宋" w:cs="仿宋"/>
          <w:sz w:val="32"/>
          <w:szCs w:val="32"/>
          <w:lang w:val="en-US" w:eastAsia="zh-CN"/>
        </w:rPr>
        <w:t>100</w:t>
      </w:r>
      <w:r>
        <w:rPr>
          <w:rFonts w:hint="eastAsia" w:ascii="仿宋" w:hAnsi="仿宋" w:eastAsia="仿宋" w:cs="仿宋"/>
          <w:sz w:val="32"/>
          <w:szCs w:val="32"/>
        </w:rPr>
        <w:t>%。</w:t>
      </w:r>
    </w:p>
    <w:p w14:paraId="5BC88DF3">
      <w:pPr>
        <w:keepNext w:val="0"/>
        <w:keepLines w:val="0"/>
        <w:pageBreakBefore w:val="0"/>
        <w:widowControl w:val="0"/>
        <w:kinsoku/>
        <w:wordWrap/>
        <w:overflowPunct/>
        <w:topLinePunct w:val="0"/>
        <w:autoSpaceDE/>
        <w:autoSpaceDN/>
        <w:bidi w:val="0"/>
        <w:adjustRightInd w:val="0"/>
        <w:snapToGrid w:val="0"/>
        <w:spacing w:line="360" w:lineRule="auto"/>
        <w:ind w:firstLine="320" w:firstLineChars="1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（二）资金使用及绩效情况</w:t>
      </w:r>
    </w:p>
    <w:p w14:paraId="2EA15E8D">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1</w:t>
      </w:r>
      <w:r>
        <w:rPr>
          <w:rFonts w:hint="eastAsia" w:ascii="仿宋" w:hAnsi="仿宋" w:eastAsia="仿宋" w:cs="仿宋"/>
          <w:b w:val="0"/>
          <w:bCs w:val="0"/>
          <w:sz w:val="32"/>
          <w:szCs w:val="32"/>
          <w:lang w:val="en-US" w:eastAsia="zh-CN"/>
        </w:rPr>
        <w:t>.</w:t>
      </w:r>
      <w:r>
        <w:rPr>
          <w:rFonts w:hint="eastAsia" w:ascii="仿宋" w:hAnsi="仿宋" w:eastAsia="仿宋" w:cs="仿宋"/>
          <w:b w:val="0"/>
          <w:bCs w:val="0"/>
          <w:sz w:val="32"/>
          <w:szCs w:val="32"/>
        </w:rPr>
        <w:t>整体绩效目标完成情况</w:t>
      </w:r>
    </w:p>
    <w:p w14:paraId="4FBC1730">
      <w:pPr>
        <w:bidi w:val="0"/>
        <w:ind w:firstLine="640" w:firstLineChars="200"/>
        <w:rPr>
          <w:rFonts w:hint="default" w:eastAsia="仿宋"/>
          <w:lang w:val="en-US" w:eastAsia="zh-CN"/>
        </w:rPr>
      </w:pPr>
      <w:r>
        <w:rPr>
          <w:rFonts w:hint="eastAsia" w:ascii="仿宋" w:hAnsi="仿宋" w:eastAsia="仿宋" w:cs="仿宋"/>
          <w:sz w:val="32"/>
          <w:szCs w:val="32"/>
          <w:lang w:val="en-US" w:eastAsia="zh-CN"/>
        </w:rPr>
        <w:t>本单位</w:t>
      </w:r>
      <w:r>
        <w:rPr>
          <w:rFonts w:hint="eastAsia" w:ascii="仿宋" w:hAnsi="仿宋" w:eastAsia="仿宋" w:cs="仿宋"/>
          <w:sz w:val="32"/>
          <w:szCs w:val="32"/>
        </w:rPr>
        <w:t>纳入202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年部门整体支出绩效目标的金额为</w:t>
      </w:r>
      <w:r>
        <w:rPr>
          <w:rFonts w:hint="eastAsia" w:ascii="仿宋" w:hAnsi="仿宋" w:eastAsia="仿宋" w:cs="仿宋"/>
          <w:sz w:val="32"/>
          <w:szCs w:val="32"/>
          <w:lang w:val="en-US" w:eastAsia="zh-CN"/>
        </w:rPr>
        <w:t>1954.82</w:t>
      </w:r>
      <w:r>
        <w:rPr>
          <w:rFonts w:hint="eastAsia" w:ascii="仿宋" w:hAnsi="仿宋" w:eastAsia="仿宋" w:cs="仿宋"/>
          <w:sz w:val="32"/>
          <w:szCs w:val="32"/>
        </w:rPr>
        <w:t>万元，其中，基本支出</w:t>
      </w:r>
      <w:r>
        <w:rPr>
          <w:rFonts w:hint="eastAsia" w:ascii="仿宋" w:hAnsi="仿宋" w:eastAsia="仿宋" w:cs="仿宋"/>
          <w:sz w:val="32"/>
          <w:szCs w:val="32"/>
          <w:lang w:val="en-US" w:eastAsia="zh-CN"/>
        </w:rPr>
        <w:t>1102.8</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852.02</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全年执行数1954.82万元，其中</w:t>
      </w:r>
      <w:r>
        <w:rPr>
          <w:rFonts w:hint="eastAsia" w:ascii="仿宋" w:hAnsi="仿宋" w:eastAsia="仿宋" w:cs="仿宋"/>
          <w:sz w:val="32"/>
          <w:szCs w:val="32"/>
        </w:rPr>
        <w:t>基本支出</w:t>
      </w:r>
      <w:r>
        <w:rPr>
          <w:rFonts w:hint="eastAsia" w:ascii="仿宋" w:hAnsi="仿宋" w:eastAsia="仿宋" w:cs="仿宋"/>
          <w:sz w:val="32"/>
          <w:szCs w:val="32"/>
          <w:lang w:val="en-US" w:eastAsia="zh-CN"/>
        </w:rPr>
        <w:t>1102.8</w:t>
      </w:r>
      <w:r>
        <w:rPr>
          <w:rFonts w:hint="eastAsia" w:ascii="仿宋" w:hAnsi="仿宋" w:eastAsia="仿宋" w:cs="仿宋"/>
          <w:sz w:val="32"/>
          <w:szCs w:val="32"/>
        </w:rPr>
        <w:t>万元，项目支出</w:t>
      </w:r>
      <w:r>
        <w:rPr>
          <w:rFonts w:hint="eastAsia" w:ascii="仿宋" w:hAnsi="仿宋" w:eastAsia="仿宋" w:cs="仿宋"/>
          <w:sz w:val="32"/>
          <w:szCs w:val="32"/>
          <w:lang w:val="en-US" w:eastAsia="zh-CN"/>
        </w:rPr>
        <w:t>852.02</w:t>
      </w:r>
      <w:r>
        <w:rPr>
          <w:rFonts w:hint="eastAsia" w:ascii="仿宋" w:hAnsi="仿宋" w:eastAsia="仿宋" w:cs="仿宋"/>
          <w:sz w:val="32"/>
          <w:szCs w:val="32"/>
        </w:rPr>
        <w:t>万元</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本年</w:t>
      </w:r>
      <w:r>
        <w:rPr>
          <w:rFonts w:hint="eastAsia" w:ascii="仿宋" w:hAnsi="仿宋" w:eastAsia="仿宋" w:cs="仿宋"/>
          <w:sz w:val="32"/>
          <w:szCs w:val="32"/>
          <w:lang w:eastAsia="zh-CN"/>
        </w:rPr>
        <w:t>各项工作取得了较好成效，全面推进了卫生健康事业高质量发展。</w:t>
      </w:r>
    </w:p>
    <w:p w14:paraId="4894466F">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rPr>
      </w:pPr>
      <w:r>
        <w:rPr>
          <w:rFonts w:hint="eastAsia" w:ascii="仿宋" w:hAnsi="仿宋" w:eastAsia="仿宋" w:cs="仿宋"/>
          <w:b w:val="0"/>
          <w:bCs w:val="0"/>
          <w:sz w:val="32"/>
          <w:szCs w:val="32"/>
        </w:rPr>
        <w:t>项目绩效目标完成情况</w:t>
      </w:r>
    </w:p>
    <w:p w14:paraId="377C4C2D">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（1）</w:t>
      </w:r>
      <w:r>
        <w:rPr>
          <w:rFonts w:hint="eastAsia" w:ascii="仿宋" w:hAnsi="仿宋" w:eastAsia="仿宋" w:cs="仿宋"/>
          <w:sz w:val="32"/>
          <w:szCs w:val="32"/>
          <w:lang w:val="en-US" w:eastAsia="zh-CN"/>
        </w:rPr>
        <w:t>基本医疗服务项目</w:t>
      </w:r>
    </w:p>
    <w:p w14:paraId="1EC56FDB">
      <w:pPr>
        <w:ind w:firstLine="640" w:firstLineChars="200"/>
        <w:rPr>
          <w:rFonts w:hint="eastAsia" w:ascii="仿宋" w:hAnsi="仿宋" w:eastAsia="仿宋" w:cs="仿宋"/>
          <w:b/>
          <w:bCs/>
          <w:sz w:val="32"/>
          <w:szCs w:val="32"/>
          <w:lang w:eastAsia="zh-CN"/>
        </w:rPr>
      </w:pPr>
      <w:r>
        <w:rPr>
          <w:rFonts w:hint="eastAsia" w:ascii="仿宋" w:hAnsi="仿宋" w:eastAsia="仿宋" w:cs="仿宋"/>
          <w:sz w:val="32"/>
          <w:szCs w:val="32"/>
          <w:lang w:val="en-US" w:eastAsia="zh-CN"/>
        </w:rPr>
        <w:t>本年度</w:t>
      </w:r>
      <w:r>
        <w:rPr>
          <w:rFonts w:hint="eastAsia" w:ascii="仿宋" w:hAnsi="仿宋" w:eastAsia="仿宋" w:cs="仿宋"/>
          <w:sz w:val="32"/>
          <w:szCs w:val="32"/>
        </w:rPr>
        <w:t>门诊</w:t>
      </w:r>
      <w:r>
        <w:rPr>
          <w:rFonts w:hint="eastAsia" w:ascii="仿宋" w:hAnsi="仿宋" w:eastAsia="仿宋" w:cs="仿宋"/>
          <w:sz w:val="32"/>
          <w:szCs w:val="32"/>
          <w:lang w:val="en-US" w:eastAsia="zh-CN"/>
        </w:rPr>
        <w:t>接诊5.3</w:t>
      </w:r>
      <w:r>
        <w:rPr>
          <w:rFonts w:hint="eastAsia" w:ascii="仿宋" w:hAnsi="仿宋" w:eastAsia="仿宋" w:cs="仿宋"/>
          <w:sz w:val="32"/>
          <w:szCs w:val="32"/>
        </w:rPr>
        <w:t>万</w:t>
      </w:r>
      <w:r>
        <w:rPr>
          <w:rFonts w:hint="eastAsia" w:ascii="仿宋" w:hAnsi="仿宋" w:eastAsia="仿宋" w:cs="仿宋"/>
          <w:sz w:val="32"/>
          <w:szCs w:val="32"/>
          <w:lang w:val="en-US" w:eastAsia="zh-CN"/>
        </w:rPr>
        <w:t>余</w:t>
      </w:r>
      <w:r>
        <w:rPr>
          <w:rFonts w:hint="eastAsia" w:ascii="仿宋" w:hAnsi="仿宋" w:eastAsia="仿宋" w:cs="仿宋"/>
          <w:sz w:val="32"/>
          <w:szCs w:val="32"/>
        </w:rPr>
        <w:t>人次，住院</w:t>
      </w:r>
      <w:r>
        <w:rPr>
          <w:rFonts w:hint="eastAsia" w:ascii="仿宋" w:hAnsi="仿宋" w:eastAsia="仿宋" w:cs="仿宋"/>
          <w:sz w:val="32"/>
          <w:szCs w:val="32"/>
          <w:lang w:val="en-US" w:eastAsia="zh-CN"/>
        </w:rPr>
        <w:t>430</w:t>
      </w:r>
      <w:r>
        <w:rPr>
          <w:rFonts w:hint="eastAsia" w:ascii="仿宋" w:hAnsi="仿宋" w:eastAsia="仿宋" w:cs="仿宋"/>
          <w:sz w:val="32"/>
          <w:szCs w:val="32"/>
        </w:rPr>
        <w:t>人次，业务收入</w:t>
      </w:r>
      <w:r>
        <w:rPr>
          <w:rFonts w:hint="eastAsia" w:ascii="仿宋" w:hAnsi="仿宋" w:eastAsia="仿宋" w:cs="仿宋"/>
          <w:sz w:val="32"/>
          <w:szCs w:val="32"/>
          <w:lang w:val="en-US" w:eastAsia="zh-CN"/>
        </w:rPr>
        <w:t>601</w:t>
      </w:r>
      <w:r>
        <w:rPr>
          <w:rFonts w:hint="eastAsia" w:ascii="仿宋" w:hAnsi="仿宋" w:eastAsia="仿宋" w:cs="仿宋"/>
          <w:sz w:val="32"/>
          <w:szCs w:val="32"/>
        </w:rPr>
        <w:t>万</w:t>
      </w:r>
      <w:r>
        <w:rPr>
          <w:rFonts w:hint="eastAsia" w:ascii="仿宋" w:hAnsi="仿宋" w:eastAsia="仿宋" w:cs="仿宋"/>
          <w:sz w:val="32"/>
          <w:szCs w:val="32"/>
          <w:lang w:val="en-US" w:eastAsia="zh-CN"/>
        </w:rPr>
        <w:t>余元</w:t>
      </w:r>
      <w:r>
        <w:rPr>
          <w:rFonts w:hint="eastAsia" w:ascii="仿宋" w:hAnsi="仿宋" w:eastAsia="仿宋" w:cs="仿宋"/>
          <w:sz w:val="32"/>
          <w:szCs w:val="32"/>
        </w:rPr>
        <w:t>。接种门诊免疫规划苗</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免费</w:t>
      </w:r>
      <w:r>
        <w:rPr>
          <w:rFonts w:hint="eastAsia" w:ascii="仿宋" w:hAnsi="仿宋" w:eastAsia="仿宋" w:cs="仿宋"/>
          <w:sz w:val="32"/>
          <w:szCs w:val="32"/>
          <w:lang w:eastAsia="zh-CN"/>
        </w:rPr>
        <w:t>）</w:t>
      </w:r>
      <w:r>
        <w:rPr>
          <w:rFonts w:hint="eastAsia" w:ascii="仿宋" w:hAnsi="仿宋" w:eastAsia="仿宋" w:cs="仿宋"/>
          <w:sz w:val="32"/>
          <w:szCs w:val="32"/>
        </w:rPr>
        <w:t>5</w:t>
      </w:r>
      <w:r>
        <w:rPr>
          <w:rFonts w:hint="eastAsia" w:ascii="仿宋" w:hAnsi="仿宋" w:eastAsia="仿宋" w:cs="仿宋"/>
          <w:sz w:val="32"/>
          <w:szCs w:val="32"/>
          <w:lang w:val="en-US" w:eastAsia="zh-CN"/>
        </w:rPr>
        <w:t>12</w:t>
      </w:r>
      <w:r>
        <w:rPr>
          <w:rFonts w:hint="eastAsia" w:ascii="仿宋" w:hAnsi="仿宋" w:eastAsia="仿宋" w:cs="仿宋"/>
          <w:sz w:val="32"/>
          <w:szCs w:val="32"/>
        </w:rPr>
        <w:t>余人，1.</w:t>
      </w:r>
      <w:r>
        <w:rPr>
          <w:rFonts w:hint="eastAsia" w:ascii="仿宋" w:hAnsi="仿宋" w:eastAsia="仿宋" w:cs="仿宋"/>
          <w:sz w:val="32"/>
          <w:szCs w:val="32"/>
          <w:lang w:val="en-US" w:eastAsia="zh-CN"/>
        </w:rPr>
        <w:t>2</w:t>
      </w:r>
      <w:r>
        <w:rPr>
          <w:rFonts w:hint="eastAsia" w:ascii="仿宋" w:hAnsi="仿宋" w:eastAsia="仿宋" w:cs="仿宋"/>
          <w:sz w:val="32"/>
          <w:szCs w:val="32"/>
        </w:rPr>
        <w:t>万余针次，非免疫规划苗1万余针次，业务收入</w:t>
      </w:r>
      <w:r>
        <w:rPr>
          <w:rFonts w:hint="eastAsia" w:ascii="仿宋" w:hAnsi="仿宋" w:eastAsia="仿宋" w:cs="仿宋"/>
          <w:sz w:val="32"/>
          <w:szCs w:val="32"/>
          <w:lang w:val="en-US" w:eastAsia="zh-CN"/>
        </w:rPr>
        <w:t>414</w:t>
      </w:r>
      <w:r>
        <w:rPr>
          <w:rFonts w:hint="eastAsia" w:ascii="仿宋" w:hAnsi="仿宋" w:eastAsia="仿宋" w:cs="仿宋"/>
          <w:sz w:val="32"/>
          <w:szCs w:val="32"/>
        </w:rPr>
        <w:t>万</w:t>
      </w:r>
      <w:r>
        <w:rPr>
          <w:rFonts w:hint="eastAsia" w:ascii="仿宋" w:hAnsi="仿宋" w:eastAsia="仿宋" w:cs="仿宋"/>
          <w:sz w:val="32"/>
          <w:szCs w:val="32"/>
          <w:lang w:val="en-US" w:eastAsia="zh-CN"/>
        </w:rPr>
        <w:t>余</w:t>
      </w:r>
      <w:r>
        <w:rPr>
          <w:rFonts w:hint="eastAsia" w:ascii="仿宋" w:hAnsi="仿宋" w:eastAsia="仿宋" w:cs="仿宋"/>
          <w:sz w:val="32"/>
          <w:szCs w:val="32"/>
        </w:rPr>
        <w:t>元。</w:t>
      </w:r>
      <w:r>
        <w:rPr>
          <w:rFonts w:hint="eastAsia" w:ascii="仿宋" w:hAnsi="仿宋" w:eastAsia="仿宋" w:cs="仿宋"/>
          <w:sz w:val="32"/>
          <w:szCs w:val="32"/>
          <w:lang w:val="en-US" w:eastAsia="zh-CN"/>
        </w:rPr>
        <w:t>比较去年同期总门诊人次增加4963人次，特别是医疗门诊增加了11675人次，接种人次减少6711人次。</w:t>
      </w:r>
    </w:p>
    <w:p w14:paraId="2CA1A6D8">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2</w:t>
      </w:r>
      <w:r>
        <w:rPr>
          <w:rFonts w:hint="eastAsia" w:ascii="仿宋" w:hAnsi="仿宋" w:eastAsia="仿宋" w:cs="仿宋"/>
          <w:sz w:val="32"/>
          <w:szCs w:val="32"/>
        </w:rPr>
        <w:t>）</w:t>
      </w:r>
      <w:r>
        <w:rPr>
          <w:rFonts w:hint="eastAsia" w:ascii="仿宋" w:hAnsi="仿宋" w:eastAsia="仿宋" w:cs="仿宋"/>
          <w:sz w:val="32"/>
          <w:szCs w:val="32"/>
          <w:lang w:val="en-US" w:eastAsia="zh-CN"/>
        </w:rPr>
        <w:t>基本公共卫生服务项目</w:t>
      </w:r>
    </w:p>
    <w:p w14:paraId="29264AEB">
      <w:pPr>
        <w:keepNext w:val="0"/>
        <w:keepLines w:val="0"/>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kern w:val="2"/>
          <w:sz w:val="32"/>
          <w:szCs w:val="32"/>
          <w:lang w:val="en-US" w:eastAsia="zh-CN" w:bidi="ar-SA"/>
        </w:rPr>
        <w:t>中央及省财政补助下达441.07万元，用于本单位基本公共卫生开展服务支出，主要包括商品与服务支出（含办公、会议培训、水电、邮电、交通、差旅、宣传、印刷等）、所需耗材成本费用支出及相关人员支出</w:t>
      </w:r>
      <w:r>
        <w:rPr>
          <w:rFonts w:hint="eastAsia" w:ascii="仿宋" w:hAnsi="仿宋" w:eastAsia="仿宋" w:cs="仿宋"/>
          <w:sz w:val="32"/>
          <w:szCs w:val="32"/>
          <w:lang w:val="en-US" w:eastAsia="zh-CN"/>
        </w:rPr>
        <w:t>等。</w:t>
      </w:r>
    </w:p>
    <w:p w14:paraId="6C0C8288">
      <w:pPr>
        <w:ind w:firstLine="640" w:firstLineChars="200"/>
        <w:rPr>
          <w:rFonts w:hint="eastAsia" w:ascii="楷体" w:hAnsi="楷体" w:eastAsia="楷体" w:cs="楷体"/>
          <w:b w:val="0"/>
          <w:bCs w:val="0"/>
          <w:sz w:val="28"/>
          <w:szCs w:val="28"/>
        </w:rPr>
      </w:pPr>
      <w:r>
        <w:rPr>
          <w:rFonts w:hint="eastAsia" w:ascii="仿宋" w:hAnsi="仿宋" w:eastAsia="仿宋" w:cs="仿宋"/>
          <w:sz w:val="32"/>
          <w:szCs w:val="32"/>
          <w:lang w:val="en-US" w:eastAsia="zh-CN"/>
        </w:rPr>
        <w:t>本年度服务</w:t>
      </w:r>
      <w:r>
        <w:rPr>
          <w:rFonts w:hint="eastAsia" w:ascii="仿宋" w:hAnsi="仿宋" w:eastAsia="仿宋" w:cs="仿宋"/>
          <w:sz w:val="32"/>
          <w:szCs w:val="32"/>
        </w:rPr>
        <w:t>人数49254人，2024年体检人数5555人，高血压病在管人数4216人，随访14806人次，糖尿病在管人数1587人，随访5606人次，重性精神病在管人数279人，随访706人次，结核病管理人数45人，孕产妇管理人数418</w:t>
      </w:r>
      <w:r>
        <w:rPr>
          <w:rFonts w:hint="eastAsia" w:ascii="仿宋" w:hAnsi="仿宋" w:eastAsia="仿宋" w:cs="仿宋"/>
          <w:sz w:val="32"/>
          <w:szCs w:val="32"/>
          <w:lang w:val="en-US" w:eastAsia="zh-CN"/>
        </w:rPr>
        <w:t>人，0-6岁儿童管理人数3768人。一般脱贫人员359户，共1027人，重点三类监测对象13户，39人，四类慢病人数208人，其中重精65人，高血压病137人，糖尿病40人，同时有高血压病和糖尿病24人。</w:t>
      </w:r>
      <w:r>
        <w:rPr>
          <w:rFonts w:hint="eastAsia" w:ascii="仿宋" w:hAnsi="仿宋" w:eastAsia="仿宋" w:cs="仿宋"/>
          <w:b w:val="0"/>
          <w:bCs w:val="0"/>
          <w:sz w:val="32"/>
          <w:szCs w:val="32"/>
        </w:rPr>
        <w:t>建立健全了传染病报告管理制度。严格执行传染病报告制度，按照规定及时上报。严格执行传染病自查、上报及奖惩制度。</w:t>
      </w:r>
    </w:p>
    <w:p w14:paraId="20A8EB2C">
      <w:pPr>
        <w:pStyle w:val="6"/>
        <w:ind w:left="0" w:leftChars="0" w:firstLine="640" w:firstLineChars="200"/>
        <w:rPr>
          <w:rFonts w:hint="eastAsia" w:ascii="仿宋" w:hAnsi="仿宋" w:eastAsia="仿宋" w:cs="仿宋"/>
          <w:b w:val="0"/>
          <w:bCs w:val="0"/>
          <w:kern w:val="2"/>
          <w:sz w:val="32"/>
          <w:szCs w:val="32"/>
          <w:lang w:val="en-US" w:eastAsia="zh-CN" w:bidi="ar-SA"/>
        </w:rPr>
      </w:pPr>
      <w:r>
        <w:rPr>
          <w:rFonts w:hint="eastAsia" w:ascii="仿宋" w:hAnsi="仿宋" w:eastAsia="仿宋" w:cs="仿宋"/>
          <w:b w:val="0"/>
          <w:bCs w:val="0"/>
          <w:kern w:val="2"/>
          <w:sz w:val="32"/>
          <w:szCs w:val="32"/>
          <w:lang w:val="en-US" w:eastAsia="zh-CN" w:bidi="ar-SA"/>
        </w:rPr>
        <w:t>（3）卫生医药体制改革专项</w:t>
      </w:r>
    </w:p>
    <w:p w14:paraId="3CE8660B">
      <w:pPr>
        <w:pStyle w:val="6"/>
        <w:ind w:left="0" w:leftChars="0" w:firstLine="640" w:firstLineChars="200"/>
        <w:rPr>
          <w:rFonts w:hint="eastAsia" w:ascii="仿宋" w:hAnsi="仿宋" w:eastAsia="仿宋" w:cs="仿宋"/>
          <w:kern w:val="2"/>
          <w:sz w:val="32"/>
          <w:szCs w:val="32"/>
          <w:lang w:val="en-US" w:eastAsia="zh-CN" w:bidi="ar-SA"/>
        </w:rPr>
      </w:pPr>
      <w:r>
        <w:rPr>
          <w:rFonts w:hint="eastAsia" w:ascii="仿宋" w:hAnsi="仿宋" w:eastAsia="仿宋" w:cs="仿宋"/>
          <w:kern w:val="2"/>
          <w:sz w:val="32"/>
          <w:szCs w:val="32"/>
          <w:lang w:val="en-US" w:eastAsia="zh-CN" w:bidi="ar-SA"/>
        </w:rPr>
        <w:t>县本级配套336.09万元，主要用于本单位人员及公用经费财政补助包干。</w:t>
      </w:r>
    </w:p>
    <w:p w14:paraId="74FE4328">
      <w:pPr>
        <w:keepNext w:val="0"/>
        <w:keepLines w:val="0"/>
        <w:pageBreakBefore w:val="0"/>
        <w:widowControl w:val="0"/>
        <w:numPr>
          <w:ilvl w:val="0"/>
          <w:numId w:val="0"/>
        </w:numPr>
        <w:kinsoku/>
        <w:wordWrap/>
        <w:overflowPunct/>
        <w:topLinePunct/>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院认真执行国家医保政策，切实履行与医保机构签订的服务协议，严防死守，坚决执行打击欺诈骗保行为。按照服务协议内容开展医保的各项工作，2024年我院就诊人次3.6万余人，其中住院人次430人，次均总费用：2241元，医疗发生总费用540万余元，报销330万余元，月均27.5万余元，实现了住院人次逐年下降，次均费用降低运行。</w:t>
      </w:r>
    </w:p>
    <w:p w14:paraId="76998A33">
      <w:pPr>
        <w:keepNext w:val="0"/>
        <w:keepLines w:val="0"/>
        <w:pageBreakBefore w:val="0"/>
        <w:widowControl w:val="0"/>
        <w:numPr>
          <w:ilvl w:val="0"/>
          <w:numId w:val="0"/>
        </w:numPr>
        <w:kinsoku/>
        <w:wordWrap/>
        <w:overflowPunct/>
        <w:topLinePunct/>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3.认真督促落实执行村卫生室门诊统筹工作，我院辖区9个定点村卫生室已全面实行了门诊统筹工作，</w:t>
      </w:r>
      <w:bookmarkStart w:id="1" w:name="_GoBack"/>
      <w:bookmarkEnd w:id="1"/>
      <w:r>
        <w:rPr>
          <w:rFonts w:hint="eastAsia" w:ascii="仿宋" w:hAnsi="仿宋" w:eastAsia="仿宋" w:cs="仿宋"/>
          <w:sz w:val="32"/>
          <w:szCs w:val="32"/>
          <w:lang w:val="en-US" w:eastAsia="zh-CN"/>
        </w:rPr>
        <w:t>完成了1200余人次的门诊统筹报销工作。</w:t>
      </w:r>
    </w:p>
    <w:p w14:paraId="76B9E07B">
      <w:pPr>
        <w:keepNext w:val="0"/>
        <w:keepLines w:val="0"/>
        <w:pageBreakBefore w:val="0"/>
        <w:widowControl w:val="0"/>
        <w:numPr>
          <w:ilvl w:val="0"/>
          <w:numId w:val="0"/>
        </w:numPr>
        <w:kinsoku/>
        <w:wordWrap/>
        <w:overflowPunct/>
        <w:topLinePunct/>
        <w:autoSpaceDE/>
        <w:autoSpaceDN/>
        <w:bidi w:val="0"/>
        <w:adjustRightInd/>
        <w:snapToGrid/>
        <w:ind w:leftChars="0"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4.认真履行监督自查工作，通过上级督查和院内监管自查，开展了多项自查自纠工作，将重点放在住院指针把控、住院检查、费用控制、医疗行为和职工门诊共济上，认真做到纠错认罚，及时处理，促使本院医保工作有序开展。</w:t>
      </w:r>
    </w:p>
    <w:p w14:paraId="69F15F33">
      <w:pPr>
        <w:pStyle w:val="4"/>
        <w:numPr>
          <w:ilvl w:val="0"/>
          <w:numId w:val="1"/>
        </w:numPr>
        <w:ind w:left="0" w:leftChars="0" w:firstLine="0" w:firstLineChars="0"/>
        <w:jc w:val="both"/>
        <w:rPr>
          <w:rFonts w:hint="eastAsia" w:ascii="宋体" w:hAnsi="宋体" w:eastAsia="宋体" w:cs="宋体"/>
          <w:sz w:val="32"/>
          <w:szCs w:val="32"/>
          <w:lang w:val="en-US" w:eastAsia="zh-CN"/>
        </w:rPr>
      </w:pPr>
      <w:r>
        <w:rPr>
          <w:rFonts w:hint="eastAsia" w:ascii="宋体" w:hAnsi="宋体" w:eastAsia="宋体" w:cs="宋体"/>
          <w:sz w:val="32"/>
          <w:szCs w:val="32"/>
          <w:lang w:val="en-US" w:eastAsia="zh-CN"/>
        </w:rPr>
        <w:t>存在的问题及改进措施</w:t>
      </w:r>
    </w:p>
    <w:p w14:paraId="1BC02EBD">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存在的问题</w:t>
      </w:r>
    </w:p>
    <w:p w14:paraId="481C8DB2">
      <w:pPr>
        <w:numPr>
          <w:ilvl w:val="0"/>
          <w:numId w:val="0"/>
        </w:numPr>
        <w:ind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我院分三个门诊部、3个医疗点、硬件设施落后，设备设施简陋，无法形成合力发展壮大，加上医保政策的原因，业务收入上升难，加之分散性经营，管理运行成本高，不能集中力量办事情，导致卫生院运转困难。</w:t>
      </w:r>
    </w:p>
    <w:p w14:paraId="0041FC6A">
      <w:pPr>
        <w:numPr>
          <w:ilvl w:val="0"/>
          <w:numId w:val="0"/>
        </w:numPr>
        <w:ind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2、财政经费保障不足，投入难以到位。人头经费、公卫经费、基本药物补助等不能足额、及时到位，加上人员结构不合理，人员支出成本大，包袱太重。</w:t>
      </w:r>
    </w:p>
    <w:p w14:paraId="20A277FC">
      <w:pPr>
        <w:numPr>
          <w:ilvl w:val="0"/>
          <w:numId w:val="0"/>
        </w:numPr>
        <w:ind w:leftChars="0"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三年疫情影响，师古门诊部作为隔离点三年多基本未开展医疗服务，对业务影响大。师古门诊未作为隔离点时,年业务收入最高达200余万元，实行隔离点运行来业务收入逐年下降，今年稍有回升。接种门诊在三年疫情中共接种新冠疫苗10多万余针剂，但通过三年的超负荷运转，设备陈旧，人员开支大，疫苗接种数下降等原因困难运行。</w:t>
      </w:r>
    </w:p>
    <w:p w14:paraId="75958FA6">
      <w:pPr>
        <w:numPr>
          <w:ilvl w:val="0"/>
          <w:numId w:val="0"/>
        </w:numPr>
        <w:ind w:firstLine="640" w:firstLineChars="20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4、由于近二年来我院医疗业务收入逐年上升，门诊人次增加较快，住院人次逐年下降，医保服务协议所定，费用指标出现了门诊和住院费用不适宜，今年来住院费用出现较多结余，门诊费用可能不够的情况。由于我院坐落城区，职工医保住院患者较多而与服务协议所定的费用较少产生了多次患者吐槽不理解情况。村级门诊统筹工作由于各村医疗水平较低，患者较少以及公卫3.0系统与医保平台系统不能兼容互通，而造成此项工作推进不理想。</w:t>
      </w:r>
    </w:p>
    <w:p w14:paraId="0334A3E3">
      <w:pPr>
        <w:numPr>
          <w:ilvl w:val="0"/>
          <w:numId w:val="0"/>
        </w:numPr>
        <w:ind w:leftChars="0" w:firstLine="640" w:firstLineChars="200"/>
        <w:rPr>
          <w:rFonts w:hint="eastAsia" w:ascii="仿宋" w:hAnsi="仿宋" w:eastAsia="仿宋" w:cs="仿宋"/>
          <w:sz w:val="32"/>
          <w:szCs w:val="32"/>
          <w:lang w:val="en-US" w:eastAsia="zh-CN"/>
        </w:rPr>
      </w:pPr>
      <w:r>
        <w:rPr>
          <w:rFonts w:hint="eastAsia" w:ascii="仿宋" w:hAnsi="仿宋" w:eastAsia="仿宋" w:cs="仿宋"/>
          <w:color w:val="auto"/>
          <w:sz w:val="32"/>
          <w:szCs w:val="32"/>
          <w:lang w:val="en-US" w:eastAsia="zh-CN"/>
        </w:rPr>
        <w:t>5、请求加强村级支持力度，每年65岁以上和重点人群免费体检工作任务重、时间长，没有村里面的支持很难完成目标人数和理想效果。同时请加强对村卫生室的政策倾斜。</w:t>
      </w:r>
    </w:p>
    <w:p w14:paraId="5FA12BDE">
      <w:pPr>
        <w:keepNext w:val="0"/>
        <w:keepLines w:val="0"/>
        <w:pageBreakBefore w:val="0"/>
        <w:widowControl w:val="0"/>
        <w:numPr>
          <w:ilvl w:val="0"/>
          <w:numId w:val="3"/>
        </w:numPr>
        <w:kinsoku/>
        <w:wordWrap/>
        <w:overflowPunct/>
        <w:topLinePunct w:val="0"/>
        <w:autoSpaceDE/>
        <w:autoSpaceDN/>
        <w:bidi w:val="0"/>
        <w:adjustRightInd w:val="0"/>
        <w:snapToGrid w:val="0"/>
        <w:spacing w:line="360" w:lineRule="auto"/>
        <w:ind w:left="0" w:leftChars="0" w:firstLine="640" w:firstLineChars="200"/>
        <w:jc w:val="left"/>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改进措施</w:t>
      </w:r>
    </w:p>
    <w:p w14:paraId="0B1589D6">
      <w:pPr>
        <w:keepNext w:val="0"/>
        <w:keepLines w:val="0"/>
        <w:pageBreakBefore w:val="0"/>
        <w:widowControl/>
        <w:kinsoku/>
        <w:wordWrap/>
        <w:overflowPunct/>
        <w:topLinePunct w:val="0"/>
        <w:autoSpaceDN/>
        <w:bidi w:val="0"/>
        <w:adjustRightInd w:val="0"/>
        <w:snapToGrid w:val="0"/>
        <w:spacing w:line="36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在今后的工作中，我院将抢抓新机遇，争创新优势，不断改进工作作风，加强人才培训，全面提升医院服务能力，实现医院发展新突破，新局面。努力抓好以下几个方面的工作： </w:t>
      </w:r>
    </w:p>
    <w:p w14:paraId="24C6516C">
      <w:pPr>
        <w:keepNext w:val="0"/>
        <w:keepLines w:val="0"/>
        <w:pageBreakBefore w:val="0"/>
        <w:widowControl/>
        <w:kinsoku/>
        <w:wordWrap/>
        <w:overflowPunct/>
        <w:topLinePunct w:val="0"/>
        <w:autoSpaceDN/>
        <w:bidi w:val="0"/>
        <w:adjustRightInd w:val="0"/>
        <w:snapToGrid w:val="0"/>
        <w:spacing w:line="36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1</w:t>
      </w:r>
      <w:r>
        <w:rPr>
          <w:rFonts w:hint="eastAsia" w:ascii="仿宋" w:hAnsi="仿宋" w:eastAsia="仿宋" w:cs="仿宋"/>
          <w:b w:val="0"/>
          <w:bCs w:val="0"/>
          <w:color w:val="auto"/>
          <w:sz w:val="32"/>
          <w:szCs w:val="32"/>
          <w:lang w:val="en-US" w:eastAsia="zh-CN"/>
        </w:rPr>
        <w:t>.</w:t>
      </w:r>
      <w:r>
        <w:rPr>
          <w:rFonts w:hint="eastAsia" w:ascii="仿宋" w:hAnsi="仿宋" w:eastAsia="仿宋" w:cs="仿宋"/>
          <w:b w:val="0"/>
          <w:bCs w:val="0"/>
          <w:color w:val="auto"/>
          <w:sz w:val="32"/>
          <w:szCs w:val="32"/>
        </w:rPr>
        <w:t>加大对功能科室的人才培养，继续派送人员到上级医院观摩、学习。探索建立跟师带教制度，解决“一人走、科室瘫”的人才断层问题。</w:t>
      </w:r>
    </w:p>
    <w:p w14:paraId="3F298B3C">
      <w:pPr>
        <w:keepNext w:val="0"/>
        <w:keepLines w:val="0"/>
        <w:pageBreakBefore w:val="0"/>
        <w:widowControl/>
        <w:kinsoku/>
        <w:wordWrap/>
        <w:overflowPunct/>
        <w:topLinePunct w:val="0"/>
        <w:autoSpaceDN/>
        <w:bidi w:val="0"/>
        <w:adjustRightInd w:val="0"/>
        <w:snapToGrid w:val="0"/>
        <w:spacing w:line="360" w:lineRule="auto"/>
        <w:ind w:firstLine="640" w:firstLineChars="200"/>
        <w:textAlignment w:val="auto"/>
        <w:rPr>
          <w:rFonts w:hint="eastAsia" w:ascii="仿宋" w:hAnsi="仿宋" w:eastAsia="仿宋" w:cs="仿宋"/>
          <w:b w:val="0"/>
          <w:bCs w:val="0"/>
          <w:color w:val="auto"/>
          <w:sz w:val="32"/>
          <w:szCs w:val="32"/>
        </w:rPr>
      </w:pPr>
      <w:r>
        <w:rPr>
          <w:rFonts w:hint="eastAsia" w:ascii="仿宋" w:hAnsi="仿宋" w:eastAsia="仿宋" w:cs="仿宋"/>
          <w:b w:val="0"/>
          <w:bCs w:val="0"/>
          <w:color w:val="auto"/>
          <w:sz w:val="32"/>
          <w:szCs w:val="32"/>
        </w:rPr>
        <w:t>2</w:t>
      </w:r>
      <w:r>
        <w:rPr>
          <w:rFonts w:hint="eastAsia" w:ascii="仿宋" w:hAnsi="仿宋" w:eastAsia="仿宋" w:cs="仿宋"/>
          <w:b w:val="0"/>
          <w:bCs w:val="0"/>
          <w:color w:val="auto"/>
          <w:sz w:val="32"/>
          <w:szCs w:val="32"/>
          <w:lang w:val="en-US" w:eastAsia="zh-CN"/>
        </w:rPr>
        <w:t>.</w:t>
      </w:r>
      <w:r>
        <w:rPr>
          <w:rFonts w:hint="eastAsia" w:ascii="仿宋" w:hAnsi="仿宋" w:eastAsia="仿宋" w:cs="仿宋"/>
          <w:b w:val="0"/>
          <w:bCs w:val="0"/>
          <w:color w:val="auto"/>
          <w:sz w:val="32"/>
          <w:szCs w:val="32"/>
        </w:rPr>
        <w:t>继续做好基本公共卫生和健康脱贫工作，突出防未病，减少因病致贫、返贫的发生。</w:t>
      </w:r>
    </w:p>
    <w:p w14:paraId="7A525577">
      <w:pPr>
        <w:numPr>
          <w:ilvl w:val="0"/>
          <w:numId w:val="0"/>
        </w:numPr>
        <w:ind w:firstLine="640" w:firstLineChars="200"/>
        <w:rPr>
          <w:rFonts w:hint="eastAsia" w:ascii="仿宋" w:hAnsi="仿宋" w:eastAsia="仿宋" w:cs="仿宋"/>
          <w:sz w:val="32"/>
          <w:szCs w:val="36"/>
          <w:lang w:val="en-US" w:eastAsia="zh-CN"/>
        </w:rPr>
      </w:pPr>
      <w:r>
        <w:rPr>
          <w:rFonts w:hint="eastAsia" w:ascii="仿宋" w:hAnsi="仿宋" w:eastAsia="仿宋" w:cs="仿宋"/>
          <w:b w:val="0"/>
          <w:bCs w:val="0"/>
          <w:color w:val="auto"/>
          <w:sz w:val="32"/>
          <w:szCs w:val="32"/>
          <w:lang w:val="en-US" w:eastAsia="zh-CN"/>
        </w:rPr>
        <w:t>3.</w:t>
      </w:r>
      <w:r>
        <w:rPr>
          <w:rFonts w:hint="eastAsia" w:ascii="仿宋" w:hAnsi="仿宋" w:eastAsia="仿宋" w:cs="仿宋"/>
          <w:sz w:val="32"/>
          <w:szCs w:val="36"/>
          <w:lang w:val="en-US" w:eastAsia="zh-CN"/>
        </w:rPr>
        <w:t>合理安排预算支出计划，避免超额支出的情况，以加强预算的控制。科学编制预算，提高预算准确率。以医保支付方式改革为契机，转变服务模式和管理理念，在提质、增效、控费上下功夫，加强各环节合理控制成本，不断推进医院精细化运营管理。</w:t>
      </w:r>
    </w:p>
    <w:p w14:paraId="06DE2810">
      <w:pPr>
        <w:pStyle w:val="4"/>
        <w:numPr>
          <w:ilvl w:val="0"/>
          <w:numId w:val="0"/>
        </w:numPr>
        <w:ind w:leftChars="0"/>
        <w:jc w:val="both"/>
        <w:rPr>
          <w:rFonts w:hint="default" w:ascii="宋体" w:hAnsi="宋体" w:eastAsia="宋体" w:cs="宋体"/>
          <w:sz w:val="32"/>
          <w:szCs w:val="32"/>
          <w:lang w:val="en-US" w:eastAsia="zh-CN"/>
        </w:rPr>
      </w:pPr>
      <w:r>
        <w:rPr>
          <w:rFonts w:hint="eastAsia" w:ascii="宋体" w:hAnsi="宋体" w:eastAsia="宋体" w:cs="宋体"/>
          <w:sz w:val="32"/>
          <w:szCs w:val="32"/>
          <w:lang w:val="en-US" w:eastAsia="zh-CN"/>
        </w:rPr>
        <w:t>四、其他需要说明的情况（无）</w:t>
      </w:r>
    </w:p>
    <w:p w14:paraId="4A510B4A">
      <w:pPr>
        <w:pStyle w:val="5"/>
        <w:numPr>
          <w:ilvl w:val="0"/>
          <w:numId w:val="0"/>
        </w:numPr>
        <w:ind w:leftChars="0"/>
        <w:rPr>
          <w:rFonts w:hint="default"/>
          <w:lang w:val="en-US" w:eastAsia="zh-CN"/>
        </w:rPr>
      </w:pPr>
    </w:p>
    <w:p w14:paraId="56124FC2">
      <w:pPr>
        <w:rPr>
          <w:rFonts w:hint="default"/>
          <w:lang w:val="en-US" w:eastAsia="zh-CN"/>
        </w:rPr>
      </w:pPr>
    </w:p>
    <w:p w14:paraId="3F2172D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ECC556"/>
    <w:multiLevelType w:val="singleLevel"/>
    <w:tmpl w:val="89ECC556"/>
    <w:lvl w:ilvl="0" w:tentative="0">
      <w:start w:val="1"/>
      <w:numFmt w:val="chineseCounting"/>
      <w:suff w:val="nothing"/>
      <w:lvlText w:val="（%1）"/>
      <w:lvlJc w:val="left"/>
      <w:rPr>
        <w:rFonts w:hint="eastAsia"/>
      </w:rPr>
    </w:lvl>
  </w:abstractNum>
  <w:abstractNum w:abstractNumId="1">
    <w:nsid w:val="BDF14505"/>
    <w:multiLevelType w:val="singleLevel"/>
    <w:tmpl w:val="BDF14505"/>
    <w:lvl w:ilvl="0" w:tentative="0">
      <w:start w:val="1"/>
      <w:numFmt w:val="chineseCounting"/>
      <w:suff w:val="nothing"/>
      <w:lvlText w:val="%1、"/>
      <w:lvlJc w:val="left"/>
      <w:rPr>
        <w:rFonts w:hint="eastAsia"/>
      </w:rPr>
    </w:lvl>
  </w:abstractNum>
  <w:abstractNum w:abstractNumId="2">
    <w:nsid w:val="1164C6BF"/>
    <w:multiLevelType w:val="singleLevel"/>
    <w:tmpl w:val="1164C6BF"/>
    <w:lvl w:ilvl="0" w:tentative="0">
      <w:start w:val="2"/>
      <w:numFmt w:val="decimal"/>
      <w:lvlText w:val="%1."/>
      <w:lvlJc w:val="left"/>
      <w:pPr>
        <w:tabs>
          <w:tab w:val="left" w:pos="312"/>
        </w:tabs>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JhYTEwMTQ3ODIyNjU5YWQwMjcyODkwMDA5N2YwZjEifQ=="/>
  </w:docVars>
  <w:rsids>
    <w:rsidRoot w:val="62893EB6"/>
    <w:rsid w:val="1B6C3FA8"/>
    <w:rsid w:val="1D846930"/>
    <w:rsid w:val="2E6764C9"/>
    <w:rsid w:val="333F5C66"/>
    <w:rsid w:val="34617E5C"/>
    <w:rsid w:val="380B371B"/>
    <w:rsid w:val="3C54519C"/>
    <w:rsid w:val="3F8D6F23"/>
    <w:rsid w:val="440D6D0B"/>
    <w:rsid w:val="459C5B50"/>
    <w:rsid w:val="4B891780"/>
    <w:rsid w:val="52E37656"/>
    <w:rsid w:val="62893EB6"/>
    <w:rsid w:val="75CD083D"/>
    <w:rsid w:val="77CA20D9"/>
    <w:rsid w:val="79912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rPr>
      <w:sz w:val="32"/>
    </w:rPr>
  </w:style>
  <w:style w:type="paragraph" w:styleId="3">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paragraph" w:styleId="4">
    <w:name w:val="Title"/>
    <w:basedOn w:val="1"/>
    <w:next w:val="5"/>
    <w:qFormat/>
    <w:uiPriority w:val="0"/>
    <w:pPr>
      <w:spacing w:before="240" w:beforeAutospacing="0" w:after="60" w:afterAutospacing="0"/>
      <w:jc w:val="center"/>
      <w:outlineLvl w:val="0"/>
    </w:pPr>
    <w:rPr>
      <w:rFonts w:ascii="Arial" w:hAnsi="Arial"/>
      <w:b/>
      <w:sz w:val="32"/>
    </w:rPr>
  </w:style>
  <w:style w:type="paragraph" w:customStyle="1" w:styleId="5">
    <w:name w:val="BodyTextIndent"/>
    <w:basedOn w:val="1"/>
    <w:next w:val="1"/>
    <w:qFormat/>
    <w:uiPriority w:val="0"/>
    <w:pPr>
      <w:spacing w:after="120" w:afterLines="0"/>
      <w:ind w:left="420" w:leftChars="200"/>
      <w:jc w:val="both"/>
      <w:textAlignment w:val="baseline"/>
    </w:pPr>
  </w:style>
  <w:style w:type="paragraph" w:styleId="6">
    <w:name w:val="Body Text First Indent 2"/>
    <w:basedOn w:val="2"/>
    <w:qFormat/>
    <w:uiPriority w:val="0"/>
    <w:pPr>
      <w:ind w:left="420" w:leftChars="200" w:firstLine="21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2997</Words>
  <Characters>3250</Characters>
  <Lines>0</Lines>
  <Paragraphs>0</Paragraphs>
  <TotalTime>3</TotalTime>
  <ScaleCrop>false</ScaleCrop>
  <LinksUpToDate>false</LinksUpToDate>
  <CharactersWithSpaces>3268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2024-09-18T02:40:00Z</dcterms:created>
  <dc:creator>下站   思念</dc:creator>
  <cp:lastModifiedBy>下站   思念</cp:lastModifiedBy>
  <cp:lastPrinted>2024-09-18T03:11:00Z</cp:lastPrinted>
  <dcterms:modified xsi:type="dcterms:W3CDTF">2025-09-26T08:07:52Z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E8E1265D048D4B4C9816B733592C6D6C_13</vt:lpwstr>
  </property>
  <property fmtid="{D5CDD505-2E9C-101B-9397-08002B2CF9AE}" pid="4" name="KSOTemplateDocerSaveRecord">
    <vt:lpwstr>eyJoZGlkIjoiZTJhYTEwMTQ3ODIyNjU5YWQwMjcyODkwMDA5N2YwZjEiLCJ1c2VySWQiOiI2ODUxMTI2MTkifQ==</vt:lpwstr>
  </property>
</Properties>
</file>