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E08B8">
      <w:pPr>
        <w:jc w:val="center"/>
        <w:rPr>
          <w:rFonts w:hint="eastAsia" w:ascii="方正小标宋_GBK" w:eastAsia="方正小标宋_GBK"/>
          <w:sz w:val="48"/>
          <w:szCs w:val="48"/>
          <w:lang w:val="en-US" w:eastAsia="zh-CN"/>
        </w:rPr>
      </w:pPr>
    </w:p>
    <w:p w14:paraId="78EC61A3">
      <w:pPr>
        <w:jc w:val="center"/>
        <w:rPr>
          <w:rFonts w:ascii="方正小标宋_GBK" w:eastAsia="方正小标宋_GBK"/>
          <w:sz w:val="48"/>
          <w:szCs w:val="48"/>
        </w:rPr>
      </w:pPr>
      <w:r>
        <w:rPr>
          <w:rFonts w:hint="eastAsia" w:ascii="方正小标宋_GBK" w:eastAsia="方正小标宋_GBK"/>
          <w:sz w:val="48"/>
          <w:szCs w:val="48"/>
          <w:lang w:val="en-US" w:eastAsia="zh-CN"/>
        </w:rPr>
        <w:t>2024</w:t>
      </w:r>
      <w:r>
        <w:rPr>
          <w:rFonts w:hint="eastAsia" w:ascii="方正小标宋_GBK" w:eastAsia="方正小标宋_GBK"/>
          <w:sz w:val="48"/>
          <w:szCs w:val="48"/>
        </w:rPr>
        <w:t>年度部门整体支出绩效自评报告</w:t>
      </w:r>
    </w:p>
    <w:p w14:paraId="49DFBF69">
      <w:pPr>
        <w:jc w:val="center"/>
        <w:rPr>
          <w:rFonts w:ascii="黑体" w:eastAsia="黑体"/>
          <w:sz w:val="32"/>
          <w:szCs w:val="32"/>
        </w:rPr>
      </w:pPr>
    </w:p>
    <w:p w14:paraId="3E58954A">
      <w:pPr>
        <w:jc w:val="center"/>
        <w:rPr>
          <w:rFonts w:ascii="黑体" w:eastAsia="黑体"/>
          <w:sz w:val="32"/>
          <w:szCs w:val="32"/>
        </w:rPr>
      </w:pPr>
    </w:p>
    <w:p w14:paraId="4B7E015A">
      <w:pPr>
        <w:jc w:val="center"/>
        <w:rPr>
          <w:rFonts w:ascii="黑体" w:eastAsia="黑体"/>
          <w:sz w:val="32"/>
          <w:szCs w:val="32"/>
        </w:rPr>
      </w:pPr>
    </w:p>
    <w:p w14:paraId="298FF00B">
      <w:pPr>
        <w:jc w:val="center"/>
        <w:rPr>
          <w:rFonts w:ascii="黑体" w:eastAsia="黑体"/>
          <w:sz w:val="32"/>
          <w:szCs w:val="32"/>
        </w:rPr>
      </w:pPr>
    </w:p>
    <w:p w14:paraId="14FA8CA5">
      <w:pPr>
        <w:jc w:val="center"/>
        <w:rPr>
          <w:rFonts w:ascii="黑体" w:eastAsia="黑体"/>
          <w:sz w:val="32"/>
          <w:szCs w:val="32"/>
        </w:rPr>
      </w:pPr>
    </w:p>
    <w:p w14:paraId="340B0155">
      <w:pPr>
        <w:jc w:val="center"/>
        <w:rPr>
          <w:rFonts w:ascii="黑体" w:eastAsia="黑体"/>
          <w:sz w:val="32"/>
          <w:szCs w:val="32"/>
        </w:rPr>
      </w:pPr>
    </w:p>
    <w:p w14:paraId="31ACBF5D">
      <w:pPr>
        <w:jc w:val="center"/>
        <w:rPr>
          <w:rFonts w:ascii="黑体" w:eastAsia="黑体"/>
          <w:sz w:val="32"/>
          <w:szCs w:val="32"/>
        </w:rPr>
      </w:pPr>
    </w:p>
    <w:p w14:paraId="1CC8169D">
      <w:pPr>
        <w:jc w:val="center"/>
        <w:rPr>
          <w:rFonts w:ascii="黑体" w:eastAsia="黑体"/>
          <w:sz w:val="32"/>
          <w:szCs w:val="32"/>
        </w:rPr>
      </w:pPr>
    </w:p>
    <w:p w14:paraId="0D9FB67D">
      <w:pPr>
        <w:rPr>
          <w:rFonts w:ascii="黑体" w:eastAsia="黑体"/>
          <w:sz w:val="32"/>
          <w:szCs w:val="32"/>
        </w:rPr>
      </w:pPr>
    </w:p>
    <w:p w14:paraId="0B16AE6D">
      <w:pPr>
        <w:pStyle w:val="8"/>
      </w:pPr>
    </w:p>
    <w:p w14:paraId="216FA58F">
      <w:pPr>
        <w:pStyle w:val="8"/>
      </w:pPr>
    </w:p>
    <w:p w14:paraId="14DFC68B">
      <w:pPr>
        <w:jc w:val="center"/>
        <w:rPr>
          <w:rFonts w:ascii="黑体" w:eastAsia="黑体"/>
          <w:sz w:val="32"/>
          <w:szCs w:val="32"/>
        </w:rPr>
      </w:pPr>
    </w:p>
    <w:p w14:paraId="3F5A3478">
      <w:pPr>
        <w:pStyle w:val="2"/>
        <w:kinsoku w:val="0"/>
        <w:overflowPunct w:val="0"/>
        <w:spacing w:before="65" w:line="276" w:lineRule="auto"/>
        <w:ind w:right="236" w:firstLine="2160" w:firstLineChars="600"/>
        <w:jc w:val="left"/>
        <w:rPr>
          <w:rFonts w:hint="eastAsia" w:ascii="仿宋" w:hAnsi="仿宋" w:eastAsia="仿宋" w:cs="仿宋"/>
          <w:kern w:val="2"/>
          <w:sz w:val="32"/>
          <w:szCs w:val="32"/>
          <w:lang w:val="en-US" w:eastAsia="zh-CN" w:bidi="ar-SA"/>
        </w:rPr>
      </w:pPr>
      <w:r>
        <w:rPr>
          <w:rFonts w:hint="eastAsia" w:ascii="方正小标宋_GBK" w:hAnsi="Calibri" w:eastAsia="方正小标宋_GBK" w:cs="Times New Roman"/>
          <w:kern w:val="2"/>
          <w:sz w:val="36"/>
          <w:szCs w:val="36"/>
          <w:lang w:val="en-US" w:eastAsia="zh-CN" w:bidi="ar-SA"/>
        </w:rPr>
        <w:t>衡山县</w:t>
      </w:r>
      <w:r>
        <w:rPr>
          <w:rFonts w:hint="eastAsia" w:ascii="方正小标宋_GBK" w:eastAsia="方正小标宋_GBK" w:cs="Times New Roman"/>
          <w:kern w:val="2"/>
          <w:sz w:val="36"/>
          <w:szCs w:val="36"/>
          <w:lang w:val="en-US" w:eastAsia="zh-CN" w:bidi="ar-SA"/>
        </w:rPr>
        <w:t>江东乡卫生院</w:t>
      </w:r>
      <w:r>
        <w:rPr>
          <w:rFonts w:hint="eastAsia" w:ascii="方正小标宋_GBK" w:hAnsi="Calibri" w:eastAsia="方正小标宋_GBK" w:cs="Times New Roman"/>
          <w:kern w:val="2"/>
          <w:sz w:val="36"/>
          <w:szCs w:val="36"/>
          <w:lang w:val="en-US" w:eastAsia="zh-CN" w:bidi="ar-SA"/>
        </w:rPr>
        <w:tab/>
      </w:r>
      <w:r>
        <w:rPr>
          <w:rFonts w:hint="eastAsia" w:ascii="方正小标宋_GBK" w:hAnsi="Calibri" w:eastAsia="方正小标宋_GBK" w:cs="Times New Roman"/>
          <w:kern w:val="2"/>
          <w:sz w:val="36"/>
          <w:szCs w:val="36"/>
          <w:lang w:val="en-US" w:eastAsia="zh-CN" w:bidi="ar-SA"/>
        </w:rPr>
        <w:br w:type="page"/>
      </w:r>
      <w:r>
        <w:rPr>
          <w:rFonts w:hint="eastAsia"/>
          <w:lang w:val="en-US" w:eastAsia="zh-CN"/>
        </w:rPr>
        <w:t xml:space="preserve">   </w:t>
      </w:r>
      <w:r>
        <w:rPr>
          <w:rFonts w:hint="eastAsia" w:ascii="仿宋" w:hAnsi="仿宋" w:eastAsia="仿宋" w:cs="仿宋"/>
          <w:kern w:val="2"/>
          <w:sz w:val="32"/>
          <w:szCs w:val="32"/>
          <w:lang w:val="en-US" w:eastAsia="zh-CN" w:bidi="ar-SA"/>
        </w:rPr>
        <w:t xml:space="preserve"> 根据《预算法》有关“各级政府、各部门、各单位应当对预算支出情况开展绩效评价”的规定及衡山县财政局关于印发《</w:t>
      </w:r>
      <w:bookmarkStart w:id="0" w:name="OLE_LINK5"/>
      <w:r>
        <w:rPr>
          <w:rFonts w:hint="eastAsia" w:ascii="仿宋" w:hAnsi="仿宋" w:eastAsia="仿宋" w:cs="仿宋"/>
          <w:kern w:val="2"/>
          <w:sz w:val="32"/>
          <w:szCs w:val="32"/>
          <w:lang w:val="en-US" w:eastAsia="zh-CN" w:bidi="ar-SA"/>
        </w:rPr>
        <w:t>衡山县财政局关于对2024年度部门整体支出开展绩效自评有关事项的通知</w:t>
      </w:r>
      <w:bookmarkEnd w:id="0"/>
      <w:r>
        <w:rPr>
          <w:rFonts w:hint="eastAsia" w:ascii="仿宋" w:hAnsi="仿宋" w:eastAsia="仿宋" w:cs="仿宋"/>
          <w:kern w:val="2"/>
          <w:sz w:val="32"/>
          <w:szCs w:val="32"/>
          <w:lang w:val="en-US" w:eastAsia="zh-CN" w:bidi="ar-SA"/>
        </w:rPr>
        <w:t>》（山财绩﹝2025﹞69号）文件精神，衡山县江东乡卫生院对部门整体支出及专项项目资金支进行了绩效评价，现将自评有关情况报告如下：</w:t>
      </w:r>
    </w:p>
    <w:p w14:paraId="7121EC36">
      <w:pPr>
        <w:pStyle w:val="6"/>
        <w:numPr>
          <w:ilvl w:val="0"/>
          <w:numId w:val="0"/>
        </w:numPr>
        <w:ind w:left="0" w:leftChars="0" w:firstLine="0" w:firstLineChars="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部门概况</w:t>
      </w:r>
    </w:p>
    <w:p w14:paraId="0FBA9520">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（一）部门基本情况</w:t>
      </w:r>
    </w:p>
    <w:p w14:paraId="17838F6E">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衡山县江东乡卫生院为二级预算单位，负责人：廖文伟，机构地址：衡山县江东乡白山村。</w:t>
      </w:r>
    </w:p>
    <w:p w14:paraId="3F71E748">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（二）机构设置情况</w:t>
      </w:r>
    </w:p>
    <w:p w14:paraId="365D2D03">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衡山县江东乡卫生院为正股级医疗机构，开设有院办、财务室、党建办、内科、儿科、中医科、护理部、预防保健科、公共卫生科、化验室、B超、预防接种室等科室。</w:t>
      </w:r>
    </w:p>
    <w:p w14:paraId="191BACCA">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（三）部门职能职责</w:t>
      </w:r>
    </w:p>
    <w:p w14:paraId="6CD62D41">
      <w:pPr>
        <w:pStyle w:val="7"/>
        <w:numPr>
          <w:ilvl w:val="0"/>
          <w:numId w:val="0"/>
        </w:num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衡山县江东乡卫生院主要职责：公共卫生服务为主，为群众提供中西医医疗、预防、保健、康复等医疗卫生服务；贯彻落实医药卫生体制改革、中西医并重方针和国家中医药法律法规，执行中医药政策，拟定实施中医药和中西医结合发展战略、规划，加强医院标准化管理；贯彻落实国家基本药物制度和药品集中采购工作，执行医用耗材集中采购工作，负责医院内部药品和医疗器械管理工作；开展各种医疗保健卫生知识宣传，做好城镇职工医疗保险，城乡居民合作医疗保险等定点医疗机构的各项工作。完成县卫生健康局交办的其他任务。</w:t>
      </w:r>
    </w:p>
    <w:p w14:paraId="0BFA245F">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（四）人员编制情况</w:t>
      </w:r>
    </w:p>
    <w:p w14:paraId="7A001CEF">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截止2024年12月31日，衡山县江东乡卫生院核定编制人数22人，现有在职人员22人，其中编制人员10人。</w:t>
      </w:r>
    </w:p>
    <w:p w14:paraId="544CDB2B">
      <w:pPr>
        <w:pStyle w:val="6"/>
        <w:numPr>
          <w:ilvl w:val="0"/>
          <w:numId w:val="0"/>
        </w:numPr>
        <w:ind w:left="0" w:leftChars="0" w:firstLine="0" w:firstLineChars="0"/>
        <w:jc w:val="both"/>
        <w:rPr>
          <w:rFonts w:hint="eastAsia" w:ascii="宋体" w:hAnsi="宋体" w:cs="宋体"/>
          <w:sz w:val="32"/>
          <w:szCs w:val="32"/>
          <w:lang w:val="en-US" w:eastAsia="zh-CN"/>
        </w:rPr>
      </w:pPr>
      <w:r>
        <w:rPr>
          <w:rFonts w:hint="eastAsia" w:ascii="宋体" w:hAnsi="宋体" w:cs="宋体"/>
          <w:sz w:val="32"/>
          <w:szCs w:val="32"/>
          <w:lang w:val="en-US" w:eastAsia="zh-CN"/>
        </w:rPr>
        <w:t>预算支出及绩效情况</w:t>
      </w:r>
    </w:p>
    <w:p w14:paraId="29BB4A15">
      <w:pPr>
        <w:keepNext w:val="0"/>
        <w:keepLines w:val="0"/>
        <w:pageBreakBefore w:val="0"/>
        <w:widowControl w:val="0"/>
        <w:kinsoku/>
        <w:wordWrap/>
        <w:overflowPunct/>
        <w:topLinePunct w:val="0"/>
        <w:autoSpaceDE/>
        <w:autoSpaceDN/>
        <w:bidi w:val="0"/>
        <w:spacing w:line="360" w:lineRule="auto"/>
        <w:ind w:firstLine="321" w:firstLineChars="100"/>
        <w:rPr>
          <w:rFonts w:hint="eastAsia" w:ascii="仿宋" w:hAnsi="仿宋" w:eastAsia="仿宋" w:cs="仿宋"/>
          <w:b/>
          <w:bCs/>
          <w:sz w:val="32"/>
          <w:szCs w:val="32"/>
        </w:rPr>
      </w:pPr>
      <w:r>
        <w:rPr>
          <w:rFonts w:hint="eastAsia" w:ascii="仿宋" w:hAnsi="仿宋" w:eastAsia="仿宋" w:cs="仿宋"/>
          <w:b/>
          <w:bCs/>
          <w:sz w:val="32"/>
          <w:szCs w:val="32"/>
        </w:rPr>
        <w:t>（一）</w:t>
      </w:r>
      <w:r>
        <w:rPr>
          <w:rFonts w:hint="eastAsia" w:ascii="仿宋" w:hAnsi="仿宋" w:eastAsia="仿宋" w:cs="仿宋"/>
          <w:b/>
          <w:bCs/>
          <w:sz w:val="32"/>
          <w:szCs w:val="32"/>
          <w:lang w:val="en-US" w:eastAsia="zh-CN"/>
        </w:rPr>
        <w:t>部门</w:t>
      </w:r>
      <w:r>
        <w:rPr>
          <w:rFonts w:hint="eastAsia" w:ascii="仿宋" w:hAnsi="仿宋" w:eastAsia="仿宋" w:cs="仿宋"/>
          <w:b/>
          <w:bCs/>
          <w:sz w:val="32"/>
          <w:szCs w:val="32"/>
        </w:rPr>
        <w:t>预决算情况</w:t>
      </w:r>
    </w:p>
    <w:p w14:paraId="5A4E1C0B">
      <w:pPr>
        <w:keepNext w:val="0"/>
        <w:keepLines w:val="0"/>
        <w:pageBreakBefore w:val="0"/>
        <w:widowControl w:val="0"/>
        <w:kinsoku/>
        <w:wordWrap/>
        <w:overflowPunct/>
        <w:topLinePunct w:val="0"/>
        <w:autoSpaceDE/>
        <w:autoSpaceDN/>
        <w:bidi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1.部门</w:t>
      </w:r>
      <w:r>
        <w:rPr>
          <w:rFonts w:hint="eastAsia" w:ascii="仿宋" w:hAnsi="仿宋" w:eastAsia="仿宋" w:cs="仿宋"/>
          <w:b/>
          <w:bCs/>
          <w:sz w:val="32"/>
          <w:szCs w:val="32"/>
        </w:rPr>
        <w:t>预算情况</w:t>
      </w:r>
    </w:p>
    <w:p w14:paraId="75974BEC">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2024年</w:t>
      </w:r>
      <w:r>
        <w:rPr>
          <w:rFonts w:hint="eastAsia" w:ascii="仿宋" w:hAnsi="仿宋" w:eastAsia="仿宋" w:cs="仿宋"/>
          <w:sz w:val="32"/>
          <w:szCs w:val="32"/>
        </w:rPr>
        <w:t>年初预算安排收入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万元，其中一般公共财政拨款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2024年</w:t>
      </w:r>
      <w:r>
        <w:rPr>
          <w:rFonts w:hint="eastAsia" w:ascii="仿宋" w:hAnsi="仿宋" w:eastAsia="仿宋" w:cs="仿宋"/>
          <w:sz w:val="32"/>
          <w:szCs w:val="32"/>
        </w:rPr>
        <w:t>年初预算安排支出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1C8AB649">
      <w:pPr>
        <w:keepNext w:val="0"/>
        <w:keepLines w:val="0"/>
        <w:pageBreakBefore w:val="0"/>
        <w:widowControl w:val="0"/>
        <w:numPr>
          <w:ilvl w:val="0"/>
          <w:numId w:val="0"/>
        </w:numPr>
        <w:kinsoku/>
        <w:wordWrap/>
        <w:overflowPunct/>
        <w:topLinePunct w:val="0"/>
        <w:autoSpaceDE/>
        <w:autoSpaceDN/>
        <w:bidi w:val="0"/>
        <w:spacing w:line="360" w:lineRule="auto"/>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2.部门</w:t>
      </w:r>
      <w:r>
        <w:rPr>
          <w:rFonts w:hint="eastAsia" w:ascii="仿宋" w:hAnsi="仿宋" w:eastAsia="仿宋" w:cs="仿宋"/>
          <w:b/>
          <w:bCs/>
          <w:sz w:val="32"/>
          <w:szCs w:val="32"/>
        </w:rPr>
        <w:t>决算情况</w:t>
      </w:r>
    </w:p>
    <w:p w14:paraId="06C17ECC">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rPr>
          <w:rFonts w:ascii="仿宋" w:hAnsi="仿宋" w:eastAsia="仿宋" w:cs="仿宋"/>
          <w:sz w:val="32"/>
          <w:szCs w:val="32"/>
          <w:lang w:val="en-US"/>
        </w:rPr>
      </w:pPr>
      <w:r>
        <w:rPr>
          <w:rFonts w:hint="eastAsia" w:ascii="仿宋" w:hAnsi="仿宋" w:eastAsia="仿宋" w:cs="仿宋"/>
          <w:sz w:val="32"/>
          <w:szCs w:val="32"/>
          <w:lang w:val="en-US" w:eastAsia="zh-CN"/>
        </w:rPr>
        <w:t>本单位纳入2024年</w:t>
      </w:r>
      <w:r>
        <w:rPr>
          <w:rFonts w:hint="eastAsia" w:ascii="仿宋" w:hAnsi="仿宋" w:eastAsia="仿宋" w:cs="仿宋"/>
          <w:sz w:val="32"/>
          <w:szCs w:val="32"/>
        </w:rPr>
        <w:t>决算总收</w:t>
      </w:r>
      <w:r>
        <w:rPr>
          <w:rFonts w:hint="eastAsia" w:ascii="仿宋" w:hAnsi="仿宋" w:eastAsia="仿宋" w:cs="仿宋"/>
          <w:sz w:val="32"/>
          <w:szCs w:val="32"/>
          <w:lang w:val="en-US" w:eastAsia="zh-CN"/>
        </w:rPr>
        <w:t>入708.04</w:t>
      </w:r>
      <w:bookmarkStart w:id="1" w:name="_GoBack"/>
      <w:bookmarkEnd w:id="1"/>
      <w:r>
        <w:rPr>
          <w:rFonts w:hint="eastAsia" w:ascii="仿宋" w:hAnsi="仿宋" w:eastAsia="仿宋" w:cs="仿宋"/>
          <w:sz w:val="32"/>
          <w:szCs w:val="32"/>
        </w:rPr>
        <w:t>万元，较预算减少128.54万元，总支出710.38万元，其中：基本支出403.67万元，占总支出的56.82％；项目支出306.71万元，占总支出的43.18％。差异产生的主要原因</w:t>
      </w:r>
      <w:r>
        <w:rPr>
          <w:rFonts w:hint="eastAsia" w:ascii="仿宋" w:hAnsi="仿宋" w:eastAsia="仿宋" w:cs="仿宋"/>
          <w:sz w:val="32"/>
          <w:szCs w:val="32"/>
          <w:lang w:val="en-US" w:eastAsia="zh-CN"/>
        </w:rPr>
        <w:t>一</w:t>
      </w:r>
      <w:r>
        <w:rPr>
          <w:rFonts w:hint="eastAsia" w:ascii="仿宋" w:hAnsi="仿宋" w:eastAsia="仿宋" w:cs="仿宋"/>
          <w:sz w:val="32"/>
          <w:szCs w:val="32"/>
        </w:rPr>
        <w:t>是</w:t>
      </w:r>
      <w:r>
        <w:rPr>
          <w:rFonts w:hint="eastAsia" w:ascii="仿宋" w:hAnsi="仿宋" w:eastAsia="仿宋" w:cs="仿宋"/>
          <w:sz w:val="32"/>
          <w:szCs w:val="32"/>
          <w:lang w:val="en-US" w:eastAsia="zh-CN"/>
        </w:rPr>
        <w:t>基本公共卫生服务补助、基本药物制度补助及医疗体制改革补助未单独纳入基层医疗机构财务集中核算中心年初部门预算，而是纳入卫健系统年初重点项目预算；二是业务收入也未纳入年初部门预算。</w:t>
      </w:r>
    </w:p>
    <w:p w14:paraId="1E9CDB70">
      <w:pPr>
        <w:keepNext w:val="0"/>
        <w:keepLines w:val="0"/>
        <w:pageBreakBefore w:val="0"/>
        <w:widowControl w:val="0"/>
        <w:numPr>
          <w:ilvl w:val="0"/>
          <w:numId w:val="0"/>
        </w:numPr>
        <w:kinsoku/>
        <w:wordWrap/>
        <w:overflowPunct/>
        <w:topLinePunct w:val="0"/>
        <w:autoSpaceDE/>
        <w:autoSpaceDN/>
        <w:bidi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“三公"经费执行情况</w:t>
      </w:r>
    </w:p>
    <w:p w14:paraId="595E1938">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2024年</w:t>
      </w:r>
      <w:r>
        <w:rPr>
          <w:rFonts w:hint="eastAsia" w:ascii="仿宋" w:hAnsi="仿宋" w:eastAsia="仿宋" w:cs="仿宋"/>
          <w:sz w:val="32"/>
          <w:szCs w:val="32"/>
        </w:rPr>
        <w:t>“三公"经费预算数</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万元，其中：因公出国（境）费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万元，公务用车购置及运行维护费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万元。“三公"经费决算数</w:t>
      </w:r>
      <w:r>
        <w:rPr>
          <w:rFonts w:hint="eastAsia" w:ascii="仿宋" w:hAnsi="仿宋" w:eastAsia="仿宋" w:cs="仿宋"/>
          <w:sz w:val="32"/>
          <w:szCs w:val="32"/>
          <w:lang w:val="en-US" w:eastAsia="zh-CN"/>
        </w:rPr>
        <w:t>0</w:t>
      </w:r>
      <w:r>
        <w:rPr>
          <w:rFonts w:hint="eastAsia" w:ascii="仿宋" w:hAnsi="仿宋" w:eastAsia="仿宋" w:cs="仿宋"/>
          <w:sz w:val="32"/>
          <w:szCs w:val="32"/>
        </w:rPr>
        <w:t>元，其中：因公出国（境）费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4E3A08C7">
      <w:pPr>
        <w:keepNext w:val="0"/>
        <w:keepLines w:val="0"/>
        <w:pageBreakBefore w:val="0"/>
        <w:widowControl w:val="0"/>
        <w:numPr>
          <w:ilvl w:val="0"/>
          <w:numId w:val="0"/>
        </w:numPr>
        <w:kinsoku/>
        <w:wordWrap/>
        <w:overflowPunct/>
        <w:topLinePunct w:val="0"/>
        <w:autoSpaceDE/>
        <w:autoSpaceDN/>
        <w:bidi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政府采购执行情况</w:t>
      </w:r>
    </w:p>
    <w:p w14:paraId="34295460">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2024年</w:t>
      </w:r>
      <w:r>
        <w:rPr>
          <w:rFonts w:hint="eastAsia" w:ascii="仿宋" w:hAnsi="仿宋" w:eastAsia="仿宋" w:cs="仿宋"/>
          <w:sz w:val="32"/>
          <w:szCs w:val="32"/>
        </w:rPr>
        <w:t>度政府采购支出</w:t>
      </w:r>
      <w:r>
        <w:rPr>
          <w:rFonts w:hint="eastAsia" w:ascii="仿宋" w:hAnsi="仿宋" w:eastAsia="仿宋" w:cs="仿宋"/>
          <w:sz w:val="32"/>
          <w:szCs w:val="32"/>
          <w:lang w:val="en-US" w:eastAsia="zh-CN"/>
        </w:rPr>
        <w:t>45.85</w:t>
      </w:r>
      <w:r>
        <w:rPr>
          <w:rFonts w:hint="eastAsia" w:ascii="仿宋" w:hAnsi="仿宋" w:eastAsia="仿宋" w:cs="仿宋"/>
          <w:sz w:val="32"/>
          <w:szCs w:val="32"/>
        </w:rPr>
        <w:t>万元，其中：货物</w:t>
      </w:r>
      <w:r>
        <w:rPr>
          <w:rFonts w:hint="eastAsia" w:ascii="仿宋" w:hAnsi="仿宋" w:eastAsia="仿宋" w:cs="仿宋"/>
          <w:sz w:val="32"/>
          <w:szCs w:val="32"/>
          <w:lang w:val="en-US" w:eastAsia="zh-CN"/>
        </w:rPr>
        <w:t>45.85万</w:t>
      </w:r>
      <w:r>
        <w:rPr>
          <w:rFonts w:hint="eastAsia" w:ascii="仿宋" w:hAnsi="仿宋" w:eastAsia="仿宋" w:cs="仿宋"/>
          <w:sz w:val="32"/>
          <w:szCs w:val="32"/>
        </w:rPr>
        <w:t>元，工程</w:t>
      </w:r>
      <w:r>
        <w:rPr>
          <w:rFonts w:hint="eastAsia" w:ascii="仿宋" w:hAnsi="仿宋" w:eastAsia="仿宋" w:cs="仿宋"/>
          <w:sz w:val="32"/>
          <w:szCs w:val="32"/>
          <w:lang w:val="en-US" w:eastAsia="zh-CN"/>
        </w:rPr>
        <w:t>0</w:t>
      </w:r>
      <w:r>
        <w:rPr>
          <w:rFonts w:hint="eastAsia" w:ascii="仿宋" w:hAnsi="仿宋" w:eastAsia="仿宋" w:cs="仿宋"/>
          <w:sz w:val="32"/>
          <w:szCs w:val="32"/>
        </w:rPr>
        <w:t>万元，服务</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72420892">
      <w:pPr>
        <w:keepNext w:val="0"/>
        <w:keepLines w:val="0"/>
        <w:pageBreakBefore w:val="0"/>
        <w:widowControl w:val="0"/>
        <w:numPr>
          <w:ilvl w:val="0"/>
          <w:numId w:val="0"/>
        </w:numPr>
        <w:kinsoku/>
        <w:wordWrap/>
        <w:overflowPunct/>
        <w:topLinePunct w:val="0"/>
        <w:autoSpaceDE/>
        <w:autoSpaceDN/>
        <w:bidi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5.</w:t>
      </w:r>
      <w:r>
        <w:rPr>
          <w:rFonts w:hint="eastAsia" w:ascii="仿宋" w:hAnsi="仿宋" w:eastAsia="仿宋" w:cs="仿宋"/>
          <w:b/>
          <w:bCs/>
          <w:sz w:val="32"/>
          <w:szCs w:val="32"/>
        </w:rPr>
        <w:t>资产管理情况</w:t>
      </w:r>
    </w:p>
    <w:p w14:paraId="7FE38FF0">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2024年</w:t>
      </w:r>
      <w:r>
        <w:rPr>
          <w:rFonts w:hint="eastAsia" w:ascii="仿宋" w:hAnsi="仿宋" w:eastAsia="仿宋" w:cs="仿宋"/>
          <w:sz w:val="32"/>
          <w:szCs w:val="32"/>
        </w:rPr>
        <w:t>年末资产总额1130.6万元，负债总额321.63万元，净资产808.97万元。截至</w:t>
      </w:r>
      <w:r>
        <w:rPr>
          <w:rFonts w:hint="eastAsia" w:ascii="仿宋" w:hAnsi="仿宋" w:eastAsia="仿宋" w:cs="仿宋"/>
          <w:sz w:val="32"/>
          <w:szCs w:val="32"/>
          <w:lang w:eastAsia="zh-CN"/>
        </w:rPr>
        <w:t>2024年</w:t>
      </w:r>
      <w:r>
        <w:rPr>
          <w:rFonts w:hint="eastAsia" w:ascii="仿宋" w:hAnsi="仿宋" w:eastAsia="仿宋" w:cs="仿宋"/>
          <w:sz w:val="32"/>
          <w:szCs w:val="32"/>
        </w:rPr>
        <w:t>12月31日，固定资产账面原值</w:t>
      </w:r>
      <w:r>
        <w:rPr>
          <w:rFonts w:hint="eastAsia" w:ascii="仿宋" w:hAnsi="仿宋" w:eastAsia="仿宋" w:cs="仿宋"/>
          <w:sz w:val="32"/>
          <w:szCs w:val="32"/>
          <w:lang w:val="en-US" w:eastAsia="zh-CN"/>
        </w:rPr>
        <w:t>443.55</w:t>
      </w:r>
      <w:r>
        <w:rPr>
          <w:rFonts w:hint="eastAsia" w:ascii="仿宋" w:hAnsi="仿宋" w:eastAsia="仿宋" w:cs="仿宋"/>
          <w:sz w:val="32"/>
          <w:szCs w:val="32"/>
        </w:rPr>
        <w:t>万元，在用资产443.55万元，资产使用率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14:paraId="598D3575">
      <w:pPr>
        <w:keepNext w:val="0"/>
        <w:keepLines w:val="0"/>
        <w:pageBreakBefore w:val="0"/>
        <w:widowControl w:val="0"/>
        <w:kinsoku/>
        <w:wordWrap/>
        <w:overflowPunct/>
        <w:topLinePunct w:val="0"/>
        <w:autoSpaceDE/>
        <w:autoSpaceDN/>
        <w:bidi w:val="0"/>
        <w:spacing w:line="360" w:lineRule="auto"/>
        <w:ind w:firstLine="321" w:firstLineChars="100"/>
        <w:rPr>
          <w:rFonts w:hint="eastAsia" w:ascii="仿宋" w:hAnsi="仿宋" w:eastAsia="仿宋" w:cs="仿宋"/>
          <w:sz w:val="32"/>
          <w:szCs w:val="32"/>
        </w:rPr>
      </w:pPr>
      <w:r>
        <w:rPr>
          <w:rFonts w:hint="eastAsia" w:ascii="仿宋" w:hAnsi="仿宋" w:eastAsia="仿宋" w:cs="仿宋"/>
          <w:b/>
          <w:bCs/>
          <w:sz w:val="32"/>
          <w:szCs w:val="32"/>
        </w:rPr>
        <w:t>（二）资金使用及绩效情况</w:t>
      </w:r>
    </w:p>
    <w:p w14:paraId="649A402A">
      <w:pPr>
        <w:keepNext w:val="0"/>
        <w:keepLines w:val="0"/>
        <w:pageBreakBefore w:val="0"/>
        <w:widowControl w:val="0"/>
        <w:kinsoku/>
        <w:wordWrap/>
        <w:overflowPunct/>
        <w:topLinePunct w:val="0"/>
        <w:autoSpaceDE/>
        <w:autoSpaceDN/>
        <w:bidi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整体绩效目标完成情况</w:t>
      </w:r>
    </w:p>
    <w:p w14:paraId="07813D86">
      <w:pPr>
        <w:bidi w:val="0"/>
        <w:ind w:firstLine="640" w:firstLineChars="200"/>
        <w:rPr>
          <w:rFonts w:eastAsia="仿宋"/>
          <w:lang w:val="en-US" w:eastAsia="zh-CN"/>
        </w:rPr>
      </w:pPr>
      <w:r>
        <w:rPr>
          <w:rFonts w:hint="eastAsia" w:ascii="仿宋" w:hAnsi="仿宋" w:eastAsia="仿宋" w:cs="仿宋"/>
          <w:sz w:val="32"/>
          <w:szCs w:val="32"/>
          <w:lang w:val="en-US" w:eastAsia="zh-CN"/>
        </w:rPr>
        <w:t>本单位</w:t>
      </w:r>
      <w:r>
        <w:rPr>
          <w:rFonts w:hint="eastAsia" w:ascii="仿宋" w:hAnsi="仿宋" w:eastAsia="仿宋" w:cs="仿宋"/>
          <w:sz w:val="32"/>
          <w:szCs w:val="32"/>
        </w:rPr>
        <w:t>纳入</w:t>
      </w:r>
      <w:r>
        <w:rPr>
          <w:rFonts w:hint="eastAsia" w:ascii="仿宋" w:hAnsi="仿宋" w:eastAsia="仿宋" w:cs="仿宋"/>
          <w:sz w:val="32"/>
          <w:szCs w:val="32"/>
          <w:lang w:eastAsia="zh-CN"/>
        </w:rPr>
        <w:t>2024年</w:t>
      </w:r>
      <w:r>
        <w:rPr>
          <w:rFonts w:hint="eastAsia" w:ascii="仿宋" w:hAnsi="仿宋" w:eastAsia="仿宋" w:cs="仿宋"/>
          <w:sz w:val="32"/>
          <w:szCs w:val="32"/>
        </w:rPr>
        <w:t>部门整体支出绩效目标的金额为710.38万元，其中，基本支出403.67万元，项目支出306.71万元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全年执行数710.38万元，其中</w:t>
      </w:r>
      <w:r>
        <w:rPr>
          <w:rFonts w:hint="eastAsia" w:ascii="仿宋" w:hAnsi="仿宋" w:eastAsia="仿宋" w:cs="仿宋"/>
          <w:sz w:val="32"/>
          <w:szCs w:val="32"/>
        </w:rPr>
        <w:t>基本支出403.67万元，项目支出306.71万元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本年</w:t>
      </w:r>
      <w:r>
        <w:rPr>
          <w:rFonts w:hint="eastAsia" w:ascii="仿宋" w:hAnsi="仿宋" w:eastAsia="仿宋" w:cs="仿宋"/>
          <w:sz w:val="32"/>
          <w:szCs w:val="32"/>
          <w:lang w:eastAsia="zh-CN"/>
        </w:rPr>
        <w:t>各项工作取得了较好成效，全面推进了卫生健康事业高质量发展。</w:t>
      </w:r>
    </w:p>
    <w:p w14:paraId="7A806F24">
      <w:pPr>
        <w:keepNext w:val="0"/>
        <w:keepLines w:val="0"/>
        <w:pageBreakBefore w:val="0"/>
        <w:widowControl w:val="0"/>
        <w:kinsoku/>
        <w:wordWrap/>
        <w:overflowPunct/>
        <w:topLinePunct w:val="0"/>
        <w:autoSpaceDE/>
        <w:autoSpaceDN/>
        <w:bidi w:val="0"/>
        <w:spacing w:line="360" w:lineRule="auto"/>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项目绩效目标完成情况</w:t>
      </w:r>
    </w:p>
    <w:p w14:paraId="37BD75E5">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基本公共卫生服务项目</w:t>
      </w:r>
    </w:p>
    <w:p w14:paraId="3A79104A">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财政补助下达255.98</w:t>
      </w:r>
      <w:r>
        <w:rPr>
          <w:rFonts w:hint="eastAsia" w:ascii="仿宋" w:hAnsi="仿宋" w:eastAsia="仿宋" w:cs="仿宋"/>
          <w:kern w:val="2"/>
          <w:sz w:val="32"/>
          <w:szCs w:val="32"/>
          <w:highlight w:val="green"/>
          <w:lang w:val="en-US" w:eastAsia="zh-CN" w:bidi="ar-SA"/>
        </w:rPr>
        <w:t>万</w:t>
      </w:r>
      <w:r>
        <w:rPr>
          <w:rFonts w:hint="eastAsia" w:ascii="仿宋" w:hAnsi="仿宋" w:eastAsia="仿宋" w:cs="仿宋"/>
          <w:kern w:val="2"/>
          <w:sz w:val="32"/>
          <w:szCs w:val="32"/>
          <w:lang w:val="en-US" w:eastAsia="zh-CN" w:bidi="ar-SA"/>
        </w:rPr>
        <w:t>元，用于本单位开展基本公共卫生服务支出，主要包括商品与服务支出（含办公、会议培训、水电、邮电、交通、差旅、宣传、印刷等）、所需耗材成本费用支出及相关人员支出</w:t>
      </w:r>
      <w:r>
        <w:rPr>
          <w:rFonts w:hint="eastAsia" w:ascii="仿宋" w:hAnsi="仿宋" w:eastAsia="仿宋" w:cs="仿宋"/>
          <w:sz w:val="32"/>
          <w:szCs w:val="32"/>
          <w:lang w:val="en-US" w:eastAsia="zh-CN"/>
        </w:rPr>
        <w:t>等。</w:t>
      </w:r>
    </w:p>
    <w:p w14:paraId="0CA6F423">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w:t>
      </w:r>
      <w:r>
        <w:rPr>
          <w:rFonts w:hint="eastAsia" w:ascii="仿宋" w:hAnsi="仿宋" w:eastAsia="仿宋" w:cs="仿宋"/>
          <w:kern w:val="2"/>
          <w:sz w:val="32"/>
          <w:szCs w:val="32"/>
          <w:lang w:val="en-US" w:eastAsia="zh-CN" w:bidi="ar-SA"/>
        </w:rPr>
        <w:t>一）按照国家基本公共卫生服务规范全面落实各项工作，十四项服务内容均按照年初既定目标完成任务。2024年全乡产妇共51人，产前检查49人，产前检查率96%；建卡人数51人，建卡率100%；早孕检查51人，早孕检查率100%；产后访视51人，产后访视率100%;孕产妇系统管理47人，孕产妇系统管理率92%；活产53人，死胎0人，死产0人；住院分娩51人，住院分娩率100%。</w:t>
      </w:r>
    </w:p>
    <w:p w14:paraId="1DCBEE5D">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强了儿童生长发育的监测、疾病防治，提高了全乡儿童健康水平。7岁以下儿童634人，5岁以下儿童447人,3岁以下187人，新生儿访视51人。新生儿中，巨大儿3人，早产5人，低出生体重儿3人。5岁以下儿童中:低体重3人，生长迟缓4人，消瘦0人，超重0人，肥胖0人，贫血10人，中度贫血1人，对这些体弱儿，都系统的进行了管理，都对他们提供了指导，确保了儿童的身心健康。我乡7岁以下儿童健康管理592人，健康管理率为93.3%。3岁以下儿童系统管理人数176人,系统管理率为94%，5岁以下儿童死亡0人。</w:t>
      </w:r>
    </w:p>
    <w:p w14:paraId="52BFE35A">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65岁及以上老年人健康管理：辖区内65岁及以上老年人建档2547人，已为1684 名老年人开展免费健康体检，规范管理率66.1 %。</w:t>
      </w:r>
    </w:p>
    <w:p w14:paraId="063869F4">
      <w:pPr>
        <w:keepNext w:val="0"/>
        <w:keepLines w:val="0"/>
        <w:pageBreakBefore w:val="0"/>
        <w:widowControl w:val="0"/>
        <w:kinsoku/>
        <w:wordWrap/>
        <w:overflowPunct/>
        <w:topLinePunct w:val="0"/>
        <w:autoSpaceDE/>
        <w:autoSpaceDN/>
        <w:bidi w:val="0"/>
        <w:spacing w:line="360" w:lineRule="auto"/>
        <w:ind w:firstLine="640" w:firstLineChars="200"/>
        <w:rPr>
          <w:rFonts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慢性病患者管理情况：辖区内应管理高血压患者1282人，规范化健康管理1096人，规范化管理率为85.5 %；管理糖尿病患者430人，规范化健康管理367人，规范化管理率为85.3%。</w:t>
      </w:r>
    </w:p>
    <w:p w14:paraId="0D29BFC4">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严重精神障碍患者管理：辖区内登记在册的严重精神障碍患者   82人，其中在管的重性精神病患者81人，规范管理率为98.7%。</w:t>
      </w:r>
    </w:p>
    <w:p w14:paraId="0C0C9B5F">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预防接种：全乡免疫儿童建卡率、建证率均达 95 %，接种率 95%，辖区内接种乙肝疫苗1520人次、脊灰疫苗1025人次、百日破疫苗1205人次、麻疹疫苗 901人次、流脑疫苗354人次、乙脑疫苗954人次、甲肝疫苗929人次，白破疫苗913人次，流脑A+C 1008人次。</w:t>
      </w:r>
    </w:p>
    <w:p w14:paraId="287DFB4B">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中医健康管理：辖区内65岁及以上的老年人建档2542人，其中 1703人接受中医药服务管理：0-36个月儿童 187人接受中医药服务管理。</w:t>
      </w:r>
    </w:p>
    <w:p w14:paraId="6453093A">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结核病患者健康管理：辖区内结核病规范管理人数为5人，已结案2人。今年年中对全乡65岁及以上老年人进行了一次全面筛查，对全乡糖尿病患者进行了4次季度结核筛查。</w:t>
      </w:r>
    </w:p>
    <w:p w14:paraId="27A71D06">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传染病及突发公共卫生事件报告和处置：截止目前，传染病登记2例，网络报告2例；传染病报告、及时率均达100%。</w:t>
      </w:r>
    </w:p>
    <w:p w14:paraId="372FF6A2">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家庭医生签约服务：辖区内居民签约6800余人，脱贫人口签约   925人、计生特殊家庭签约7人，重点人群签约率均达100%。</w:t>
      </w:r>
    </w:p>
    <w:p w14:paraId="55695CA6">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乡村振兴：我院有2名全科医生，行政村卫生室7个，无空白村。</w:t>
      </w:r>
    </w:p>
    <w:p w14:paraId="430F4C45">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（二）卫生医药体制改革专项</w:t>
      </w:r>
    </w:p>
    <w:p w14:paraId="6FFEF654">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县本级配套85.4</w:t>
      </w:r>
      <w:r>
        <w:rPr>
          <w:rFonts w:hint="eastAsia" w:ascii="仿宋" w:hAnsi="仿宋" w:eastAsia="仿宋" w:cs="仿宋"/>
          <w:kern w:val="2"/>
          <w:sz w:val="32"/>
          <w:szCs w:val="32"/>
          <w:highlight w:val="green"/>
          <w:lang w:val="en-US" w:eastAsia="zh-CN" w:bidi="ar-SA"/>
        </w:rPr>
        <w:t>万元</w:t>
      </w:r>
      <w:r>
        <w:rPr>
          <w:rFonts w:hint="eastAsia" w:ascii="仿宋" w:hAnsi="仿宋" w:eastAsia="仿宋" w:cs="仿宋"/>
          <w:kern w:val="2"/>
          <w:sz w:val="32"/>
          <w:szCs w:val="32"/>
          <w:lang w:val="en-US" w:eastAsia="zh-CN" w:bidi="ar-SA"/>
        </w:rPr>
        <w:t>，主要用于本单位人员及公用经费财政补助包干。</w:t>
      </w:r>
    </w:p>
    <w:p w14:paraId="41F7B784">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2024年医疗卫生服务能力稳步提升。一是强化医院内部管理。加大药品耗材集中采购，村卫生室基药代购一周内药品配送率100%。落实临床基本药物制度工作监管，保证药品质量安全高效。二是坚持以“创建老百姓满意卫生院”建设为契机，不断优化服务，规范管理，确保医疗质量与安全。</w:t>
      </w:r>
    </w:p>
    <w:p w14:paraId="51467E15">
      <w:pPr>
        <w:pStyle w:val="6"/>
        <w:numPr>
          <w:ilvl w:val="0"/>
          <w:numId w:val="0"/>
        </w:numPr>
        <w:spacing w:before="0" w:after="0"/>
        <w:ind w:leftChars="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三、存在的问题及改进措施</w:t>
      </w:r>
    </w:p>
    <w:p w14:paraId="0B5346F7">
      <w:pPr>
        <w:keepNext w:val="0"/>
        <w:keepLines w:val="0"/>
        <w:pageBreakBefore w:val="0"/>
        <w:widowControl w:val="0"/>
        <w:numPr>
          <w:ilvl w:val="0"/>
          <w:numId w:val="0"/>
        </w:numPr>
        <w:kinsoku/>
        <w:wordWrap/>
        <w:overflowPunct/>
        <w:topLinePunct w:val="0"/>
        <w:autoSpaceDE/>
        <w:autoSpaceDN/>
        <w:bidi w:val="0"/>
        <w:spacing w:line="360" w:lineRule="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存在的问题</w:t>
      </w:r>
    </w:p>
    <w:p w14:paraId="6D89E15C">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1.医护人员业务水平有待进一步提高，要加强业务知识学习。</w:t>
      </w:r>
    </w:p>
    <w:p w14:paraId="7D9FCBE3">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2.医疗护理在各个环节上有待进一步提高和完善。</w:t>
      </w:r>
    </w:p>
    <w:p w14:paraId="5AEC9825">
      <w:pPr>
        <w:keepNext w:val="0"/>
        <w:keepLines w:val="0"/>
        <w:pageBreakBefore w:val="0"/>
        <w:widowControl w:val="0"/>
        <w:kinsoku/>
        <w:wordWrap/>
        <w:overflowPunct/>
        <w:topLinePunct w:val="0"/>
        <w:autoSpaceDE/>
        <w:autoSpaceDN/>
        <w:bidi w:val="0"/>
        <w:spacing w:line="360" w:lineRule="auto"/>
        <w:ind w:firstLine="640" w:firstLineChars="200"/>
        <w:rPr>
          <w:rFonts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3.公共卫生服务缺乏专业人才。</w:t>
      </w:r>
    </w:p>
    <w:p w14:paraId="64236550">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（二）改进措施</w:t>
      </w:r>
    </w:p>
    <w:p w14:paraId="27FB4DF5">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1.加强业务学习，提高医疗服务质量。</w:t>
      </w:r>
    </w:p>
    <w:p w14:paraId="30F60DEB">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2.注重职工自身专业素养的提升，提高工作效率。</w:t>
      </w:r>
    </w:p>
    <w:p w14:paraId="535CDEFF">
      <w:pPr>
        <w:keepNext w:val="0"/>
        <w:keepLines w:val="0"/>
        <w:pageBreakBefore w:val="0"/>
        <w:widowControl w:val="0"/>
        <w:kinsoku/>
        <w:wordWrap/>
        <w:overflowPunct/>
        <w:topLinePunct w:val="0"/>
        <w:autoSpaceDE/>
        <w:autoSpaceDN/>
        <w:bidi w:val="0"/>
        <w:spacing w:line="360" w:lineRule="auto"/>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3.吸引公共卫生专业技术人员，提高公卫服务水平。</w:t>
      </w:r>
    </w:p>
    <w:p w14:paraId="101C76FB">
      <w:pPr>
        <w:pStyle w:val="6"/>
        <w:numPr>
          <w:ilvl w:val="0"/>
          <w:numId w:val="0"/>
        </w:numPr>
        <w:ind w:leftChars="0"/>
        <w:jc w:val="both"/>
        <w:rPr>
          <w:rFonts w:ascii="宋体" w:hAnsi="宋体" w:eastAsia="宋体" w:cs="宋体"/>
          <w:sz w:val="32"/>
          <w:szCs w:val="32"/>
          <w:lang w:val="en-US" w:eastAsia="zh-CN"/>
        </w:rPr>
      </w:pPr>
      <w:r>
        <w:rPr>
          <w:rFonts w:hint="eastAsia" w:ascii="宋体" w:hAnsi="宋体" w:eastAsia="宋体" w:cs="宋体"/>
          <w:sz w:val="32"/>
          <w:szCs w:val="32"/>
          <w:lang w:val="en-US" w:eastAsia="zh-CN"/>
        </w:rPr>
        <w:t>四、其他需要说明的情况（无）</w:t>
      </w:r>
    </w:p>
    <w:p w14:paraId="4A434902">
      <w:pPr>
        <w:pStyle w:val="7"/>
        <w:numPr>
          <w:ilvl w:val="0"/>
          <w:numId w:val="0"/>
        </w:numPr>
        <w:ind w:leftChars="0"/>
        <w:rPr>
          <w:lang w:val="en-US" w:eastAsia="zh-CN"/>
        </w:rPr>
      </w:pPr>
    </w:p>
    <w:p w14:paraId="52BDDBC6">
      <w:pPr>
        <w:rPr>
          <w:lang w:val="en-US" w:eastAsia="zh-CN"/>
        </w:rPr>
      </w:pPr>
    </w:p>
    <w:p w14:paraId="2B6258D5">
      <w:pPr>
        <w:pStyle w:val="8"/>
        <w:ind w:left="0" w:leftChars="0" w:firstLine="0" w:firstLineChars="0"/>
        <w:rPr>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25D72">
    <w:pPr>
      <w:pStyle w:val="3"/>
      <w:tabs>
        <w:tab w:val="clear" w:pos="4153"/>
        <w:tab w:val="clear" w:pos="8306"/>
      </w:tabs>
    </w:pP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4FB4948"/>
    <w:rsid w:val="47162F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sz w:val="32"/>
    </w:rPr>
  </w:style>
  <w:style w:type="paragraph" w:styleId="3">
    <w:name w:val="footer"/>
    <w:basedOn w:val="1"/>
    <w:qFormat/>
    <w:uiPriority w:val="0"/>
    <w:pPr>
      <w:tabs>
        <w:tab w:val="center" w:pos="4153"/>
        <w:tab w:val="right" w:pos="8306"/>
      </w:tabs>
      <w:jc w:val="left"/>
    </w:pPr>
    <w:rPr>
      <w:sz w:val="18"/>
    </w:rPr>
  </w:style>
  <w:style w:type="paragraph" w:styleId="4">
    <w:name w:val="header"/>
    <w:basedOn w:val="1"/>
    <w:uiPriority w:val="0"/>
    <w:pPr>
      <w:pBdr>
        <w:top w:val="none" w:color="000000" w:sz="0" w:space="1"/>
        <w:left w:val="none" w:color="000000" w:sz="0" w:space="4"/>
        <w:bottom w:val="none" w:color="000000" w:sz="0" w:space="1"/>
        <w:right w:val="none" w:color="000000" w:sz="0" w:space="4"/>
      </w:pBdr>
      <w:tabs>
        <w:tab w:val="center" w:pos="4153"/>
        <w:tab w:val="right" w:pos="8306"/>
      </w:tabs>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Title"/>
    <w:basedOn w:val="1"/>
    <w:next w:val="7"/>
    <w:qFormat/>
    <w:uiPriority w:val="0"/>
    <w:pPr>
      <w:spacing w:before="240" w:beforeAutospacing="0" w:after="60" w:afterAutospacing="0"/>
      <w:jc w:val="center"/>
      <w:outlineLvl w:val="0"/>
    </w:pPr>
    <w:rPr>
      <w:rFonts w:ascii="Arial" w:hAnsi="Arial"/>
      <w:b/>
      <w:sz w:val="32"/>
    </w:rPr>
  </w:style>
  <w:style w:type="paragraph" w:customStyle="1" w:styleId="7">
    <w:name w:val="BodyTextIndent1"/>
    <w:basedOn w:val="1"/>
    <w:next w:val="1"/>
    <w:qFormat/>
    <w:uiPriority w:val="0"/>
    <w:pPr>
      <w:spacing w:after="120"/>
      <w:ind w:left="420" w:leftChars="200"/>
      <w:jc w:val="both"/>
    </w:pPr>
  </w:style>
  <w:style w:type="paragraph" w:styleId="8">
    <w:name w:val="Body Text First Indent 2"/>
    <w:basedOn w:val="2"/>
    <w:qFormat/>
    <w:uiPriority w:val="0"/>
    <w:pPr>
      <w:ind w:left="420" w:leftChars="200" w:firstLine="210"/>
    </w:pPr>
  </w:style>
  <w:style w:type="character" w:styleId="11">
    <w:name w:val="Strong"/>
    <w:basedOn w:val="10"/>
    <w:link w:val="1"/>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2593</Words>
  <Characters>2914</Characters>
  <TotalTime>6</TotalTime>
  <ScaleCrop>false</ScaleCrop>
  <LinksUpToDate>false</LinksUpToDate>
  <CharactersWithSpaces>2935</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2025-09-26T08:48:00Z</dcterms:created>
  <dc:creator>Administrator</dc:creator>
  <cp:lastModifiedBy>WLX</cp:lastModifiedBy>
  <dcterms:modified xsi:type="dcterms:W3CDTF">2025-09-26T07:05:36Z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eyJoZGlkIjoiZTdhNTI0MWNjNDU4YTU1MGZhODc2OWFkNDVmYjFjYzQiLCJ1c2VySWQiOiIxMjgyMDg3NjY4In0=</vt:lpwstr>
  </property>
  <property fmtid="{D5CDD505-2E9C-101B-9397-08002B2CF9AE}" pid="3" name="KSOProductBuildVer">
    <vt:lpwstr>2052-12.1.0.22529</vt:lpwstr>
  </property>
  <property fmtid="{D5CDD505-2E9C-101B-9397-08002B2CF9AE}" pid="4" name="ICV">
    <vt:lpwstr>C60FBC4E336F497BA96ADED9692AEEE5_12</vt:lpwstr>
  </property>
</Properties>
</file>