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EE385">
      <w:pPr>
        <w:jc w:val="center"/>
        <w:rPr>
          <w:rFonts w:hint="eastAsia" w:ascii="宋体" w:hAnsi="宋体" w:eastAsia="宋体" w:cs="宋体"/>
          <w:sz w:val="44"/>
          <w:szCs w:val="44"/>
        </w:rPr>
      </w:pPr>
      <w:r>
        <w:rPr>
          <w:rFonts w:hint="eastAsia" w:ascii="宋体" w:hAnsi="宋体" w:eastAsia="宋体" w:cs="宋体"/>
          <w:sz w:val="44"/>
          <w:szCs w:val="44"/>
        </w:rPr>
        <w:t>福田铺乡卫生院2024年部门整体支出绩效评价报告</w:t>
      </w:r>
    </w:p>
    <w:p w14:paraId="5E0B4389">
      <w:pPr>
        <w:rPr>
          <w:rFonts w:hint="eastAsia"/>
        </w:rPr>
      </w:pPr>
    </w:p>
    <w:p w14:paraId="759B1889">
      <w:pPr>
        <w:ind w:firstLine="640" w:firstLineChars="200"/>
        <w:rPr>
          <w:rFonts w:hint="eastAsia" w:ascii="仿宋" w:hAnsi="仿宋" w:eastAsia="仿宋" w:cs="仿宋"/>
          <w:sz w:val="32"/>
          <w:szCs w:val="32"/>
        </w:rPr>
      </w:pPr>
      <w:r>
        <w:rPr>
          <w:rFonts w:hint="eastAsia" w:ascii="仿宋" w:hAnsi="仿宋" w:eastAsia="仿宋" w:cs="仿宋"/>
          <w:sz w:val="32"/>
          <w:szCs w:val="32"/>
        </w:rPr>
        <w:t>根据《预算法》有关“各级政府、各部门、各单位应当对预算支出情况开展绩效评价”的规定及衡山县财政局印发《关于开展2024年度预算单位绩效自评的通知》（山财绩〔2025〕69号）文件精神，衡山县卫生健康局基层医疗机构财务集中核算中心对部门整体支出及专项项目资金支出进行了绩效评价，现将自评有关情况报告如下：</w:t>
      </w:r>
    </w:p>
    <w:p w14:paraId="59DEB7D6">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一、部门基本情况</w:t>
      </w:r>
    </w:p>
    <w:p w14:paraId="70372A48">
      <w:pPr>
        <w:ind w:firstLine="640" w:firstLineChars="200"/>
        <w:rPr>
          <w:rFonts w:hint="eastAsia" w:ascii="仿宋" w:hAnsi="仿宋" w:eastAsia="仿宋" w:cs="仿宋"/>
          <w:sz w:val="32"/>
          <w:szCs w:val="32"/>
        </w:rPr>
      </w:pPr>
      <w:r>
        <w:rPr>
          <w:rFonts w:hint="eastAsia" w:ascii="仿宋" w:hAnsi="仿宋" w:eastAsia="仿宋" w:cs="仿宋"/>
          <w:sz w:val="32"/>
          <w:szCs w:val="32"/>
        </w:rPr>
        <w:t>（一）部门职能职责</w:t>
      </w:r>
    </w:p>
    <w:p w14:paraId="31886F1F">
      <w:pPr>
        <w:rPr>
          <w:rFonts w:hint="eastAsia" w:ascii="仿宋" w:hAnsi="仿宋" w:eastAsia="仿宋" w:cs="仿宋"/>
          <w:sz w:val="32"/>
          <w:szCs w:val="32"/>
        </w:rPr>
      </w:pPr>
      <w:r>
        <w:rPr>
          <w:rFonts w:hint="eastAsia" w:ascii="仿宋" w:hAnsi="仿宋" w:eastAsia="仿宋" w:cs="仿宋"/>
          <w:sz w:val="32"/>
          <w:szCs w:val="32"/>
        </w:rPr>
        <w:t xml:space="preserve">福田铺乡卫生院是衡山县卫生健康局的二级单位，单位人员编制总数为16人，现有职工18人。本院是集医疗、公共卫生服务为一体的综合性医院，开设有全科医疗科、内科、外科、中医馆、医学检验 科、医学影像科。设有病床，现有主要医疗设备彩超、心电图机、心电监护仪、尿液分析仪等各种常规辅助检查，属财政全额拨款事业单位。   </w:t>
      </w:r>
    </w:p>
    <w:p w14:paraId="227FB041">
      <w:pPr>
        <w:ind w:firstLine="640" w:firstLineChars="200"/>
        <w:rPr>
          <w:rFonts w:hint="eastAsia" w:ascii="仿宋" w:hAnsi="仿宋" w:eastAsia="仿宋" w:cs="仿宋"/>
          <w:sz w:val="32"/>
          <w:szCs w:val="32"/>
        </w:rPr>
      </w:pPr>
      <w:r>
        <w:rPr>
          <w:rFonts w:hint="eastAsia" w:ascii="仿宋" w:hAnsi="仿宋" w:eastAsia="仿宋" w:cs="仿宋"/>
          <w:sz w:val="32"/>
          <w:szCs w:val="32"/>
        </w:rPr>
        <w:t>（二）机构设置情况</w:t>
      </w:r>
    </w:p>
    <w:p w14:paraId="77979B27">
      <w:pPr>
        <w:rPr>
          <w:rFonts w:hint="eastAsia" w:ascii="仿宋" w:hAnsi="仿宋" w:eastAsia="仿宋" w:cs="仿宋"/>
          <w:sz w:val="32"/>
          <w:szCs w:val="32"/>
        </w:rPr>
      </w:pPr>
      <w:r>
        <w:rPr>
          <w:rFonts w:hint="eastAsia" w:ascii="仿宋" w:hAnsi="仿宋" w:eastAsia="仿宋" w:cs="仿宋"/>
          <w:sz w:val="32"/>
          <w:szCs w:val="32"/>
        </w:rPr>
        <w:t xml:space="preserve">    2024年末，我院内设处室分别是办公室、财务科、医务科、公卫科、护理科、药剂科等科室。</w:t>
      </w:r>
    </w:p>
    <w:p w14:paraId="6D9B5C4A">
      <w:pPr>
        <w:ind w:firstLine="640" w:firstLineChars="200"/>
        <w:rPr>
          <w:rFonts w:hint="eastAsia" w:ascii="仿宋" w:hAnsi="仿宋" w:eastAsia="仿宋" w:cs="仿宋"/>
          <w:sz w:val="32"/>
          <w:szCs w:val="32"/>
        </w:rPr>
      </w:pPr>
      <w:r>
        <w:rPr>
          <w:rFonts w:hint="eastAsia" w:ascii="仿宋" w:hAnsi="仿宋" w:eastAsia="仿宋" w:cs="仿宋"/>
          <w:sz w:val="32"/>
          <w:szCs w:val="32"/>
        </w:rPr>
        <w:t>（三）人员编制情况</w:t>
      </w:r>
    </w:p>
    <w:p w14:paraId="200F3466">
      <w:pPr>
        <w:ind w:firstLine="640" w:firstLineChars="200"/>
        <w:rPr>
          <w:rFonts w:hint="eastAsia" w:ascii="仿宋" w:hAnsi="仿宋" w:eastAsia="仿宋" w:cs="仿宋"/>
          <w:sz w:val="32"/>
          <w:szCs w:val="32"/>
        </w:rPr>
      </w:pPr>
      <w:r>
        <w:rPr>
          <w:rFonts w:hint="eastAsia" w:ascii="仿宋" w:hAnsi="仿宋" w:eastAsia="仿宋" w:cs="仿宋"/>
          <w:sz w:val="32"/>
          <w:szCs w:val="32"/>
        </w:rPr>
        <w:t>2024年末在编在岗人数16 人，临聘人员2人，退休职工4人。</w:t>
      </w:r>
    </w:p>
    <w:p w14:paraId="7900CD00">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二、预算支出及绩效情况</w:t>
      </w:r>
    </w:p>
    <w:p w14:paraId="0CA03359">
      <w:pPr>
        <w:ind w:firstLine="640" w:firstLineChars="200"/>
        <w:rPr>
          <w:rFonts w:hint="eastAsia" w:ascii="仿宋" w:hAnsi="仿宋" w:eastAsia="仿宋" w:cs="仿宋"/>
          <w:sz w:val="32"/>
          <w:szCs w:val="32"/>
        </w:rPr>
      </w:pPr>
      <w:r>
        <w:rPr>
          <w:rFonts w:hint="eastAsia" w:ascii="仿宋" w:hAnsi="仿宋" w:eastAsia="仿宋" w:cs="仿宋"/>
          <w:sz w:val="32"/>
          <w:szCs w:val="32"/>
        </w:rPr>
        <w:t>（一）部门预决算情况</w:t>
      </w:r>
    </w:p>
    <w:p w14:paraId="00B9C7C9">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一般公共预算财政拨款支出决算具体情况</w:t>
      </w:r>
    </w:p>
    <w:p w14:paraId="70EEB029">
      <w:pPr>
        <w:ind w:firstLine="640" w:firstLineChars="200"/>
        <w:rPr>
          <w:rFonts w:hint="eastAsia" w:ascii="仿宋" w:hAnsi="仿宋" w:eastAsia="仿宋" w:cs="仿宋"/>
          <w:sz w:val="32"/>
          <w:szCs w:val="32"/>
        </w:rPr>
      </w:pPr>
      <w:r>
        <w:rPr>
          <w:rFonts w:hint="eastAsia" w:ascii="仿宋" w:hAnsi="仿宋" w:eastAsia="仿宋" w:cs="仿宋"/>
          <w:sz w:val="32"/>
          <w:szCs w:val="32"/>
        </w:rPr>
        <w:t>2024 年度财政拨款支出年初预算数为 0 万元， 支出决算数为  299.20 万元，由于年初预算数为 0 万元，无法计算完成比率，其中：</w:t>
      </w:r>
    </w:p>
    <w:p w14:paraId="7434685B">
      <w:pPr>
        <w:ind w:firstLine="640" w:firstLineChars="200"/>
        <w:rPr>
          <w:rFonts w:hint="eastAsia" w:ascii="仿宋" w:hAnsi="仿宋" w:eastAsia="仿宋" w:cs="仿宋"/>
          <w:sz w:val="32"/>
          <w:szCs w:val="32"/>
        </w:rPr>
      </w:pPr>
      <w:r>
        <w:rPr>
          <w:rFonts w:hint="eastAsia" w:ascii="仿宋" w:hAnsi="仿宋" w:eastAsia="仿宋" w:cs="仿宋"/>
          <w:sz w:val="32"/>
          <w:szCs w:val="32"/>
        </w:rPr>
        <w:t>1 、一般公共服务支出（类）组织事务（款）其他组织事务支出（项）。</w:t>
      </w:r>
    </w:p>
    <w:p w14:paraId="0D9F1DFB">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万元，支出决算为 0.3 万元，年初预算为 0 万元， 无法计算完成比率，决算数大于预算数的主要原因是：重点项目资金 单列，未纳入年初预算。</w:t>
      </w:r>
    </w:p>
    <w:p w14:paraId="10B335B7">
      <w:pPr>
        <w:ind w:firstLine="640" w:firstLineChars="200"/>
        <w:rPr>
          <w:rFonts w:hint="eastAsia" w:ascii="仿宋" w:hAnsi="仿宋" w:eastAsia="仿宋" w:cs="仿宋"/>
          <w:sz w:val="32"/>
          <w:szCs w:val="32"/>
        </w:rPr>
      </w:pPr>
      <w:r>
        <w:rPr>
          <w:rFonts w:hint="eastAsia" w:ascii="仿宋" w:hAnsi="仿宋" w:eastAsia="仿宋" w:cs="仿宋"/>
          <w:sz w:val="32"/>
          <w:szCs w:val="32"/>
        </w:rPr>
        <w:t>2 、社会保障和就业支出（类）抚恤（款）死亡抚恤（项）。</w:t>
      </w:r>
    </w:p>
    <w:p w14:paraId="5492A25C">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万元，支出决算为 7.1 万元，年初预算为 0 万元， 无法计算完成比率，决算数大于预算数的主要原因是：重点项目资金 单列，未纳入年初预算。</w:t>
      </w:r>
    </w:p>
    <w:p w14:paraId="1921AD41">
      <w:pPr>
        <w:ind w:firstLine="640" w:firstLineChars="200"/>
        <w:rPr>
          <w:rFonts w:hint="eastAsia" w:ascii="仿宋" w:hAnsi="仿宋" w:eastAsia="仿宋" w:cs="仿宋"/>
          <w:sz w:val="32"/>
          <w:szCs w:val="32"/>
        </w:rPr>
      </w:pPr>
      <w:r>
        <w:rPr>
          <w:rFonts w:hint="eastAsia" w:ascii="仿宋" w:hAnsi="仿宋" w:eastAsia="仿宋" w:cs="仿宋"/>
          <w:sz w:val="32"/>
          <w:szCs w:val="32"/>
        </w:rPr>
        <w:t>3、卫生健康支出（类） 卫生健康管理事务（款） 一般行政管理 事务（项）。</w:t>
      </w:r>
    </w:p>
    <w:p w14:paraId="458D0806">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万元，支出决算为 1.2 万元，年初预算为 0 万元， 无法计算完成比率，决算数大于预算数的主要原因是：重点项目资金 单列，未纳入年初预算。</w:t>
      </w:r>
    </w:p>
    <w:p w14:paraId="6E770ED5">
      <w:pPr>
        <w:ind w:firstLine="640" w:firstLineChars="200"/>
        <w:rPr>
          <w:rFonts w:hint="eastAsia" w:ascii="仿宋" w:hAnsi="仿宋" w:eastAsia="仿宋" w:cs="仿宋"/>
          <w:sz w:val="32"/>
          <w:szCs w:val="32"/>
        </w:rPr>
      </w:pPr>
      <w:r>
        <w:rPr>
          <w:rFonts w:hint="eastAsia" w:ascii="仿宋" w:hAnsi="仿宋" w:eastAsia="仿宋" w:cs="仿宋"/>
          <w:sz w:val="32"/>
          <w:szCs w:val="32"/>
        </w:rPr>
        <w:t>4 、卫生健康支出（类）基层医疗卫生机构（款）乡镇卫生院（项）。 年初预算为 0 万元，支出决算为 17.05 万元，年初预算为 0 万元，无法计算完成比率，决算数大于预算数的主要原因是：重点项目资金 单列，未纳入年初预算。</w:t>
      </w:r>
    </w:p>
    <w:p w14:paraId="221139EB">
      <w:pPr>
        <w:ind w:firstLine="640" w:firstLineChars="200"/>
        <w:rPr>
          <w:rFonts w:hint="eastAsia" w:ascii="仿宋" w:hAnsi="仿宋" w:eastAsia="仿宋" w:cs="仿宋"/>
          <w:sz w:val="32"/>
          <w:szCs w:val="32"/>
        </w:rPr>
      </w:pPr>
      <w:r>
        <w:rPr>
          <w:rFonts w:hint="eastAsia" w:ascii="仿宋" w:hAnsi="仿宋" w:eastAsia="仿宋" w:cs="仿宋"/>
          <w:sz w:val="32"/>
          <w:szCs w:val="32"/>
        </w:rPr>
        <w:t>5、卫生健康支出（类） 基层医疗卫生机构（款） 其他基层医疗 卫生机构支出（项）。</w:t>
      </w:r>
    </w:p>
    <w:p w14:paraId="355D3CE8">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万元，支出决算为 20.87 万元，年初预算为 0 万元， 无法计算完成比率，决算数大于预算数的主要原因是：重点项目资金  单列，未纳入年初预算。</w:t>
      </w:r>
    </w:p>
    <w:p w14:paraId="1F9DF804">
      <w:pPr>
        <w:ind w:firstLine="640" w:firstLineChars="200"/>
        <w:rPr>
          <w:rFonts w:hint="eastAsia" w:ascii="仿宋" w:hAnsi="仿宋" w:eastAsia="仿宋" w:cs="仿宋"/>
          <w:sz w:val="32"/>
          <w:szCs w:val="32"/>
        </w:rPr>
      </w:pPr>
      <w:r>
        <w:rPr>
          <w:rFonts w:hint="eastAsia" w:ascii="仿宋" w:hAnsi="仿宋" w:eastAsia="仿宋" w:cs="仿宋"/>
          <w:sz w:val="32"/>
          <w:szCs w:val="32"/>
        </w:rPr>
        <w:t>6 、卫生健康支出（类）公共卫生（款）基本公共卫生服务（项）。</w:t>
      </w:r>
    </w:p>
    <w:p w14:paraId="36F68F88">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 支出决算为 138.64 万元， 年初预算为 0 万 元，无法计算完成比率，决算数大于预算数的主要原因是：重点项目 资金单列，未纳入年初预算。</w:t>
      </w:r>
    </w:p>
    <w:p w14:paraId="19AF4462">
      <w:pPr>
        <w:ind w:firstLine="640" w:firstLineChars="200"/>
        <w:rPr>
          <w:rFonts w:hint="eastAsia" w:ascii="仿宋" w:hAnsi="仿宋" w:eastAsia="仿宋" w:cs="仿宋"/>
          <w:sz w:val="32"/>
          <w:szCs w:val="32"/>
        </w:rPr>
      </w:pPr>
      <w:r>
        <w:rPr>
          <w:rFonts w:hint="eastAsia" w:ascii="仿宋" w:hAnsi="仿宋" w:eastAsia="仿宋" w:cs="仿宋"/>
          <w:sz w:val="32"/>
          <w:szCs w:val="32"/>
        </w:rPr>
        <w:t>7 、卫生健康支出（类）公共卫生（款）其他公共卫生支出（项）。</w:t>
      </w:r>
    </w:p>
    <w:p w14:paraId="1CFF7F59">
      <w:pPr>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 0 万元， 支出决算为 114.04 万元， 年初预算为 0 万 元，无法计算完成比率，决算数大于预算数的主要原因是：重点项目 资金单列，未纳入年初预算。</w:t>
      </w:r>
    </w:p>
    <w:p w14:paraId="67073736">
      <w:pPr>
        <w:ind w:firstLine="640" w:firstLineChars="200"/>
        <w:rPr>
          <w:rFonts w:hint="eastAsia" w:ascii="仿宋" w:hAnsi="仿宋" w:eastAsia="仿宋" w:cs="仿宋"/>
          <w:sz w:val="32"/>
          <w:szCs w:val="32"/>
        </w:rPr>
      </w:pPr>
      <w:r>
        <w:rPr>
          <w:rFonts w:hint="eastAsia" w:ascii="仿宋" w:hAnsi="仿宋" w:eastAsia="仿宋" w:cs="仿宋"/>
          <w:sz w:val="32"/>
          <w:szCs w:val="32"/>
        </w:rPr>
        <w:t>三、 一般公共预算财政拨款基本支出决算情况说明</w:t>
      </w:r>
    </w:p>
    <w:p w14:paraId="765C57B5">
      <w:pPr>
        <w:ind w:firstLine="640" w:firstLineChars="200"/>
        <w:rPr>
          <w:rFonts w:hint="eastAsia" w:ascii="仿宋" w:hAnsi="仿宋" w:eastAsia="仿宋" w:cs="仿宋"/>
          <w:sz w:val="32"/>
          <w:szCs w:val="32"/>
        </w:rPr>
      </w:pPr>
      <w:r>
        <w:rPr>
          <w:rFonts w:hint="eastAsia" w:ascii="仿宋" w:hAnsi="仿宋" w:eastAsia="仿宋" w:cs="仿宋"/>
          <w:sz w:val="32"/>
          <w:szCs w:val="32"/>
        </w:rPr>
        <w:t>2024 年度财政拨款基本支出 15.70 万元，其中：</w:t>
      </w:r>
    </w:p>
    <w:p w14:paraId="51CEBEB3">
      <w:pPr>
        <w:rPr>
          <w:rFonts w:hint="eastAsia" w:ascii="仿宋" w:hAnsi="仿宋" w:eastAsia="仿宋" w:cs="仿宋"/>
          <w:sz w:val="32"/>
          <w:szCs w:val="32"/>
        </w:rPr>
      </w:pPr>
      <w:r>
        <w:rPr>
          <w:rFonts w:hint="eastAsia" w:ascii="仿宋" w:hAnsi="仿宋" w:eastAsia="仿宋" w:cs="仿宋"/>
          <w:sz w:val="32"/>
          <w:szCs w:val="32"/>
        </w:rPr>
        <w:t>人员经费 15.70 万元， 占基本支出的 100.00%， 主要包括： 基本 工资、津贴补贴、奖金、伙食补助费、机关事业单位基本养老保险缴 费、职业年金缴费、职工基本医疗保险缴费、其他社会保障缴费、住 房公积金、退休费、抚恤金、生活补助、救济费、奖励金、其他对个 人和家庭的补助；公用经费 0.00 万元，占基本支出的 0.00%，主要包括：办公费、 印刷费、咨询费、水费、电费、邮电费、物业管理费、差旅费、维修（护） 费、会议费、培训费、公务接待费、劳务费、委托业务费、工会经费、 福利费、公务用车运行维护费、其他商品和服务支出。</w:t>
      </w:r>
    </w:p>
    <w:p w14:paraId="4B671742">
      <w:pPr>
        <w:ind w:firstLine="640" w:firstLineChars="200"/>
        <w:rPr>
          <w:rFonts w:hint="eastAsia" w:ascii="仿宋" w:hAnsi="仿宋" w:eastAsia="仿宋" w:cs="仿宋"/>
          <w:sz w:val="32"/>
          <w:szCs w:val="32"/>
        </w:rPr>
      </w:pPr>
      <w:r>
        <w:rPr>
          <w:rFonts w:hint="eastAsia" w:ascii="仿宋" w:hAnsi="仿宋" w:eastAsia="仿宋" w:cs="仿宋"/>
          <w:sz w:val="32"/>
          <w:szCs w:val="32"/>
        </w:rPr>
        <w:t>四、财政拨款 “ 三公 ” 经费支出决算情况说明</w:t>
      </w:r>
    </w:p>
    <w:p w14:paraId="2C43D60D">
      <w:pPr>
        <w:ind w:firstLine="640" w:firstLineChars="200"/>
        <w:rPr>
          <w:rFonts w:hint="eastAsia" w:ascii="仿宋" w:hAnsi="仿宋" w:eastAsia="仿宋" w:cs="仿宋"/>
          <w:sz w:val="32"/>
          <w:szCs w:val="32"/>
        </w:rPr>
      </w:pPr>
      <w:r>
        <w:rPr>
          <w:rFonts w:hint="eastAsia" w:ascii="仿宋" w:hAnsi="仿宋" w:eastAsia="仿宋" w:cs="仿宋"/>
          <w:sz w:val="32"/>
          <w:szCs w:val="32"/>
        </w:rPr>
        <w:t>（一） “ 三公 ” 经费财政拨款支出决算总体情况说明</w:t>
      </w:r>
    </w:p>
    <w:p w14:paraId="13FC9D7B">
      <w:pPr>
        <w:ind w:firstLine="640" w:firstLineChars="200"/>
        <w:rPr>
          <w:rFonts w:hint="eastAsia" w:ascii="仿宋" w:hAnsi="仿宋" w:eastAsia="仿宋" w:cs="仿宋"/>
          <w:sz w:val="32"/>
          <w:szCs w:val="32"/>
        </w:rPr>
      </w:pPr>
      <w:r>
        <w:rPr>
          <w:rFonts w:hint="eastAsia" w:ascii="仿宋" w:hAnsi="仿宋" w:eastAsia="仿宋" w:cs="仿宋"/>
          <w:sz w:val="32"/>
          <w:szCs w:val="32"/>
        </w:rPr>
        <w:t>“三公”经费财政拨款支出预算为 0.00 万元，支出决算为 0.00   万元， 由于预算数为 0 万元，无法计算完成比率。与本年预算数相同， 主要原因是本年度无“三公 ”经费财政拨款支出，与上年决算数相同， 主要原因是本年度无“三公”经费财政拨款支出。</w:t>
      </w:r>
    </w:p>
    <w:p w14:paraId="775ED831">
      <w:pPr>
        <w:ind w:firstLine="640" w:firstLineChars="200"/>
        <w:rPr>
          <w:rFonts w:hint="eastAsia" w:ascii="仿宋" w:hAnsi="仿宋" w:eastAsia="仿宋" w:cs="仿宋"/>
          <w:sz w:val="32"/>
          <w:szCs w:val="32"/>
        </w:rPr>
      </w:pPr>
      <w:r>
        <w:rPr>
          <w:rFonts w:hint="eastAsia" w:ascii="仿宋" w:hAnsi="仿宋" w:eastAsia="仿宋" w:cs="仿宋"/>
          <w:sz w:val="32"/>
          <w:szCs w:val="32"/>
        </w:rPr>
        <w:t>（二）  “三公”经费财政拨款支出决算具体情况说明</w:t>
      </w:r>
    </w:p>
    <w:p w14:paraId="551220CC">
      <w:pPr>
        <w:ind w:firstLine="640" w:firstLineChars="200"/>
        <w:rPr>
          <w:rFonts w:hint="eastAsia" w:ascii="仿宋" w:hAnsi="仿宋" w:eastAsia="仿宋" w:cs="仿宋"/>
          <w:sz w:val="32"/>
          <w:szCs w:val="32"/>
        </w:rPr>
      </w:pPr>
      <w:r>
        <w:rPr>
          <w:rFonts w:hint="eastAsia" w:ascii="仿宋" w:hAnsi="仿宋" w:eastAsia="仿宋" w:cs="仿宋"/>
          <w:sz w:val="32"/>
          <w:szCs w:val="32"/>
        </w:rPr>
        <w:t>1、因公出国（境） 费支出预算为 0.00 万元， 支出决算为 0.00    万元， 由于预算数为 0 万元，无法计算完成比率，与本年预算数相同， 主要原因是本年度无因公出国（境）费支出，与上年决算数相同，主   要原因是本年度无因公出国（境）费支出。2024 年度安排因公出国（境） 团组 0 个， 累计 0 人次，本部门 2024 年度未发生因公出国（境）费支   出。</w:t>
      </w:r>
    </w:p>
    <w:p w14:paraId="26269D40">
      <w:pPr>
        <w:ind w:firstLine="640" w:firstLineChars="200"/>
        <w:rPr>
          <w:rFonts w:hint="eastAsia" w:ascii="仿宋" w:hAnsi="仿宋" w:eastAsia="仿宋" w:cs="仿宋"/>
          <w:sz w:val="32"/>
          <w:szCs w:val="32"/>
        </w:rPr>
      </w:pPr>
      <w:r>
        <w:rPr>
          <w:rFonts w:hint="eastAsia" w:ascii="仿宋" w:hAnsi="仿宋" w:eastAsia="仿宋" w:cs="仿宋"/>
          <w:sz w:val="32"/>
          <w:szCs w:val="32"/>
        </w:rPr>
        <w:t>2、公务用车购置费及运行维护费支出预算为 0.00 万元， 支出决 算为 0.00 万元， 由于预算数为 0 万元，无法计算完成比率，与本年预 算数相同，主要原因是本年度无公务用车购置费及运行维护费支出， 与上年决算数相同，主要原因是本年度无公务用车购置费及运行维护 费支出。其中：公务用车购置费支出预算为 0.00 万元，支出决算为 0.00 万元， 由于预算数为 0 万元，无法计算完成比率，与本年预算数相同，主要 原因是本年度无公务用车购置费支出，与上年决算数相同，主要原因 是本年度无公务用车购置费支出。2024 年度衡山县福田铺乡卫生院更 新公务用车 0 辆，购置公务用车0 辆。2024 年度本部门未发生公务用 车购置费支出。</w:t>
      </w:r>
    </w:p>
    <w:p w14:paraId="5863B547">
      <w:pPr>
        <w:ind w:firstLine="640" w:firstLineChars="200"/>
        <w:rPr>
          <w:rFonts w:hint="eastAsia" w:ascii="仿宋" w:hAnsi="仿宋" w:eastAsia="仿宋" w:cs="仿宋"/>
          <w:sz w:val="32"/>
          <w:szCs w:val="32"/>
        </w:rPr>
      </w:pPr>
      <w:r>
        <w:rPr>
          <w:rFonts w:hint="eastAsia" w:ascii="仿宋" w:hAnsi="仿宋" w:eastAsia="仿宋" w:cs="仿宋"/>
          <w:sz w:val="32"/>
          <w:szCs w:val="32"/>
        </w:rPr>
        <w:t>公务用车运行维护费支出预算为 0.00 万元， 支出决算为 0.00 万 元，由于预算数为 0 万元，无法计算完成比率，与本年预算数相同， 主要原因是本年度无公务用车运行维护费支出，与上年决算数相同， 主要原因是本年度无公务用车运行维护费支出。截止 2024 年 12 月 31 日，我部门开支财政拨款的公务用车保有量为 0 辆。本部门 2024 年度 未发生公务用车运行维护费支出。</w:t>
      </w:r>
    </w:p>
    <w:p w14:paraId="6DCC92FC">
      <w:pPr>
        <w:ind w:firstLine="640" w:firstLineChars="200"/>
        <w:rPr>
          <w:rFonts w:hint="eastAsia" w:ascii="仿宋" w:hAnsi="仿宋" w:eastAsia="仿宋" w:cs="仿宋"/>
          <w:sz w:val="32"/>
          <w:szCs w:val="32"/>
        </w:rPr>
      </w:pPr>
      <w:r>
        <w:rPr>
          <w:rFonts w:hint="eastAsia" w:ascii="仿宋" w:hAnsi="仿宋" w:eastAsia="仿宋" w:cs="仿宋"/>
          <w:sz w:val="32"/>
          <w:szCs w:val="32"/>
        </w:rPr>
        <w:t>3、公务接待费支出预算为 0.00 万元， 支出决算为 0.00 万元，  由于预算数为 0 万元，无法计算完成比率，与本年预算数相同，主要  原因是本年度无公务接待费支出，与上年决算数相同，主要原因是本  年度无公务接待费支出。2024 年度共接待来访团组 0 个，来宾 0 人次， 本部门 2024 年度未发生公务接待费支出。</w:t>
      </w:r>
    </w:p>
    <w:p w14:paraId="0BD5649B">
      <w:pPr>
        <w:ind w:firstLine="640" w:firstLineChars="200"/>
        <w:rPr>
          <w:rFonts w:hint="eastAsia" w:ascii="仿宋" w:hAnsi="仿宋" w:eastAsia="仿宋" w:cs="仿宋"/>
          <w:sz w:val="32"/>
          <w:szCs w:val="32"/>
        </w:rPr>
      </w:pPr>
      <w:r>
        <w:rPr>
          <w:rFonts w:hint="eastAsia" w:ascii="仿宋" w:hAnsi="仿宋" w:eastAsia="仿宋" w:cs="仿宋"/>
          <w:sz w:val="32"/>
          <w:szCs w:val="32"/>
        </w:rPr>
        <w:t>五、政府性基金预算收入支出决算情况</w:t>
      </w:r>
    </w:p>
    <w:p w14:paraId="031C00F3">
      <w:pPr>
        <w:ind w:firstLine="640" w:firstLineChars="200"/>
        <w:rPr>
          <w:rFonts w:hint="eastAsia" w:ascii="仿宋" w:hAnsi="仿宋" w:eastAsia="仿宋" w:cs="仿宋"/>
          <w:sz w:val="32"/>
          <w:szCs w:val="32"/>
        </w:rPr>
      </w:pPr>
      <w:r>
        <w:rPr>
          <w:rFonts w:hint="eastAsia" w:ascii="仿宋" w:hAnsi="仿宋" w:eastAsia="仿宋" w:cs="仿宋"/>
          <w:sz w:val="32"/>
          <w:szCs w:val="32"/>
        </w:rPr>
        <w:t>2024 年度未发生政府性基金预算财政拨款收支。</w:t>
      </w:r>
    </w:p>
    <w:p w14:paraId="381F137A">
      <w:pPr>
        <w:ind w:firstLine="640" w:firstLineChars="200"/>
        <w:rPr>
          <w:rFonts w:hint="eastAsia" w:ascii="仿宋" w:hAnsi="仿宋" w:eastAsia="仿宋" w:cs="仿宋"/>
          <w:sz w:val="32"/>
          <w:szCs w:val="32"/>
        </w:rPr>
      </w:pPr>
      <w:r>
        <w:rPr>
          <w:rFonts w:hint="eastAsia" w:ascii="仿宋" w:hAnsi="仿宋" w:eastAsia="仿宋" w:cs="仿宋"/>
          <w:sz w:val="32"/>
          <w:szCs w:val="32"/>
        </w:rPr>
        <w:t>六、国有资本经营预算财政拨款支出情况</w:t>
      </w:r>
    </w:p>
    <w:p w14:paraId="558752A0">
      <w:pPr>
        <w:ind w:firstLine="640" w:firstLineChars="200"/>
        <w:rPr>
          <w:rFonts w:hint="eastAsia" w:ascii="仿宋" w:hAnsi="仿宋" w:eastAsia="仿宋" w:cs="仿宋"/>
          <w:sz w:val="32"/>
          <w:szCs w:val="32"/>
        </w:rPr>
      </w:pPr>
      <w:r>
        <w:rPr>
          <w:rFonts w:hint="eastAsia" w:ascii="仿宋" w:hAnsi="仿宋" w:eastAsia="仿宋" w:cs="仿宋"/>
          <w:sz w:val="32"/>
          <w:szCs w:val="32"/>
        </w:rPr>
        <w:t>2024 年度未发生国有资本经营预算财政拨款收支。</w:t>
      </w:r>
    </w:p>
    <w:p w14:paraId="70943750">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、关于机关运行经费支出说明</w:t>
      </w:r>
    </w:p>
    <w:p w14:paraId="4739FA12">
      <w:pPr>
        <w:ind w:firstLine="640" w:firstLineChars="200"/>
        <w:rPr>
          <w:rFonts w:hint="eastAsia" w:ascii="仿宋" w:hAnsi="仿宋" w:eastAsia="仿宋" w:cs="仿宋"/>
          <w:sz w:val="32"/>
          <w:szCs w:val="32"/>
        </w:rPr>
      </w:pPr>
      <w:r>
        <w:rPr>
          <w:rFonts w:hint="eastAsia" w:ascii="仿宋" w:hAnsi="仿宋" w:eastAsia="仿宋" w:cs="仿宋"/>
          <w:sz w:val="32"/>
          <w:szCs w:val="32"/>
        </w:rPr>
        <w:t>本部门 2024 年机关运行经费支出 0 万元， 年初预算数 0 万元， 与年初预算持平。</w:t>
      </w:r>
    </w:p>
    <w:p w14:paraId="0DAC30C2">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 xml:space="preserve"> 、 一般性支出情况说明</w:t>
      </w:r>
    </w:p>
    <w:p w14:paraId="2C20429B">
      <w:pPr>
        <w:ind w:firstLine="640" w:firstLineChars="200"/>
        <w:rPr>
          <w:rFonts w:hint="eastAsia" w:ascii="仿宋" w:hAnsi="仿宋" w:eastAsia="仿宋" w:cs="仿宋"/>
          <w:sz w:val="32"/>
          <w:szCs w:val="32"/>
        </w:rPr>
      </w:pPr>
      <w:r>
        <w:rPr>
          <w:rFonts w:hint="eastAsia" w:ascii="仿宋" w:hAnsi="仿宋" w:eastAsia="仿宋" w:cs="仿宋"/>
          <w:sz w:val="32"/>
          <w:szCs w:val="32"/>
        </w:rPr>
        <w:t>2024 年本部门开支会议费 0.00 万元，我部门 2024 年度未发生会 议费支出；开支培训费 0.00 万元，我部门 2024 年度未发生培训费支 出。未举办节庆、晚会、论坛、赛事活动。</w:t>
      </w:r>
    </w:p>
    <w:p w14:paraId="1335E531">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九</w:t>
      </w:r>
      <w:r>
        <w:rPr>
          <w:rFonts w:hint="eastAsia" w:ascii="仿宋" w:hAnsi="仿宋" w:eastAsia="仿宋" w:cs="仿宋"/>
          <w:sz w:val="32"/>
          <w:szCs w:val="32"/>
        </w:rPr>
        <w:t>、关于政府采购支出说明</w:t>
      </w:r>
    </w:p>
    <w:p w14:paraId="3641B762">
      <w:pPr>
        <w:ind w:firstLine="640" w:firstLineChars="200"/>
        <w:rPr>
          <w:rFonts w:hint="eastAsia" w:ascii="仿宋" w:hAnsi="仿宋" w:eastAsia="仿宋" w:cs="仿宋"/>
          <w:sz w:val="32"/>
          <w:szCs w:val="32"/>
        </w:rPr>
      </w:pPr>
      <w:r>
        <w:rPr>
          <w:rFonts w:hint="eastAsia" w:ascii="仿宋" w:hAnsi="仿宋" w:eastAsia="仿宋" w:cs="仿宋"/>
          <w:sz w:val="32"/>
          <w:szCs w:val="32"/>
        </w:rPr>
        <w:t>本部门 2024 年度政府采购支出总额 10.94 万元， 其中： 政府采 购货物支出 10.94 万元、政府采购工程支出 0 万元、政府采购服务支 出 0 万元。授予中小企业合同金额 10.94 万元，占政府采购支出总额 的 100.00%， 其中： 授予小微企业合同金额 10.94 万元， 占政府采购 支出总额的 100.00%； 货物采购授予中小企业合同金额占货物支出金 额的 100%； 由于工程支出金额为 0 万元，无法进行工程采购授予中小 企业合同金额占工程支出金额的百分比测算；由于服务支出金额为 0  万元，无法进行服务采购授予中小企业合同金额占服务支出金额的百 分比测算。</w:t>
      </w:r>
    </w:p>
    <w:p w14:paraId="55268181">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十</w:t>
      </w:r>
      <w:r>
        <w:rPr>
          <w:rFonts w:hint="eastAsia" w:ascii="仿宋" w:hAnsi="仿宋" w:eastAsia="仿宋" w:cs="仿宋"/>
          <w:sz w:val="32"/>
          <w:szCs w:val="32"/>
        </w:rPr>
        <w:t>、关于国有资产占用情况说明</w:t>
      </w:r>
    </w:p>
    <w:p w14:paraId="56CD3BA1">
      <w:pPr>
        <w:ind w:firstLine="640" w:firstLineChars="200"/>
        <w:rPr>
          <w:rFonts w:hint="eastAsia" w:ascii="仿宋" w:hAnsi="仿宋" w:eastAsia="仿宋" w:cs="仿宋"/>
          <w:sz w:val="32"/>
          <w:szCs w:val="32"/>
        </w:rPr>
      </w:pPr>
      <w:r>
        <w:rPr>
          <w:rFonts w:hint="eastAsia" w:ascii="仿宋" w:hAnsi="仿宋" w:eastAsia="仿宋" w:cs="仿宋"/>
          <w:sz w:val="32"/>
          <w:szCs w:val="32"/>
        </w:rPr>
        <w:t>截至 2024 年 12 月 31  日，本部门共有车辆 0 辆，其中，副部（省） 级及以上领导用车 0 辆、主要负责人用车0 辆、机要通信用车0 辆、  应急保障用车 0 辆、执法执勤用车0 辆、特种专业技术用车0 辆、离   退休干部服务用车 0 辆、其他用车0 辆；单价 100 万元以上设备（不   含车辆）0 台（套）</w:t>
      </w:r>
    </w:p>
    <w:p w14:paraId="152A5072">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十一</w:t>
      </w:r>
      <w:bookmarkStart w:id="0" w:name="_GoBack"/>
      <w:bookmarkEnd w:id="0"/>
      <w:r>
        <w:rPr>
          <w:rFonts w:hint="eastAsia" w:ascii="仿宋" w:hAnsi="仿宋" w:eastAsia="仿宋" w:cs="仿宋"/>
          <w:sz w:val="32"/>
          <w:szCs w:val="32"/>
        </w:rPr>
        <w:t>、关于 2024 年度预算绩效情况的说明</w:t>
      </w:r>
    </w:p>
    <w:p w14:paraId="3FF2FF25">
      <w:pPr>
        <w:ind w:firstLine="640" w:firstLineChars="200"/>
        <w:rPr>
          <w:rFonts w:hint="eastAsia" w:ascii="仿宋" w:hAnsi="仿宋" w:eastAsia="仿宋" w:cs="仿宋"/>
          <w:sz w:val="32"/>
          <w:szCs w:val="32"/>
        </w:rPr>
      </w:pPr>
      <w:r>
        <w:rPr>
          <w:rFonts w:hint="eastAsia" w:ascii="仿宋" w:hAnsi="仿宋" w:eastAsia="仿宋" w:cs="仿宋"/>
          <w:sz w:val="32"/>
          <w:szCs w:val="32"/>
        </w:rPr>
        <w:t>（一）绩效评价工作开展情况。一是绩效自评开展情况。组织对 2024 年度本部门整体支出开展绩效自评，涉及项目 7 个，共涉及资金 543.31 万元。其中， 一般公共预算项目 1 个 299.20 万元， 占一般公 共预算支出总额的 55.07%； 政府性基金预算项目 0 个 0 万元，占政府 性基金预算支出总额的 0%； 国有资本经营预算项目 0 个 0 万元，占国 有资本经营预算支出总额的 0%； 社会保险基金预算项目 0 个 0 万元 , 占社会保险基金预算支出总额的 0% 。二是部门评价开展情况。 2024 年 度本部门未开展部门评价工作。三是事前绩效评估开展情况。  2024 年 度本部门未开展事前绩效评估工作。</w:t>
      </w:r>
    </w:p>
    <w:p w14:paraId="3F54E28C">
      <w:pPr>
        <w:ind w:firstLine="640" w:firstLineChars="200"/>
        <w:rPr>
          <w:rFonts w:hint="eastAsia" w:ascii="仿宋" w:hAnsi="仿宋" w:eastAsia="仿宋" w:cs="仿宋"/>
          <w:sz w:val="32"/>
          <w:szCs w:val="32"/>
        </w:rPr>
      </w:pPr>
      <w:r>
        <w:rPr>
          <w:rFonts w:hint="eastAsia" w:ascii="仿宋" w:hAnsi="仿宋" w:eastAsia="仿宋" w:cs="仿宋"/>
          <w:sz w:val="32"/>
          <w:szCs w:val="32"/>
        </w:rPr>
        <w:t>（二）绩效评价结果。一是绩效自评结果。2024 年度本部门整体支出全年预算数 547.03 万元， 执行数 547.03 万元， 完成预算的100%， 绩效自评得分 100 分， 评价等级为  “优 ” 。绩效目标完成情况： 2024 年全院业务收入 238 万，门诊人次 12760 余人次，住院人次 544   余人，较 2023 年 10150 人次提升了近 8 个百分点，药品收入 162.7 万 , 较 2023 年药品收入 173.5 万下降了9 个百分点，药占比 68.34%，比 2023   年 73.73%下降了近 5 个百分点， 中医馆理疗收入 25.58 万， 比 2023 年 22.8 万提升了近 9 个百分点。中药加成严格控制在 25%以内，没有 违规加提成及报废、报损等情况。发现的主要问题及原因： 1、在今后 的工作中，我院将举一反三，继续抓好党风廉政建设，加强医德医风 建设，严格执行卫生院财务管理制度，落实固定资产购置处理、开支审批等制度，确保卫生院财务工作管理规范； 2、加强对乡村医生工作的监督，督促各乡村医生规范做好预防、保健、医疗、公卫等工作，提高群众满意度和获得感，强化责任担当，认真扎实开展各项工作。下一步改进措施： 1、加强医德医风建设，切实改善服务态度，加强医 疗质量管理； 2、加强人才队伍建设，培养急需的业务人才，提高医务 人员文化素质和业务素质； 3、加强医院财务管理，严格执行卫生财务 管理制度，实现财务管理科学规范、公开透明，坚持厉行节约，勤俭 办院，做好医疗服务。二是部门评价结果。 2024 年度本部门未开展部 门评价工作， 暂无绩效评价结果。三是事前绩效评估结果。  2024 年度 本部门未开展事前绩效评估工作，暂无事前绩效评估结果。</w:t>
      </w:r>
    </w:p>
    <w:p w14:paraId="75B2713B">
      <w:pPr>
        <w:ind w:firstLine="640" w:firstLineChars="200"/>
        <w:rPr>
          <w:rFonts w:hint="eastAsia" w:ascii="仿宋" w:hAnsi="仿宋" w:eastAsia="仿宋" w:cs="仿宋"/>
          <w:sz w:val="32"/>
          <w:szCs w:val="32"/>
        </w:rPr>
      </w:pPr>
      <w:r>
        <w:rPr>
          <w:rFonts w:hint="eastAsia" w:ascii="仿宋" w:hAnsi="仿宋" w:eastAsia="仿宋" w:cs="仿宋"/>
          <w:sz w:val="32"/>
          <w:szCs w:val="32"/>
        </w:rPr>
        <w:t>（三）评价结果应用情况。一 、基础设施建设按照县局工作要求，为系统整合传统慢病诊疗流程，畅通诊前、诊中、诊后全流程闭环管  理，建立医防融合的协同机制，实现“智能化、 一站式、全周期”慢  病管护服务新模式，在我院门诊大厅重要位置完善了“慢病一站式” 门诊，以便更好地服务居民，为群众守护健康。二、医疗质量持续改  进 2024 年全院业务收入 238 万，门诊人次 12760 余人次，住院人次 544  余人，较 2023 年 10150 人次提升了近 8 个百分点，药品收入 162.7 万， 中医馆理疗收入 25.58 万等，全年有效提升整体收益水平；医疗质量  组织管理架构完善，全年无医疗差错事故，患者满意度显著提升。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F27F3E"/>
    <w:rsid w:val="5CF21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4</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2025-09-26T07:50:28Z</dcterms:created>
  <dc:creator>Administrator</dc:creator>
  <cp:lastModifiedBy>Administrator</cp:lastModifiedBy>
  <dcterms:modified xsi:type="dcterms:W3CDTF">2025-09-26T07:56:24Z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eyJoZGlkIjoiYjllMzI0OGJkMGU0NzkxYzFlNGZiOGVmNGIzZDljNDUifQ==</vt:lpwstr>
  </property>
  <property fmtid="{D5CDD505-2E9C-101B-9397-08002B2CF9AE}" pid="4" name="ICV">
    <vt:lpwstr>3EFA07CFBE0A4121B8CF9F7427EB96AE_13</vt:lpwstr>
  </property>
</Properties>
</file>