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268A5">
      <w:pPr>
        <w:jc w:val="center"/>
        <w:rPr>
          <w:rFonts w:hint="eastAsia" w:ascii="宋体" w:hAnsi="宋体" w:eastAsia="宋体" w:cs="宋体"/>
          <w:sz w:val="44"/>
          <w:szCs w:val="44"/>
        </w:rPr>
      </w:pPr>
      <w:r>
        <w:rPr>
          <w:rFonts w:hint="eastAsia" w:ascii="宋体" w:hAnsi="宋体" w:eastAsia="宋体" w:cs="宋体"/>
          <w:sz w:val="44"/>
          <w:szCs w:val="44"/>
        </w:rPr>
        <w:t>骨伤科医院2024年部门整体支出绩效评价报告</w:t>
      </w:r>
    </w:p>
    <w:p w14:paraId="3EE1C33E">
      <w:pPr>
        <w:rPr>
          <w:rFonts w:hint="eastAsia"/>
        </w:rPr>
      </w:pPr>
    </w:p>
    <w:p w14:paraId="5500C92F">
      <w:pPr>
        <w:rPr>
          <w:rFonts w:hint="eastAsia"/>
        </w:rPr>
      </w:pPr>
    </w:p>
    <w:p w14:paraId="27A41BB3">
      <w:pPr>
        <w:ind w:firstLine="640" w:firstLineChars="200"/>
        <w:rPr>
          <w:rFonts w:hint="eastAsia" w:ascii="仿宋" w:hAnsi="仿宋" w:eastAsia="仿宋" w:cs="仿宋"/>
          <w:sz w:val="32"/>
          <w:szCs w:val="32"/>
        </w:rPr>
      </w:pPr>
      <w:r>
        <w:rPr>
          <w:rFonts w:hint="eastAsia" w:ascii="仿宋" w:hAnsi="仿宋" w:eastAsia="仿宋" w:cs="仿宋"/>
          <w:sz w:val="32"/>
          <w:szCs w:val="32"/>
        </w:rPr>
        <w:t>根据《预算法》有关“各级政府、各部门、各单位应当对预算支出情况开展绩效评价”的规定及衡山县财政局印发《关于开展2024年度预算单位绩效自评的通知》（山财绩〔2025〕69号）文件精神，衡山县卫生健康局基层医疗机构财务集中核算中心对部门整体支出及专项项目资金支出进行了绩效评价，现将自评有关情况报告如下：</w:t>
      </w:r>
    </w:p>
    <w:p w14:paraId="2ECCDC47">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一、部门基本情况</w:t>
      </w:r>
    </w:p>
    <w:p w14:paraId="257D02D9">
      <w:pPr>
        <w:ind w:firstLine="640" w:firstLineChars="200"/>
        <w:rPr>
          <w:rFonts w:hint="eastAsia" w:ascii="仿宋" w:hAnsi="仿宋" w:eastAsia="仿宋" w:cs="仿宋"/>
          <w:sz w:val="32"/>
          <w:szCs w:val="32"/>
        </w:rPr>
      </w:pPr>
      <w:r>
        <w:rPr>
          <w:rFonts w:hint="eastAsia" w:ascii="仿宋" w:hAnsi="仿宋" w:eastAsia="仿宋" w:cs="仿宋"/>
          <w:sz w:val="32"/>
          <w:szCs w:val="32"/>
        </w:rPr>
        <w:t>（一）部门职能职责</w:t>
      </w:r>
    </w:p>
    <w:p w14:paraId="0A33F95F">
      <w:pPr>
        <w:ind w:firstLine="640" w:firstLineChars="200"/>
        <w:rPr>
          <w:rFonts w:hint="eastAsia" w:ascii="仿宋" w:hAnsi="仿宋" w:eastAsia="仿宋" w:cs="仿宋"/>
          <w:sz w:val="32"/>
          <w:szCs w:val="32"/>
        </w:rPr>
      </w:pPr>
      <w:r>
        <w:rPr>
          <w:rFonts w:hint="eastAsia" w:ascii="仿宋" w:hAnsi="仿宋" w:eastAsia="仿宋" w:cs="仿宋"/>
          <w:sz w:val="32"/>
          <w:szCs w:val="32"/>
        </w:rPr>
        <w:t>骨伤科医院是衡山县卫生健康局的二级单位，单位人员编制总数为34人，现有职工55人。本院是集医疗、公共卫生服务为一体的综合性医院，开设有办公室、医务科、财务科、公卫科、骨伤科、内科、麻醉科、功能科、护理科、药剂科。设有病床，现有主要医疗设备CT机、医疗设备DR机 、CB机、彩超、全自动生化仪、心电监护仪等各种常规辅助检查，属财政全额拨款事业单位。</w:t>
      </w:r>
    </w:p>
    <w:p w14:paraId="355D10E5">
      <w:pPr>
        <w:rPr>
          <w:rFonts w:hint="eastAsia" w:ascii="仿宋" w:hAnsi="仿宋" w:eastAsia="仿宋" w:cs="仿宋"/>
          <w:sz w:val="32"/>
          <w:szCs w:val="32"/>
        </w:rPr>
      </w:pPr>
      <w:r>
        <w:rPr>
          <w:rFonts w:hint="eastAsia" w:ascii="仿宋" w:hAnsi="仿宋" w:eastAsia="仿宋" w:cs="仿宋"/>
          <w:sz w:val="32"/>
          <w:szCs w:val="32"/>
        </w:rPr>
        <w:t xml:space="preserve">   （二）机构设置情况</w:t>
      </w:r>
    </w:p>
    <w:p w14:paraId="52B80790">
      <w:pPr>
        <w:rPr>
          <w:rFonts w:hint="eastAsia" w:ascii="仿宋" w:hAnsi="仿宋" w:eastAsia="仿宋" w:cs="仿宋"/>
          <w:sz w:val="32"/>
          <w:szCs w:val="32"/>
        </w:rPr>
      </w:pPr>
      <w:r>
        <w:rPr>
          <w:rFonts w:hint="eastAsia" w:ascii="仿宋" w:hAnsi="仿宋" w:eastAsia="仿宋" w:cs="仿宋"/>
          <w:sz w:val="32"/>
          <w:szCs w:val="32"/>
        </w:rPr>
        <w:t xml:space="preserve">    2024年末，我院内设处室分别是办公室、医务科、财务科、公卫科、骨伤科、内科、麻醉科、功能科、护理科、药剂科等科室。</w:t>
      </w:r>
    </w:p>
    <w:p w14:paraId="4ED0907C">
      <w:pPr>
        <w:rPr>
          <w:rFonts w:hint="eastAsia" w:ascii="仿宋" w:hAnsi="仿宋" w:eastAsia="仿宋" w:cs="仿宋"/>
          <w:sz w:val="32"/>
          <w:szCs w:val="32"/>
        </w:rPr>
      </w:pPr>
      <w:r>
        <w:rPr>
          <w:rFonts w:hint="eastAsia" w:ascii="仿宋" w:hAnsi="仿宋" w:eastAsia="仿宋" w:cs="仿宋"/>
          <w:sz w:val="32"/>
          <w:szCs w:val="32"/>
        </w:rPr>
        <w:t>人员编制情况</w:t>
      </w:r>
    </w:p>
    <w:p w14:paraId="0C062923">
      <w:pPr>
        <w:rPr>
          <w:rFonts w:hint="eastAsia" w:ascii="仿宋" w:hAnsi="仿宋" w:eastAsia="仿宋" w:cs="仿宋"/>
          <w:sz w:val="32"/>
          <w:szCs w:val="32"/>
        </w:rPr>
      </w:pPr>
      <w:r>
        <w:rPr>
          <w:rFonts w:hint="eastAsia" w:ascii="仿宋" w:hAnsi="仿宋" w:eastAsia="仿宋" w:cs="仿宋"/>
          <w:sz w:val="32"/>
          <w:szCs w:val="32"/>
        </w:rPr>
        <w:t>2024年末在编在岗人数34人，临聘人员21人，退休职工28人。</w:t>
      </w:r>
    </w:p>
    <w:p w14:paraId="69F76CA5">
      <w:pPr>
        <w:rPr>
          <w:rFonts w:hint="eastAsia" w:ascii="仿宋" w:hAnsi="仿宋" w:eastAsia="仿宋" w:cs="仿宋"/>
          <w:sz w:val="32"/>
          <w:szCs w:val="32"/>
        </w:rPr>
      </w:pPr>
      <w:r>
        <w:rPr>
          <w:rFonts w:hint="eastAsia" w:ascii="仿宋" w:hAnsi="仿宋" w:eastAsia="仿宋" w:cs="仿宋"/>
          <w:sz w:val="32"/>
          <w:szCs w:val="32"/>
        </w:rPr>
        <w:t xml:space="preserve">   二、预算支出及绩效情况</w:t>
      </w:r>
    </w:p>
    <w:p w14:paraId="491AE569">
      <w:pPr>
        <w:ind w:firstLine="320" w:firstLineChars="100"/>
        <w:rPr>
          <w:rFonts w:hint="eastAsia" w:ascii="仿宋" w:hAnsi="仿宋" w:eastAsia="仿宋" w:cs="仿宋"/>
          <w:sz w:val="32"/>
          <w:szCs w:val="32"/>
        </w:rPr>
      </w:pPr>
      <w:r>
        <w:rPr>
          <w:rFonts w:hint="eastAsia" w:ascii="仿宋" w:hAnsi="仿宋" w:eastAsia="仿宋" w:cs="仿宋"/>
          <w:sz w:val="32"/>
          <w:szCs w:val="32"/>
        </w:rPr>
        <w:t>（一）部门预决算情况</w:t>
      </w:r>
    </w:p>
    <w:p w14:paraId="5CDEB591">
      <w:pPr>
        <w:ind w:firstLine="640" w:firstLineChars="200"/>
        <w:rPr>
          <w:rFonts w:hint="eastAsia" w:ascii="仿宋" w:hAnsi="仿宋" w:eastAsia="仿宋" w:cs="仿宋"/>
          <w:sz w:val="32"/>
          <w:szCs w:val="32"/>
        </w:rPr>
      </w:pPr>
      <w:r>
        <w:rPr>
          <w:rFonts w:hint="eastAsia" w:ascii="仿宋" w:hAnsi="仿宋" w:eastAsia="仿宋" w:cs="仿宋"/>
          <w:sz w:val="32"/>
          <w:szCs w:val="32"/>
        </w:rPr>
        <w:t>一般公共预算财政拨款支出决算具体情况</w:t>
      </w:r>
    </w:p>
    <w:p w14:paraId="17E4AC5B">
      <w:pPr>
        <w:ind w:firstLine="640" w:firstLineChars="200"/>
        <w:rPr>
          <w:rFonts w:hint="eastAsia" w:ascii="仿宋" w:hAnsi="仿宋" w:eastAsia="仿宋" w:cs="仿宋"/>
          <w:sz w:val="32"/>
          <w:szCs w:val="32"/>
        </w:rPr>
      </w:pPr>
      <w:r>
        <w:rPr>
          <w:rFonts w:hint="eastAsia" w:ascii="仿宋" w:hAnsi="仿宋" w:eastAsia="仿宋" w:cs="仿宋"/>
          <w:sz w:val="32"/>
          <w:szCs w:val="32"/>
        </w:rPr>
        <w:t>2024 年度财政拨款支出年初预算数为 0 万元， 支出决算数为  559.57 万元，由于年初预算数为 0 万元，无法计算完成比率，其中：</w:t>
      </w:r>
    </w:p>
    <w:p w14:paraId="39BE53D4">
      <w:pPr>
        <w:ind w:firstLine="640" w:firstLineChars="200"/>
        <w:rPr>
          <w:rFonts w:hint="eastAsia" w:ascii="仿宋" w:hAnsi="仿宋" w:eastAsia="仿宋" w:cs="仿宋"/>
          <w:sz w:val="32"/>
          <w:szCs w:val="32"/>
        </w:rPr>
      </w:pPr>
      <w:r>
        <w:rPr>
          <w:rFonts w:hint="eastAsia" w:ascii="仿宋" w:hAnsi="仿宋" w:eastAsia="仿宋" w:cs="仿宋"/>
          <w:sz w:val="32"/>
          <w:szCs w:val="32"/>
        </w:rPr>
        <w:t>1 、一般公共服务支出（类）组织事务（款）其他组织事务支出（项）。</w:t>
      </w:r>
    </w:p>
    <w:p w14:paraId="2525DCD2">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 支出决算为 0.75 万元， 年初预算为 0 万元， 无法计算完成比率，决算数大于预算数的主要原因是：重点项目资金  单列，未纳入年初预算。</w:t>
      </w:r>
    </w:p>
    <w:p w14:paraId="385F71E1">
      <w:pPr>
        <w:ind w:firstLine="640" w:firstLineChars="200"/>
        <w:rPr>
          <w:rFonts w:hint="eastAsia" w:ascii="仿宋" w:hAnsi="仿宋" w:eastAsia="仿宋" w:cs="仿宋"/>
          <w:sz w:val="32"/>
          <w:szCs w:val="32"/>
        </w:rPr>
      </w:pPr>
      <w:r>
        <w:rPr>
          <w:rFonts w:hint="eastAsia" w:ascii="仿宋" w:hAnsi="仿宋" w:eastAsia="仿宋" w:cs="仿宋"/>
          <w:sz w:val="32"/>
          <w:szCs w:val="32"/>
        </w:rPr>
        <w:t>2、卫生健康支出（类） 卫生健康管理事务（款） 一般行政管理 事务（项）。</w:t>
      </w:r>
    </w:p>
    <w:p w14:paraId="0080CBE0">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万元，支出决算为 2.9 万元，年初预算为 0 万元， 无法计算完成比率，决算数大于预算数的主要原因是：重点项目资金 单列，未纳入年初预算。</w:t>
      </w:r>
    </w:p>
    <w:p w14:paraId="5E406CEA">
      <w:pPr>
        <w:ind w:firstLine="640" w:firstLineChars="200"/>
        <w:rPr>
          <w:rFonts w:hint="eastAsia" w:ascii="仿宋" w:hAnsi="仿宋" w:eastAsia="仿宋" w:cs="仿宋"/>
          <w:sz w:val="32"/>
          <w:szCs w:val="32"/>
        </w:rPr>
      </w:pPr>
      <w:r>
        <w:rPr>
          <w:rFonts w:hint="eastAsia" w:ascii="仿宋" w:hAnsi="仿宋" w:eastAsia="仿宋" w:cs="仿宋"/>
          <w:sz w:val="32"/>
          <w:szCs w:val="32"/>
        </w:rPr>
        <w:t>3 、卫生健康支出（类）基层医疗卫生机构（款）乡镇卫生院（项）。</w:t>
      </w:r>
    </w:p>
    <w:p w14:paraId="4C993F5F">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万元，支出决算为 51.24 万元，年初预算为 0 万元， 无法计算完成比率，决算数大于预算数的主要原因是：重点项目资金  单列，未纳入年初预算。</w:t>
      </w:r>
    </w:p>
    <w:p w14:paraId="72D59601">
      <w:pPr>
        <w:ind w:firstLine="640" w:firstLineChars="200"/>
        <w:rPr>
          <w:rFonts w:hint="eastAsia" w:ascii="仿宋" w:hAnsi="仿宋" w:eastAsia="仿宋" w:cs="仿宋"/>
          <w:sz w:val="32"/>
          <w:szCs w:val="32"/>
        </w:rPr>
      </w:pPr>
      <w:r>
        <w:rPr>
          <w:rFonts w:hint="eastAsia" w:ascii="仿宋" w:hAnsi="仿宋" w:eastAsia="仿宋" w:cs="仿宋"/>
          <w:sz w:val="32"/>
          <w:szCs w:val="32"/>
        </w:rPr>
        <w:t>4、卫生健康支出（类） 基层医疗卫生机构（款） 其他基层医疗 卫生机构支出（项）。</w:t>
      </w:r>
    </w:p>
    <w:p w14:paraId="6396C920">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万元，支出决算为 23.74 万元，年初预算为 0 万元，无法计算完成比率，决算数大于预算数的主要原因是：重点项目资金 单列，未纳入年初预算。</w:t>
      </w:r>
    </w:p>
    <w:p w14:paraId="331CAA30">
      <w:pPr>
        <w:ind w:firstLine="640" w:firstLineChars="200"/>
        <w:rPr>
          <w:rFonts w:hint="eastAsia" w:ascii="仿宋" w:hAnsi="仿宋" w:eastAsia="仿宋" w:cs="仿宋"/>
          <w:sz w:val="32"/>
          <w:szCs w:val="32"/>
        </w:rPr>
      </w:pPr>
      <w:r>
        <w:rPr>
          <w:rFonts w:hint="eastAsia" w:ascii="仿宋" w:hAnsi="仿宋" w:eastAsia="仿宋" w:cs="仿宋"/>
          <w:sz w:val="32"/>
          <w:szCs w:val="32"/>
        </w:rPr>
        <w:t>5 、卫生健康支出（类）公共卫生（款）基本公共卫生服务（项）。</w:t>
      </w:r>
    </w:p>
    <w:p w14:paraId="01A12C90">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 支出决算为 140.97 万元， 年初预算为 0 万 元，无法计算完成比率，决算数大于预算数的主要原因是：重点项目 资金单列，未纳入年初预算。</w:t>
      </w:r>
    </w:p>
    <w:p w14:paraId="4C1FF5D7">
      <w:pPr>
        <w:ind w:firstLine="640" w:firstLineChars="200"/>
        <w:rPr>
          <w:rFonts w:hint="eastAsia" w:ascii="仿宋" w:hAnsi="仿宋" w:eastAsia="仿宋" w:cs="仿宋"/>
          <w:sz w:val="32"/>
          <w:szCs w:val="32"/>
        </w:rPr>
      </w:pPr>
      <w:r>
        <w:rPr>
          <w:rFonts w:hint="eastAsia" w:ascii="仿宋" w:hAnsi="仿宋" w:eastAsia="仿宋" w:cs="仿宋"/>
          <w:sz w:val="32"/>
          <w:szCs w:val="32"/>
        </w:rPr>
        <w:t>6 、卫生健康支出（类）公共卫生（款）其他公共卫生支出（项）。</w:t>
      </w:r>
    </w:p>
    <w:p w14:paraId="28EBD4E4">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 支出决算为 339.97 万元， 年初预算为 0 万 元，无法计算完成比率，决算数大于预算数的主要原因是：重点项目 资金单列，未纳入年初预算。</w:t>
      </w:r>
    </w:p>
    <w:p w14:paraId="624E3667">
      <w:pPr>
        <w:ind w:firstLine="640" w:firstLineChars="200"/>
        <w:rPr>
          <w:rFonts w:hint="eastAsia" w:ascii="仿宋" w:hAnsi="仿宋" w:eastAsia="仿宋" w:cs="仿宋"/>
          <w:sz w:val="32"/>
          <w:szCs w:val="32"/>
        </w:rPr>
      </w:pPr>
      <w:r>
        <w:rPr>
          <w:rFonts w:hint="eastAsia" w:ascii="仿宋" w:hAnsi="仿宋" w:eastAsia="仿宋" w:cs="仿宋"/>
          <w:sz w:val="32"/>
          <w:szCs w:val="32"/>
        </w:rPr>
        <w:t>三、 一般公共预算财政拨款基本支出决算情况说明</w:t>
      </w:r>
    </w:p>
    <w:p w14:paraId="1FD06EB9">
      <w:pPr>
        <w:ind w:firstLine="640" w:firstLineChars="200"/>
        <w:rPr>
          <w:rFonts w:hint="eastAsia" w:ascii="仿宋" w:hAnsi="仿宋" w:eastAsia="仿宋" w:cs="仿宋"/>
          <w:sz w:val="32"/>
          <w:szCs w:val="32"/>
        </w:rPr>
      </w:pPr>
      <w:r>
        <w:rPr>
          <w:rFonts w:hint="eastAsia" w:ascii="仿宋" w:hAnsi="仿宋" w:eastAsia="仿宋" w:cs="仿宋"/>
          <w:sz w:val="32"/>
          <w:szCs w:val="32"/>
        </w:rPr>
        <w:t>2024 年度财政拨款基本支出 51.16 万元，其中：</w:t>
      </w:r>
    </w:p>
    <w:p w14:paraId="659B789D">
      <w:pPr>
        <w:rPr>
          <w:rFonts w:hint="eastAsia" w:ascii="仿宋" w:hAnsi="仿宋" w:eastAsia="仿宋" w:cs="仿宋"/>
          <w:sz w:val="32"/>
          <w:szCs w:val="32"/>
        </w:rPr>
      </w:pPr>
      <w:r>
        <w:rPr>
          <w:rFonts w:hint="eastAsia" w:ascii="仿宋" w:hAnsi="仿宋" w:eastAsia="仿宋" w:cs="仿宋"/>
          <w:sz w:val="32"/>
          <w:szCs w:val="32"/>
        </w:rPr>
        <w:t>人员经费 49.45 万元，占基本支出的 96.66%，主要包括： 基本工资、津贴补贴、奖金、伙食补助费、机关事业单位基本养老保险缴费、 职业年金缴费、职工基本医疗保险缴费、其他社会保障缴费、住房公  积金、退休费、抚恤金、生活补助、救济费、奖励金、其他对个人和家庭的补助；公用经费 1.71 万元，占基本支出的 3.34%，主要包括：办公费、 印刷费、咨询费、水费、电费、邮电费、物业管理费、差旅费、维修（护） 费、会议费、培训费、公务接待费、劳务费、委托业务费、工会经费、福利费、公务用车运行维护费、其他商品和服务支出。</w:t>
      </w:r>
    </w:p>
    <w:p w14:paraId="290A7B59">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、财政拨款 “ 三公 ” 经费支出决算情况说明</w:t>
      </w:r>
    </w:p>
    <w:p w14:paraId="4BB325E4">
      <w:pPr>
        <w:ind w:firstLine="640" w:firstLineChars="200"/>
        <w:rPr>
          <w:rFonts w:hint="eastAsia" w:ascii="仿宋" w:hAnsi="仿宋" w:eastAsia="仿宋" w:cs="仿宋"/>
          <w:sz w:val="32"/>
          <w:szCs w:val="32"/>
        </w:rPr>
      </w:pPr>
      <w:r>
        <w:rPr>
          <w:rFonts w:hint="eastAsia" w:ascii="仿宋" w:hAnsi="仿宋" w:eastAsia="仿宋" w:cs="仿宋"/>
          <w:sz w:val="32"/>
          <w:szCs w:val="32"/>
        </w:rPr>
        <w:t>（一） “ 三公 ” 经费财政拨款支出决算总体情况说明</w:t>
      </w:r>
    </w:p>
    <w:p w14:paraId="076C46B3">
      <w:pPr>
        <w:ind w:firstLine="640" w:firstLineChars="200"/>
        <w:rPr>
          <w:rFonts w:hint="eastAsia" w:ascii="仿宋" w:hAnsi="仿宋" w:eastAsia="仿宋" w:cs="仿宋"/>
          <w:sz w:val="32"/>
          <w:szCs w:val="32"/>
        </w:rPr>
      </w:pPr>
      <w:r>
        <w:rPr>
          <w:rFonts w:hint="eastAsia" w:ascii="仿宋" w:hAnsi="仿宋" w:eastAsia="仿宋" w:cs="仿宋"/>
          <w:sz w:val="32"/>
          <w:szCs w:val="32"/>
        </w:rPr>
        <w:t>“三公”经费财政拨款支出预算为 0.00 万元，支出决算为 0.00   万元， 由于预算数为 0 万元，无法计算完成比率。与本年预算数相同， 主要原因是本年度无“三公 ”经费财政拨款支出，与上年决算数相同， 主要原因是本年度无“三公”经费财政拨款支出。</w:t>
      </w:r>
    </w:p>
    <w:p w14:paraId="50BCBE5F">
      <w:pPr>
        <w:ind w:firstLine="640" w:firstLineChars="200"/>
        <w:rPr>
          <w:rFonts w:hint="eastAsia" w:ascii="仿宋" w:hAnsi="仿宋" w:eastAsia="仿宋" w:cs="仿宋"/>
          <w:sz w:val="32"/>
          <w:szCs w:val="32"/>
        </w:rPr>
      </w:pPr>
      <w:r>
        <w:rPr>
          <w:rFonts w:hint="eastAsia" w:ascii="仿宋" w:hAnsi="仿宋" w:eastAsia="仿宋" w:cs="仿宋"/>
          <w:sz w:val="32"/>
          <w:szCs w:val="32"/>
        </w:rPr>
        <w:t>（二）  “三公”经费财政拨款支出决算具体情况说明</w:t>
      </w:r>
    </w:p>
    <w:p w14:paraId="0A2813FD">
      <w:pPr>
        <w:ind w:firstLine="640" w:firstLineChars="200"/>
        <w:rPr>
          <w:rFonts w:hint="eastAsia" w:ascii="仿宋" w:hAnsi="仿宋" w:eastAsia="仿宋" w:cs="仿宋"/>
          <w:sz w:val="32"/>
          <w:szCs w:val="32"/>
        </w:rPr>
      </w:pPr>
      <w:r>
        <w:rPr>
          <w:rFonts w:hint="eastAsia" w:ascii="仿宋" w:hAnsi="仿宋" w:eastAsia="仿宋" w:cs="仿宋"/>
          <w:sz w:val="32"/>
          <w:szCs w:val="32"/>
        </w:rPr>
        <w:t>1、因公出国（境） 费支出预算为 0.00 万元， 支出决算为 0.00    万元， 由于预算数为 0 万元，无法计算完成比率，与本年预算数相同， 主要原因是本年度无因公出国（境）费支出，与上年决算数相同，主要原因是本年度无因公出国（境）费支出。2024 年度安排因公出国（境） 团组 0 个， 累计 0 人次，本部门 2024 年度未发生因公出国（境）费支   出。</w:t>
      </w:r>
    </w:p>
    <w:p w14:paraId="1E63B7A6">
      <w:pPr>
        <w:ind w:firstLine="640" w:firstLineChars="200"/>
        <w:rPr>
          <w:rFonts w:hint="eastAsia" w:ascii="仿宋" w:hAnsi="仿宋" w:eastAsia="仿宋" w:cs="仿宋"/>
          <w:sz w:val="32"/>
          <w:szCs w:val="32"/>
        </w:rPr>
      </w:pPr>
      <w:r>
        <w:rPr>
          <w:rFonts w:hint="eastAsia" w:ascii="仿宋" w:hAnsi="仿宋" w:eastAsia="仿宋" w:cs="仿宋"/>
          <w:sz w:val="32"/>
          <w:szCs w:val="32"/>
        </w:rPr>
        <w:t>2、公务用车购置费及运行维护费支出预算为 0.00 万元， 支出决 算为 0.00 万元， 由于预算数为 0 万元，无法计算完成比率，与本年预 算数相同，主要原因是本年度无公务用车购置费及运行维护费支出，与上年决算数相同，主要原因是本年度无公务用车购置费及运行维护 费支出。其中：公务用车购置费支出预算为 0.00 万元，支出决算为 0.00 万元， 由于预算数为 0 万元，无法计算完成比率，与本年预算数相同，主要 原因是本年度无公务用车购置费支出，与上年决算数相同，主要原因 是本年度无公务用车购置费支出。2024 年度衡山县沙泉乡中心卫生院 更新公务用车 0 辆，购置公务用车0 辆。2024 年度本部门未发生公务用车购置费支出。</w:t>
      </w:r>
    </w:p>
    <w:p w14:paraId="645E1550">
      <w:pPr>
        <w:ind w:firstLine="640" w:firstLineChars="200"/>
        <w:rPr>
          <w:rFonts w:hint="eastAsia" w:ascii="仿宋" w:hAnsi="仿宋" w:eastAsia="仿宋" w:cs="仿宋"/>
          <w:sz w:val="32"/>
          <w:szCs w:val="32"/>
        </w:rPr>
      </w:pPr>
      <w:r>
        <w:rPr>
          <w:rFonts w:hint="eastAsia" w:ascii="仿宋" w:hAnsi="仿宋" w:eastAsia="仿宋" w:cs="仿宋"/>
          <w:sz w:val="32"/>
          <w:szCs w:val="32"/>
        </w:rPr>
        <w:t>公务用车运行维护费支出预算为 0.00 万元， 支出决算为 0.00 万 元，由于预算数为 0 万元，无法计算完成比率，与本年预算数相同， 主要原因是本年度无公务用车运行维护费支出，与上年决算数相同， 主要原因是本年度无公务用车运行维护费支出。截止 2024 年 12 月 31 日，我部门开支财政拨款的公务用车保有量为 0 辆。本部门 2024 年度 未发生公务用车运行维护费支出。</w:t>
      </w:r>
    </w:p>
    <w:p w14:paraId="44FB4FD9">
      <w:pPr>
        <w:ind w:firstLine="640" w:firstLineChars="200"/>
        <w:rPr>
          <w:rFonts w:hint="eastAsia" w:ascii="仿宋" w:hAnsi="仿宋" w:eastAsia="仿宋" w:cs="仿宋"/>
          <w:sz w:val="32"/>
          <w:szCs w:val="32"/>
        </w:rPr>
      </w:pPr>
      <w:r>
        <w:rPr>
          <w:rFonts w:hint="eastAsia" w:ascii="仿宋" w:hAnsi="仿宋" w:eastAsia="仿宋" w:cs="仿宋"/>
          <w:sz w:val="32"/>
          <w:szCs w:val="32"/>
        </w:rPr>
        <w:t>3、公务接待费支出预算为 0.00 万元， 支出决算为 0.00 万元，  由于预算数为 0 万元，无法计算完成比率，与本年预算数相同，主要  原因是本年度无公务接待费支出，与上年决算数相同，主要原因是本年度无公务接待费支出。2024 年度共接待来访团组 0 个，来宾 0 人次， 本部门 2024 年度未发生公务接待费支出。</w:t>
      </w:r>
    </w:p>
    <w:p w14:paraId="1779E691">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、国有资本经营预算财政拨款支出情况</w:t>
      </w:r>
    </w:p>
    <w:p w14:paraId="4B67AC6C">
      <w:pPr>
        <w:ind w:firstLine="640" w:firstLineChars="200"/>
        <w:rPr>
          <w:rFonts w:hint="eastAsia" w:ascii="仿宋" w:hAnsi="仿宋" w:eastAsia="仿宋" w:cs="仿宋"/>
          <w:sz w:val="32"/>
          <w:szCs w:val="32"/>
        </w:rPr>
      </w:pPr>
      <w:r>
        <w:rPr>
          <w:rFonts w:hint="eastAsia" w:ascii="仿宋" w:hAnsi="仿宋" w:eastAsia="仿宋" w:cs="仿宋"/>
          <w:sz w:val="32"/>
          <w:szCs w:val="32"/>
        </w:rPr>
        <w:t>2024 年度未发生国有资本经营预算财政拨款收支。</w:t>
      </w:r>
    </w:p>
    <w:p w14:paraId="728CD7CF">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、关于机关运行经费支出说明</w:t>
      </w:r>
    </w:p>
    <w:p w14:paraId="5CB841FD">
      <w:pPr>
        <w:ind w:firstLine="640" w:firstLineChars="200"/>
        <w:rPr>
          <w:rFonts w:hint="eastAsia" w:ascii="仿宋" w:hAnsi="仿宋" w:eastAsia="仿宋" w:cs="仿宋"/>
          <w:sz w:val="32"/>
          <w:szCs w:val="32"/>
        </w:rPr>
      </w:pPr>
      <w:r>
        <w:rPr>
          <w:rFonts w:hint="eastAsia" w:ascii="仿宋" w:hAnsi="仿宋" w:eastAsia="仿宋" w:cs="仿宋"/>
          <w:sz w:val="32"/>
          <w:szCs w:val="32"/>
        </w:rPr>
        <w:t>本部门 2024 年机关运行经费支出 0 万元， 年初预算数 0 万元， 与年初预算持平。</w:t>
      </w:r>
    </w:p>
    <w:p w14:paraId="79C0DB8B">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 xml:space="preserve"> 、 一般性支出情况说明</w:t>
      </w:r>
    </w:p>
    <w:p w14:paraId="796992C8">
      <w:pPr>
        <w:ind w:firstLine="640" w:firstLineChars="200"/>
        <w:rPr>
          <w:rFonts w:hint="eastAsia" w:ascii="仿宋" w:hAnsi="仿宋" w:eastAsia="仿宋" w:cs="仿宋"/>
          <w:sz w:val="32"/>
          <w:szCs w:val="32"/>
        </w:rPr>
      </w:pPr>
      <w:r>
        <w:rPr>
          <w:rFonts w:hint="eastAsia" w:ascii="仿宋" w:hAnsi="仿宋" w:eastAsia="仿宋" w:cs="仿宋"/>
          <w:sz w:val="32"/>
          <w:szCs w:val="32"/>
        </w:rPr>
        <w:t>2024 年本部门开支会议费 0.00 万元，我部门 2024 年度未发生会 议费支出；开支培训费 0.00 万元，我部门 2024 年度未发生培训费支出。未举办节庆、晚会、论坛、赛事活动。</w:t>
      </w:r>
    </w:p>
    <w:p w14:paraId="0C2E7955">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、关于政府采购支出说明</w:t>
      </w:r>
    </w:p>
    <w:p w14:paraId="6EA81B19">
      <w:pPr>
        <w:ind w:firstLine="640" w:firstLineChars="200"/>
        <w:rPr>
          <w:rFonts w:hint="eastAsia" w:ascii="仿宋" w:hAnsi="仿宋" w:eastAsia="仿宋" w:cs="仿宋"/>
          <w:sz w:val="32"/>
          <w:szCs w:val="32"/>
        </w:rPr>
      </w:pPr>
      <w:r>
        <w:rPr>
          <w:rFonts w:hint="eastAsia" w:ascii="仿宋" w:hAnsi="仿宋" w:eastAsia="仿宋" w:cs="仿宋"/>
          <w:sz w:val="32"/>
          <w:szCs w:val="32"/>
        </w:rPr>
        <w:t>本部门 2024 年度政府采购支出总额 131.03 万元，其中： 政府采  购货物支出 131.03 万元、政府采购工程支出0 万元、政府采购服  务支出 0 万元。授予中小企业合同金额 131.03 万元，占政府采购支出  总额的 100.00%，其中： 授予小微企业合同金额 131.03 万元，占政府  采购支出总额的 100.00%； 货物采购授予中小企业合同金额占货物支  出金额的 100%； 工程采购授予中小企业合同金额占工程支出金额的%； 由于服务支出金额为 0 万元，无法进行服务采购授予中小企业合同金  额占服务支出金额的百分比测算。</w:t>
      </w:r>
    </w:p>
    <w:p w14:paraId="30C4B627">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九</w:t>
      </w:r>
      <w:r>
        <w:rPr>
          <w:rFonts w:hint="eastAsia" w:ascii="仿宋" w:hAnsi="仿宋" w:eastAsia="仿宋" w:cs="仿宋"/>
          <w:sz w:val="32"/>
          <w:szCs w:val="32"/>
        </w:rPr>
        <w:t>、关于国有资产占用情况说明</w:t>
      </w:r>
    </w:p>
    <w:p w14:paraId="35415294">
      <w:pPr>
        <w:ind w:firstLine="640" w:firstLineChars="200"/>
        <w:rPr>
          <w:rFonts w:hint="eastAsia" w:ascii="仿宋" w:hAnsi="仿宋" w:eastAsia="仿宋" w:cs="仿宋"/>
          <w:sz w:val="32"/>
          <w:szCs w:val="32"/>
        </w:rPr>
      </w:pPr>
      <w:r>
        <w:rPr>
          <w:rFonts w:hint="eastAsia" w:ascii="仿宋" w:hAnsi="仿宋" w:eastAsia="仿宋" w:cs="仿宋"/>
          <w:sz w:val="32"/>
          <w:szCs w:val="32"/>
        </w:rPr>
        <w:t>截至 2024 年 12 月 31  日，本部门共有车辆 0 辆，其中，副部（省） 级及以上领导用车 0 辆、主要负责人用车0 辆、机要通信用车0 辆、  应急保障用车 0 辆、执法执勤用车0 辆、特种专业技术用车0 辆、离   退休干部服务用车 0 辆、其他用车0 辆；单价 100 万元以上设备（不   含车辆）0 台（套）。</w:t>
      </w:r>
    </w:p>
    <w:p w14:paraId="1601C60D">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十</w:t>
      </w:r>
      <w:bookmarkStart w:id="0" w:name="_GoBack"/>
      <w:bookmarkEnd w:id="0"/>
      <w:r>
        <w:rPr>
          <w:rFonts w:hint="eastAsia" w:ascii="仿宋" w:hAnsi="仿宋" w:eastAsia="仿宋" w:cs="仿宋"/>
          <w:sz w:val="32"/>
          <w:szCs w:val="32"/>
        </w:rPr>
        <w:t>、关于 2024 年度预算绩效情况的说明</w:t>
      </w:r>
    </w:p>
    <w:p w14:paraId="22576433">
      <w:pPr>
        <w:ind w:firstLine="640" w:firstLineChars="200"/>
        <w:rPr>
          <w:rFonts w:hint="eastAsia" w:ascii="仿宋" w:hAnsi="仿宋" w:eastAsia="仿宋" w:cs="仿宋"/>
          <w:sz w:val="32"/>
          <w:szCs w:val="32"/>
        </w:rPr>
      </w:pPr>
      <w:r>
        <w:rPr>
          <w:rFonts w:hint="eastAsia" w:ascii="仿宋" w:hAnsi="仿宋" w:eastAsia="仿宋" w:cs="仿宋"/>
          <w:sz w:val="32"/>
          <w:szCs w:val="32"/>
        </w:rPr>
        <w:t>（一）绩效评价工作开展情况。一是绩效自评开展情况。组织对 2024  年度本部门整体支出开展绩效自评，涉及项目 7 个，共涉及资金 1180.40 万元。其中，  一般公共预算项目 1 个 559.57 万元， 占一般公 共预算支出总额的 47.41%； 政府性基金预算项目 0 个 0 万元，占政府 性基金预算支出总额的 0%； 国有资本经营预算项目 0 个 0 万元，占国有资本经营预算支出总额的 0%； 社会保险基金预算项目 0 个 0 万元 , 占社会保险基金预算支出总额的 0% 。二是部门评价开展情况。 2024 年 度本部门未开展部门评价工作。三是事前绩效评估开展情况。2024 年度本部门未开展事前绩效评估工作。</w:t>
      </w:r>
    </w:p>
    <w:p w14:paraId="75D66273">
      <w:pPr>
        <w:ind w:firstLine="640" w:firstLineChars="200"/>
        <w:rPr>
          <w:rFonts w:hint="eastAsia" w:ascii="仿宋" w:hAnsi="仿宋" w:eastAsia="仿宋" w:cs="仿宋"/>
          <w:sz w:val="32"/>
          <w:szCs w:val="32"/>
        </w:rPr>
      </w:pPr>
      <w:r>
        <w:rPr>
          <w:rFonts w:hint="eastAsia" w:ascii="仿宋" w:hAnsi="仿宋" w:eastAsia="仿宋" w:cs="仿宋"/>
          <w:sz w:val="32"/>
          <w:szCs w:val="32"/>
        </w:rPr>
        <w:t>（二）绩效评价结果。一是绩效自评结果。2024 年度本部门整体支出全年预算数 1180.40 万元，执行数 1180.40 万元，完成预算的 100%， 绩效自评得分 100 分，评价等级为  “优 ” 。绩效目标完成情况：积极开展基本公共卫生服务项目，完成了辖区内居民健康档案的建立和更新，截至 2024 年 11 月底，我院共建立健康档案 15909 份，并定期开展健康教育和健康促进活动。对沙泉片区 65 岁及以上老年人进行登记管理，并进行免费体检，我院共登记管理 65 岁及以上老年 2835 人，规范体检人数 1799 人， 体检率 63.46%。发现的主要问题及原因：在医疗技术、设备设施、人才结构等方面仍存在一些不足，需要进一步加强。下一步改进措施：一是加大投入，更新医疗设备，提高诊疗水平；二是加强人才培养与引进，优化人才结构；三是深化医院改革，提高管理效能。二是部门评价结果。  2024 年度本部门未开展部门评价工作， 暂无绩效评价结果。三是事前绩效评估结果。2024 年度本部门未开展事前绩效评估工作，暂无事前绩效评估结果。</w:t>
      </w:r>
    </w:p>
    <w:p w14:paraId="3C992732">
      <w:pPr>
        <w:ind w:firstLine="640" w:firstLineChars="200"/>
        <w:rPr>
          <w:rFonts w:hint="eastAsia" w:ascii="仿宋" w:hAnsi="仿宋" w:eastAsia="仿宋" w:cs="仿宋"/>
          <w:sz w:val="32"/>
          <w:szCs w:val="32"/>
        </w:rPr>
      </w:pPr>
      <w:r>
        <w:rPr>
          <w:rFonts w:hint="eastAsia" w:ascii="仿宋" w:hAnsi="仿宋" w:eastAsia="仿宋" w:cs="仿宋"/>
          <w:sz w:val="32"/>
          <w:szCs w:val="32"/>
        </w:rPr>
        <w:t>（三） 评价结果应用情况。 医防融合、慢病一站式工作开展： 按 照要求完成了慢病“一站式”门诊建设，提高高血压、糖尿病患者的 就诊率，将确诊的慢病患者全部纳入健康管理，按照“诊前、诊中、 诊后” 一站式服务流程，为慢病患者提供全周期的健康管理。深化医药卫生体制改革， 全面落实药品零差率销售政策。DRG 付费的改革推 及，进一步有效控制了医疗费用，提高医院效率，大大减轻了患者负担。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654ED2"/>
    <w:rsid w:val="63033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3654</Words>
  <Characters>3940</Characters>
  <Lines>0</Lines>
  <Paragraphs>0</Paragraphs>
  <TotalTime>5</TotalTime>
  <ScaleCrop>false</ScaleCrop>
  <LinksUpToDate>false</LinksUpToDate>
  <CharactersWithSpaces>4333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2025-09-26T07:42:00Z</dcterms:created>
  <dc:creator>Administrator</dc:creator>
  <cp:lastModifiedBy>Administrator</cp:lastModifiedBy>
  <dcterms:modified xsi:type="dcterms:W3CDTF">2025-09-26T07:50:12Z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eyJoZGlkIjoiYjllMzI0OGJkMGU0NzkxYzFlNGZiOGVmNGIzZDljNDUifQ==</vt:lpwstr>
  </property>
  <property fmtid="{D5CDD505-2E9C-101B-9397-08002B2CF9AE}" pid="4" name="ICV">
    <vt:lpwstr>20BCB8E2433F4811AA317D4D63DB4C22_13</vt:lpwstr>
  </property>
</Properties>
</file>