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宋体" w:hAnsi="华文宋体" w:eastAsia="华文宋体" w:cs="华文宋体"/>
          <w:sz w:val="30"/>
          <w:szCs w:val="30"/>
          <w:lang w:eastAsia="zh-CN"/>
        </w:rPr>
      </w:pPr>
      <w:r>
        <w:rPr>
          <w:rFonts w:hint="eastAsia" w:ascii="华文宋体" w:hAnsi="华文宋体" w:eastAsia="华文宋体" w:cs="华文宋体"/>
          <w:sz w:val="30"/>
          <w:szCs w:val="30"/>
          <w:lang w:eastAsia="zh-CN"/>
        </w:rPr>
        <w:t>附件四</w:t>
      </w:r>
    </w:p>
    <w:p>
      <w:pPr>
        <w:jc w:val="center"/>
        <w:rPr>
          <w:rFonts w:hint="eastAsia" w:ascii="华文宋体" w:hAnsi="华文宋体" w:eastAsia="华文宋体" w:cs="华文宋体"/>
          <w:sz w:val="30"/>
          <w:szCs w:val="30"/>
          <w:lang w:eastAsia="zh-CN"/>
        </w:rPr>
      </w:pPr>
    </w:p>
    <w:p>
      <w:pPr>
        <w:jc w:val="center"/>
        <w:rPr>
          <w:rFonts w:hint="eastAsia" w:ascii="华文宋体" w:hAnsi="华文宋体" w:eastAsia="华文宋体" w:cs="华文宋体"/>
          <w:sz w:val="30"/>
          <w:szCs w:val="30"/>
          <w:lang w:eastAsia="zh-CN"/>
        </w:rPr>
      </w:pPr>
    </w:p>
    <w:p>
      <w:pPr>
        <w:jc w:val="center"/>
        <w:rPr>
          <w:rFonts w:hint="eastAsia" w:ascii="华文宋体" w:hAnsi="华文宋体" w:eastAsia="华文宋体" w:cs="华文宋体"/>
          <w:sz w:val="30"/>
          <w:szCs w:val="30"/>
          <w:lang w:eastAsia="zh-CN"/>
        </w:rPr>
      </w:pPr>
    </w:p>
    <w:p>
      <w:pPr>
        <w:jc w:val="center"/>
        <w:rPr>
          <w:rFonts w:hint="eastAsia" w:ascii="华文宋体" w:hAnsi="华文宋体" w:eastAsia="华文宋体" w:cs="华文宋体"/>
          <w:sz w:val="30"/>
          <w:szCs w:val="30"/>
          <w:lang w:eastAsia="zh-CN"/>
        </w:rPr>
      </w:pPr>
    </w:p>
    <w:p>
      <w:pPr>
        <w:jc w:val="center"/>
        <w:rPr>
          <w:rFonts w:hint="eastAsia" w:ascii="华文宋体" w:hAnsi="华文宋体" w:eastAsia="华文宋体" w:cs="华文宋体"/>
          <w:b/>
          <w:bCs/>
          <w:sz w:val="52"/>
          <w:szCs w:val="52"/>
          <w:lang w:val="en-US" w:eastAsia="zh-CN"/>
        </w:rPr>
      </w:pPr>
      <w:r>
        <w:rPr>
          <w:rFonts w:hint="eastAsia" w:ascii="华文宋体" w:hAnsi="华文宋体" w:eastAsia="华文宋体" w:cs="华文宋体"/>
          <w:b/>
          <w:bCs/>
          <w:sz w:val="52"/>
          <w:szCs w:val="52"/>
          <w:lang w:val="en-US" w:eastAsia="zh-CN"/>
        </w:rPr>
        <w:t>2023年度萱洲镇人民政府整体</w:t>
      </w:r>
    </w:p>
    <w:p>
      <w:pPr>
        <w:jc w:val="center"/>
        <w:rPr>
          <w:rFonts w:hint="eastAsia" w:ascii="华文宋体" w:hAnsi="华文宋体" w:eastAsia="华文宋体" w:cs="华文宋体"/>
          <w:b/>
          <w:bCs/>
          <w:sz w:val="52"/>
          <w:szCs w:val="52"/>
          <w:lang w:val="en-US" w:eastAsia="zh-CN"/>
        </w:rPr>
      </w:pPr>
      <w:r>
        <w:rPr>
          <w:rFonts w:hint="eastAsia" w:ascii="华文宋体" w:hAnsi="华文宋体" w:eastAsia="华文宋体" w:cs="华文宋体"/>
          <w:b/>
          <w:bCs/>
          <w:sz w:val="52"/>
          <w:szCs w:val="52"/>
          <w:lang w:val="en-US" w:eastAsia="zh-CN"/>
        </w:rPr>
        <w:t>支出绩效自评报告</w:t>
      </w: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both"/>
        <w:rPr>
          <w:rFonts w:hint="eastAsia" w:ascii="华文宋体" w:hAnsi="华文宋体" w:eastAsia="华文宋体" w:cs="华文宋体"/>
          <w:b/>
          <w:bCs/>
          <w:sz w:val="52"/>
          <w:szCs w:val="52"/>
          <w:lang w:val="en-US" w:eastAsia="zh-CN"/>
        </w:rPr>
      </w:pPr>
    </w:p>
    <w:p>
      <w:pPr>
        <w:pStyle w:val="4"/>
        <w:tabs>
          <w:tab w:val="left" w:pos="5993"/>
        </w:tabs>
        <w:ind w:left="555"/>
        <w:jc w:val="center"/>
      </w:pPr>
      <w:r>
        <w:rPr>
          <w:spacing w:val="-4"/>
        </w:rPr>
        <w:t>部门（单位）名称：</w:t>
      </w:r>
      <w:r>
        <w:rPr>
          <w:spacing w:val="-4"/>
          <w:u w:val="single"/>
        </w:rPr>
        <w:t>（盖章</w:t>
      </w:r>
      <w:r>
        <w:rPr>
          <w:spacing w:val="-10"/>
          <w:u w:val="single"/>
        </w:rPr>
        <w:t>）</w:t>
      </w:r>
      <w:r>
        <w:rPr>
          <w:u w:val="single"/>
        </w:rPr>
        <w:tab/>
      </w:r>
    </w:p>
    <w:p>
      <w:pPr>
        <w:pStyle w:val="4"/>
        <w:spacing w:before="190"/>
        <w:ind w:left="3987"/>
      </w:pPr>
      <w:r>
        <w:rPr>
          <w:rFonts w:hint="eastAsia"/>
          <w:lang w:val="en-US" w:eastAsia="zh-CN"/>
        </w:rPr>
        <w:t>2024</w:t>
      </w:r>
      <w:r>
        <w:t>年</w:t>
      </w:r>
      <w:r>
        <w:rPr>
          <w:rFonts w:hint="eastAsia"/>
          <w:lang w:val="en-US" w:eastAsia="zh-CN"/>
        </w:rPr>
        <w:t>6</w:t>
      </w:r>
      <w:r>
        <w:t>月</w:t>
      </w:r>
      <w:r>
        <w:rPr>
          <w:rFonts w:hint="eastAsia"/>
          <w:lang w:val="en-US" w:eastAsia="zh-CN"/>
        </w:rPr>
        <w:t>17</w:t>
      </w:r>
      <w:r>
        <w:rPr>
          <w:spacing w:val="-10"/>
        </w:rPr>
        <w:t>日</w:t>
      </w:r>
    </w:p>
    <w:p>
      <w:pPr>
        <w:pStyle w:val="4"/>
        <w:spacing w:before="401"/>
        <w:ind w:left="4031"/>
        <w:rPr>
          <w:spacing w:val="-4"/>
        </w:rPr>
      </w:pPr>
    </w:p>
    <w:p>
      <w:pPr>
        <w:pStyle w:val="4"/>
        <w:spacing w:before="401"/>
        <w:ind w:left="4031"/>
      </w:pPr>
    </w:p>
    <w:p>
      <w:pPr>
        <w:pStyle w:val="3"/>
        <w:bidi w:val="0"/>
      </w:pPr>
      <w:r>
        <w:t>2023 年度</w:t>
      </w:r>
      <w:r>
        <w:rPr>
          <w:rFonts w:hint="eastAsia"/>
          <w:lang w:eastAsia="zh-CN"/>
        </w:rPr>
        <w:t>萱洲镇人民政府</w:t>
      </w:r>
      <w:r>
        <w:t>整体支出绩效自评报告</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429"/>
        <w:textAlignment w:val="auto"/>
        <w:rPr>
          <w:spacing w:val="-5"/>
          <w:sz w:val="32"/>
          <w:szCs w:val="32"/>
        </w:rPr>
      </w:pPr>
      <w:r>
        <w:rPr>
          <w:spacing w:val="-5"/>
          <w:sz w:val="32"/>
          <w:szCs w:val="32"/>
        </w:rPr>
        <w:t>部门基本情况</w:t>
      </w:r>
    </w:p>
    <w:p>
      <w:pPr>
        <w:numPr>
          <w:ilvl w:val="0"/>
          <w:numId w:val="0"/>
        </w:numPr>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（一）部门主要职责</w:t>
      </w:r>
    </w:p>
    <w:p>
      <w:pPr>
        <w:numPr>
          <w:ilvl w:val="0"/>
          <w:numId w:val="0"/>
        </w:num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政府内设“六办、三中心、一大队”。“六办”即党政综合办公室、经济发展办公室（农业农村和扶贫工作办公室）、社会事务办公室、自然资源和生态环境办公室（村镇建设管理办公室）、社会治理和应急管理办公室（信访室）、基层党建工作办公室。“三中心”即社会事业综合服务中心（文化综合服务站、退役军人服务站）、农业综合服务中心、政务服务中心。“一大队”即综合行政执法大队。</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财政所、派出所、司法所、市场监督管理所、中心学校、卫生院（医院）等为县直部门派驻镇机构。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衡山县萱洲镇人民政府属于独立运行的部门预算、核算、决算财政财务体系，全额拨款一级预算行政管理单位。</w:t>
      </w:r>
      <w:r>
        <w:rPr>
          <w:rFonts w:hint="eastAsia" w:ascii="宋体" w:hAnsi="宋体" w:eastAsia="宋体" w:cs="宋体"/>
          <w:color w:val="auto"/>
          <w:sz w:val="28"/>
          <w:szCs w:val="28"/>
        </w:rPr>
        <w:t>是落实国家政策，严格依法行政，大力促进社会事业发展，发展镇村经济、文化和社会事业，提供公共服务，维护社会稳定，发挥经济管理职能，加强政策引导，制定发展规划，服务市场主体和营造发展环境，搞好市场监管。其主要职责为：</w:t>
      </w:r>
    </w:p>
    <w:p>
      <w:pPr>
        <w:numPr>
          <w:ilvl w:val="0"/>
          <w:numId w:val="0"/>
        </w:numPr>
        <w:ind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执行本级人民代表大会的决议和上级国家机关的决定和命令，发布决定和命令；</w:t>
      </w:r>
    </w:p>
    <w:p>
      <w:pPr>
        <w:numPr>
          <w:ilvl w:val="0"/>
          <w:numId w:val="0"/>
        </w:numPr>
        <w:ind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保护社会主义的全民所有的财产和劳动群众集体所有的财产，保护公民私人所有的公共财产，维护社会秩序，保障公民的人身权利、民主权利和其他权利。</w:t>
      </w:r>
    </w:p>
    <w:p>
      <w:pPr>
        <w:numPr>
          <w:ilvl w:val="0"/>
          <w:numId w:val="0"/>
        </w:numPr>
        <w:ind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执行本行政区域内的经济和社会发展计划，预算管理本行政区域内的经济、教育、科学、文化、卫生、体育事业和财政、民政、司法、行政、劳动保障、计划生育、经管等行政工作。</w:t>
      </w:r>
    </w:p>
    <w:p>
      <w:pPr>
        <w:numPr>
          <w:ilvl w:val="0"/>
          <w:numId w:val="0"/>
        </w:numPr>
        <w:ind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办理上级党委政府交办的其他事项。</w:t>
      </w:r>
    </w:p>
    <w:p>
      <w:pPr>
        <w:numPr>
          <w:ilvl w:val="0"/>
          <w:numId w:val="0"/>
        </w:numPr>
        <w:ind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搞好政府各职能部门完成的工作任务监督，服务市场主体和营造发展环境，大力促进社会事业发展，发展乡村经济，文化和社会事业。</w:t>
      </w:r>
    </w:p>
    <w:p>
      <w:pPr>
        <w:numPr>
          <w:ilvl w:val="0"/>
          <w:numId w:val="0"/>
        </w:numPr>
        <w:ind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积极开展科技兴农，兴企活动，完成农业企业生产指标等任务，提供公共服务，维护社会稳定，构建美丽生态、和谐的社会。</w:t>
      </w:r>
    </w:p>
    <w:p>
      <w:pPr>
        <w:numPr>
          <w:ilvl w:val="0"/>
          <w:numId w:val="0"/>
        </w:numPr>
        <w:ind w:leftChars="0" w:firstLine="560" w:firstLineChars="200"/>
        <w:rPr>
          <w:rFonts w:hint="eastAsia"/>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承担国有资产、集体资产管理、监督。</w:t>
      </w:r>
    </w:p>
    <w:p>
      <w:pPr>
        <w:numPr>
          <w:ilvl w:val="0"/>
          <w:numId w:val="0"/>
        </w:numPr>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（二）人员编制情况</w:t>
      </w:r>
    </w:p>
    <w:p>
      <w:pPr>
        <w:numPr>
          <w:ilvl w:val="0"/>
          <w:numId w:val="0"/>
        </w:numPr>
        <w:ind w:firstLine="560" w:firstLineChars="200"/>
        <w:rPr>
          <w:spacing w:val="-5"/>
          <w:sz w:val="32"/>
          <w:szCs w:val="32"/>
        </w:rPr>
      </w:pPr>
      <w:r>
        <w:rPr>
          <w:rFonts w:hint="eastAsia" w:ascii="宋体" w:hAnsi="宋体" w:eastAsia="宋体" w:cs="宋体"/>
          <w:color w:val="auto"/>
          <w:sz w:val="28"/>
          <w:szCs w:val="28"/>
        </w:rPr>
        <w:t>萱洲镇政府是正科级全额拨款单位，有二级预算单位</w:t>
      </w:r>
      <w:r>
        <w:rPr>
          <w:rFonts w:hint="eastAsia" w:ascii="宋体" w:hAnsi="宋体" w:cs="宋体"/>
          <w:color w:val="auto"/>
          <w:sz w:val="28"/>
          <w:szCs w:val="28"/>
          <w:lang w:eastAsia="zh-CN"/>
        </w:rPr>
        <w:t>0</w:t>
      </w:r>
      <w:r>
        <w:rPr>
          <w:rFonts w:hint="eastAsia" w:ascii="宋体" w:hAnsi="宋体" w:eastAsia="宋体" w:cs="宋体"/>
          <w:color w:val="auto"/>
          <w:sz w:val="28"/>
          <w:szCs w:val="28"/>
        </w:rPr>
        <w:t>个，至20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年12月份，共有编制</w:t>
      </w:r>
      <w:r>
        <w:rPr>
          <w:rFonts w:hint="eastAsia" w:ascii="宋体" w:hAnsi="宋体" w:eastAsia="宋体" w:cs="宋体"/>
          <w:color w:val="auto"/>
          <w:sz w:val="28"/>
          <w:szCs w:val="28"/>
          <w:lang w:val="en-US" w:eastAsia="zh-CN"/>
        </w:rPr>
        <w:t>7</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名，实有人数</w:t>
      </w:r>
      <w:r>
        <w:rPr>
          <w:rFonts w:hint="eastAsia" w:ascii="宋体" w:hAnsi="宋体" w:eastAsia="宋体" w:cs="宋体"/>
          <w:color w:val="auto"/>
          <w:sz w:val="28"/>
          <w:szCs w:val="28"/>
          <w:lang w:val="en-US" w:eastAsia="zh-CN"/>
        </w:rPr>
        <w:t>82</w:t>
      </w:r>
      <w:r>
        <w:rPr>
          <w:rFonts w:hint="eastAsia" w:ascii="宋体" w:hAnsi="宋体" w:eastAsia="宋体" w:cs="宋体"/>
          <w:color w:val="auto"/>
          <w:sz w:val="28"/>
          <w:szCs w:val="28"/>
        </w:rPr>
        <w:t>人，其中在职</w:t>
      </w:r>
      <w:r>
        <w:rPr>
          <w:rFonts w:hint="eastAsia" w:ascii="宋体" w:hAnsi="宋体" w:eastAsia="宋体" w:cs="宋体"/>
          <w:color w:val="auto"/>
          <w:sz w:val="28"/>
          <w:szCs w:val="28"/>
          <w:lang w:val="en-US" w:eastAsia="zh-CN"/>
        </w:rPr>
        <w:t>61</w:t>
      </w:r>
      <w:r>
        <w:rPr>
          <w:rFonts w:hint="eastAsia" w:ascii="宋体" w:hAnsi="宋体" w:eastAsia="宋体" w:cs="宋体"/>
          <w:color w:val="auto"/>
          <w:sz w:val="28"/>
          <w:szCs w:val="28"/>
        </w:rPr>
        <w:t>人，离退休</w:t>
      </w: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人，公务用车定编</w:t>
      </w:r>
      <w:r>
        <w:rPr>
          <w:rFonts w:hint="eastAsia" w:ascii="宋体" w:hAnsi="宋体" w:cs="宋体"/>
          <w:color w:val="auto"/>
          <w:sz w:val="28"/>
          <w:szCs w:val="28"/>
          <w:lang w:val="en-US" w:eastAsia="zh-CN"/>
        </w:rPr>
        <w:t>0</w:t>
      </w:r>
      <w:r>
        <w:rPr>
          <w:rFonts w:hint="eastAsia" w:ascii="宋体" w:hAnsi="宋体" w:eastAsia="宋体" w:cs="宋体"/>
          <w:color w:val="auto"/>
          <w:sz w:val="28"/>
          <w:szCs w:val="28"/>
        </w:rPr>
        <w:t>台，现有车辆</w:t>
      </w:r>
      <w:r>
        <w:rPr>
          <w:rFonts w:hint="eastAsia" w:ascii="宋体" w:hAnsi="宋体" w:cs="宋体"/>
          <w:color w:val="auto"/>
          <w:sz w:val="28"/>
          <w:szCs w:val="28"/>
          <w:lang w:val="en-US" w:eastAsia="zh-CN"/>
        </w:rPr>
        <w:t>0</w:t>
      </w:r>
      <w:r>
        <w:rPr>
          <w:rFonts w:hint="eastAsia" w:ascii="宋体" w:hAnsi="宋体" w:eastAsia="宋体" w:cs="宋体"/>
          <w:color w:val="auto"/>
          <w:sz w:val="28"/>
          <w:szCs w:val="28"/>
        </w:rPr>
        <w:t>台。</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190" w:line="600" w:lineRule="exact"/>
        <w:ind w:left="1429" w:leftChars="0" w:firstLine="0" w:firstLineChars="0"/>
        <w:textAlignment w:val="auto"/>
        <w:rPr>
          <w:spacing w:val="-5"/>
          <w:sz w:val="32"/>
          <w:szCs w:val="32"/>
        </w:rPr>
      </w:pPr>
      <w:r>
        <w:rPr>
          <w:spacing w:val="-5"/>
          <w:sz w:val="32"/>
          <w:szCs w:val="32"/>
        </w:rPr>
        <w:t>一般公共预算支出情况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90" w:line="600" w:lineRule="exact"/>
        <w:ind w:firstLine="560" w:firstLineChars="200"/>
        <w:textAlignment w:val="auto"/>
        <w:rPr>
          <w:spacing w:val="-5"/>
          <w:sz w:val="32"/>
          <w:szCs w:val="32"/>
        </w:rPr>
      </w:pPr>
      <w:r>
        <w:rPr>
          <w:rFonts w:hint="eastAsia" w:ascii="宋体" w:hAnsi="宋体" w:eastAsia="宋体" w:cs="宋体"/>
          <w:b w:val="0"/>
          <w:bCs w:val="0"/>
          <w:sz w:val="28"/>
          <w:szCs w:val="28"/>
          <w:lang w:eastAsia="zh-CN"/>
        </w:rPr>
        <w:t>20</w:t>
      </w:r>
      <w:r>
        <w:rPr>
          <w:rFonts w:hint="eastAsia" w:ascii="宋体" w:hAnsi="宋体" w:eastAsia="宋体" w:cs="宋体"/>
          <w:b w:val="0"/>
          <w:bCs w:val="0"/>
          <w:sz w:val="28"/>
          <w:szCs w:val="28"/>
          <w:lang w:val="en-US" w:eastAsia="zh-CN"/>
        </w:rPr>
        <w:t>2</w:t>
      </w:r>
      <w:r>
        <w:rPr>
          <w:rFonts w:hint="eastAsia" w:ascii="宋体" w:hAnsi="宋体" w:cs="宋体"/>
          <w:b w:val="0"/>
          <w:bCs w:val="0"/>
          <w:sz w:val="28"/>
          <w:szCs w:val="28"/>
          <w:lang w:val="en-US" w:eastAsia="zh-CN"/>
        </w:rPr>
        <w:t>3</w:t>
      </w:r>
      <w:r>
        <w:rPr>
          <w:rFonts w:hint="eastAsia" w:ascii="宋体" w:hAnsi="宋体" w:eastAsia="宋体" w:cs="宋体"/>
          <w:b w:val="0"/>
          <w:bCs w:val="0"/>
          <w:sz w:val="28"/>
          <w:szCs w:val="28"/>
        </w:rPr>
        <w:t>年度一般公共预算财政拨款支出决算为</w:t>
      </w:r>
      <w:r>
        <w:rPr>
          <w:rFonts w:hint="eastAsia" w:ascii="宋体" w:hAnsi="宋体" w:cs="宋体"/>
          <w:sz w:val="28"/>
          <w:szCs w:val="28"/>
          <w:lang w:val="en-US" w:eastAsia="zh-CN"/>
        </w:rPr>
        <w:t>2272.45</w:t>
      </w:r>
      <w:r>
        <w:rPr>
          <w:rFonts w:hint="eastAsia" w:ascii="宋体" w:hAnsi="宋体" w:eastAsia="宋体" w:cs="宋体"/>
          <w:b w:val="0"/>
          <w:bCs w:val="0"/>
          <w:sz w:val="28"/>
          <w:szCs w:val="28"/>
        </w:rPr>
        <w:t>万元</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90" w:line="600" w:lineRule="exact"/>
        <w:ind w:firstLine="560" w:firstLineChars="200"/>
        <w:textAlignment w:val="auto"/>
        <w:rPr>
          <w:spacing w:val="-4"/>
          <w:sz w:val="32"/>
          <w:szCs w:val="32"/>
        </w:rPr>
      </w:pPr>
      <w:r>
        <w:rPr>
          <w:rFonts w:hint="eastAsia" w:ascii="宋体" w:hAnsi="宋体" w:eastAsia="宋体" w:cs="宋体"/>
          <w:color w:val="auto"/>
          <w:sz w:val="28"/>
          <w:szCs w:val="28"/>
          <w:lang w:eastAsia="zh-CN"/>
        </w:rPr>
        <w:t>（一）</w:t>
      </w:r>
      <w:r>
        <w:rPr>
          <w:spacing w:val="-4"/>
          <w:sz w:val="32"/>
          <w:szCs w:val="32"/>
        </w:rPr>
        <w:t>基本支出情况</w:t>
      </w:r>
    </w:p>
    <w:p>
      <w:pPr>
        <w:keepNext w:val="0"/>
        <w:keepLines w:val="0"/>
        <w:pageBreakBefore w:val="0"/>
        <w:numPr>
          <w:ilvl w:val="0"/>
          <w:numId w:val="0"/>
        </w:numPr>
        <w:kinsoku/>
        <w:overflowPunct/>
        <w:autoSpaceDE/>
        <w:autoSpaceDN/>
        <w:bidi w:val="0"/>
        <w:adjustRightInd/>
        <w:snapToGrid/>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20</w:t>
      </w:r>
      <w:r>
        <w:rPr>
          <w:rFonts w:hint="eastAsia" w:ascii="宋体" w:hAnsi="宋体" w:eastAsia="宋体" w:cs="宋体"/>
          <w:b w:val="0"/>
          <w:bCs w:val="0"/>
          <w:sz w:val="28"/>
          <w:szCs w:val="28"/>
          <w:lang w:val="en-US" w:eastAsia="zh-CN"/>
        </w:rPr>
        <w:t>2</w:t>
      </w:r>
      <w:r>
        <w:rPr>
          <w:rFonts w:hint="eastAsia" w:ascii="宋体" w:hAnsi="宋体" w:cs="宋体"/>
          <w:b w:val="0"/>
          <w:bCs w:val="0"/>
          <w:sz w:val="28"/>
          <w:szCs w:val="28"/>
          <w:lang w:val="en-US" w:eastAsia="zh-CN"/>
        </w:rPr>
        <w:t>3</w:t>
      </w:r>
      <w:r>
        <w:rPr>
          <w:rFonts w:hint="eastAsia" w:ascii="宋体" w:hAnsi="宋体" w:eastAsia="宋体" w:cs="宋体"/>
          <w:b w:val="0"/>
          <w:bCs w:val="0"/>
          <w:sz w:val="28"/>
          <w:szCs w:val="28"/>
        </w:rPr>
        <w:t>年度一般公共预算财政拨款</w:t>
      </w:r>
      <w:r>
        <w:rPr>
          <w:rFonts w:hint="eastAsia" w:ascii="宋体" w:hAnsi="宋体" w:cs="宋体"/>
          <w:b w:val="0"/>
          <w:bCs w:val="0"/>
          <w:sz w:val="28"/>
          <w:szCs w:val="28"/>
          <w:lang w:eastAsia="zh-CN"/>
        </w:rPr>
        <w:t>基本</w:t>
      </w:r>
      <w:r>
        <w:rPr>
          <w:rFonts w:hint="eastAsia" w:ascii="宋体" w:hAnsi="宋体" w:eastAsia="宋体" w:cs="宋体"/>
          <w:b w:val="0"/>
          <w:bCs w:val="0"/>
          <w:sz w:val="28"/>
          <w:szCs w:val="28"/>
        </w:rPr>
        <w:t>支出决算为</w:t>
      </w:r>
      <w:r>
        <w:rPr>
          <w:rFonts w:hint="eastAsia" w:ascii="宋体" w:hAnsi="宋体" w:cs="宋体"/>
          <w:sz w:val="28"/>
          <w:szCs w:val="28"/>
          <w:lang w:val="en-US" w:eastAsia="zh-CN"/>
        </w:rPr>
        <w:t>759.24</w:t>
      </w:r>
      <w:r>
        <w:rPr>
          <w:rFonts w:hint="eastAsia" w:ascii="宋体" w:hAnsi="宋体" w:eastAsia="宋体" w:cs="宋体"/>
          <w:b w:val="0"/>
          <w:bCs w:val="0"/>
          <w:sz w:val="28"/>
          <w:szCs w:val="28"/>
        </w:rPr>
        <w:t>万元，具体情况如下：</w:t>
      </w:r>
    </w:p>
    <w:p>
      <w:pPr>
        <w:keepNext w:val="0"/>
        <w:keepLines w:val="0"/>
        <w:pageBreakBefore w:val="0"/>
        <w:numPr>
          <w:ilvl w:val="0"/>
          <w:numId w:val="0"/>
        </w:numPr>
        <w:kinsoku/>
        <w:overflowPunct/>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b w:val="0"/>
          <w:bCs w:val="0"/>
          <w:sz w:val="28"/>
          <w:szCs w:val="28"/>
        </w:rPr>
        <w:t>1.人员经费支出</w:t>
      </w:r>
      <w:r>
        <w:rPr>
          <w:rFonts w:hint="eastAsia" w:ascii="宋体" w:hAnsi="宋体" w:cs="宋体"/>
          <w:b w:val="0"/>
          <w:bCs w:val="0"/>
          <w:sz w:val="28"/>
          <w:szCs w:val="28"/>
          <w:lang w:val="en-US" w:eastAsia="zh-CN"/>
        </w:rPr>
        <w:t>675.01</w:t>
      </w:r>
      <w:r>
        <w:rPr>
          <w:rFonts w:hint="eastAsia" w:ascii="宋体" w:hAnsi="宋体" w:eastAsia="宋体" w:cs="宋体"/>
          <w:b w:val="0"/>
          <w:bCs w:val="0"/>
          <w:sz w:val="28"/>
          <w:szCs w:val="28"/>
        </w:rPr>
        <w:t>万元，</w:t>
      </w:r>
      <w:r>
        <w:rPr>
          <w:rFonts w:hint="eastAsia" w:ascii="宋体" w:hAnsi="宋体" w:cs="宋体"/>
          <w:b w:val="0"/>
          <w:bCs w:val="0"/>
          <w:sz w:val="28"/>
          <w:szCs w:val="28"/>
          <w:lang w:eastAsia="zh-CN"/>
        </w:rPr>
        <w:t>占比</w:t>
      </w:r>
      <w:r>
        <w:rPr>
          <w:rFonts w:hint="eastAsia" w:ascii="宋体" w:hAnsi="宋体" w:cs="宋体"/>
          <w:b w:val="0"/>
          <w:bCs w:val="0"/>
          <w:sz w:val="28"/>
          <w:szCs w:val="28"/>
          <w:lang w:val="en-US" w:eastAsia="zh-CN"/>
        </w:rPr>
        <w:t>88.91%，</w:t>
      </w:r>
    </w:p>
    <w:p>
      <w:pPr>
        <w:keepNext w:val="0"/>
        <w:keepLines w:val="0"/>
        <w:pageBreakBefore w:val="0"/>
        <w:numPr>
          <w:ilvl w:val="0"/>
          <w:numId w:val="0"/>
        </w:numPr>
        <w:kinsoku/>
        <w:overflowPunct/>
        <w:autoSpaceDE/>
        <w:autoSpaceDN/>
        <w:bidi w:val="0"/>
        <w:adjustRightInd/>
        <w:snapToGrid/>
        <w:ind w:firstLine="560" w:firstLineChars="200"/>
        <w:textAlignment w:val="auto"/>
        <w:rPr>
          <w:spacing w:val="-4"/>
          <w:sz w:val="32"/>
          <w:szCs w:val="32"/>
        </w:rPr>
      </w:pPr>
      <w:r>
        <w:rPr>
          <w:rFonts w:hint="eastAsia" w:ascii="宋体" w:hAnsi="宋体" w:eastAsia="宋体" w:cs="宋体"/>
          <w:sz w:val="28"/>
          <w:szCs w:val="28"/>
        </w:rPr>
        <w:t>2.日常公用经费支出</w:t>
      </w:r>
      <w:r>
        <w:rPr>
          <w:rFonts w:hint="eastAsia" w:ascii="宋体" w:hAnsi="宋体" w:cs="宋体"/>
          <w:sz w:val="28"/>
          <w:szCs w:val="28"/>
          <w:lang w:val="en-US" w:eastAsia="zh-CN"/>
        </w:rPr>
        <w:t>84.23</w:t>
      </w:r>
      <w:r>
        <w:rPr>
          <w:rFonts w:hint="eastAsia" w:ascii="宋体" w:hAnsi="宋体" w:eastAsia="宋体" w:cs="宋体"/>
          <w:sz w:val="28"/>
          <w:szCs w:val="28"/>
        </w:rPr>
        <w:t>万元，</w:t>
      </w:r>
      <w:r>
        <w:rPr>
          <w:rFonts w:hint="eastAsia" w:ascii="宋体" w:hAnsi="宋体" w:cs="宋体"/>
          <w:sz w:val="28"/>
          <w:szCs w:val="28"/>
          <w:lang w:eastAsia="zh-CN"/>
        </w:rPr>
        <w:t>占比</w:t>
      </w:r>
      <w:r>
        <w:rPr>
          <w:rFonts w:hint="eastAsia" w:ascii="宋体" w:hAnsi="宋体" w:cs="宋体"/>
          <w:sz w:val="28"/>
          <w:szCs w:val="28"/>
          <w:lang w:val="en-US" w:eastAsia="zh-CN"/>
        </w:rPr>
        <w:t>11.09</w:t>
      </w:r>
      <w:r>
        <w:rPr>
          <w:rFonts w:hint="eastAsia" w:ascii="宋体" w:hAnsi="宋体" w:eastAsia="宋体" w:cs="宋体"/>
          <w:sz w:val="28"/>
          <w:szCs w:val="28"/>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190" w:line="600" w:lineRule="exact"/>
        <w:ind w:firstLine="560" w:firstLineChars="200"/>
        <w:textAlignment w:val="auto"/>
        <w:rPr>
          <w:spacing w:val="-4"/>
          <w:sz w:val="32"/>
          <w:szCs w:val="32"/>
        </w:rPr>
      </w:pPr>
      <w:r>
        <w:rPr>
          <w:rFonts w:hint="eastAsia" w:ascii="宋体" w:hAnsi="宋体" w:eastAsia="宋体" w:cs="宋体"/>
          <w:color w:val="auto"/>
          <w:sz w:val="28"/>
          <w:szCs w:val="28"/>
          <w:lang w:eastAsia="zh-CN"/>
        </w:rPr>
        <w:t>（二）</w:t>
      </w:r>
      <w:r>
        <w:rPr>
          <w:spacing w:val="-4"/>
          <w:sz w:val="32"/>
          <w:szCs w:val="32"/>
        </w:rPr>
        <w:t>项目支出情况</w:t>
      </w:r>
    </w:p>
    <w:p>
      <w:pPr>
        <w:pStyle w:val="4"/>
        <w:keepNext w:val="0"/>
        <w:keepLines w:val="0"/>
        <w:pageBreakBefore w:val="0"/>
        <w:widowControl w:val="0"/>
        <w:kinsoku/>
        <w:wordWrap/>
        <w:overflowPunct/>
        <w:topLinePunct w:val="0"/>
        <w:autoSpaceDE/>
        <w:autoSpaceDN/>
        <w:bidi w:val="0"/>
        <w:adjustRightInd/>
        <w:snapToGrid/>
        <w:spacing w:before="190" w:line="600" w:lineRule="exact"/>
        <w:ind w:firstLine="560" w:firstLineChars="200"/>
        <w:textAlignment w:val="auto"/>
        <w:rPr>
          <w:rFonts w:hint="default" w:eastAsia="宋体"/>
          <w:spacing w:val="-4"/>
          <w:sz w:val="32"/>
          <w:szCs w:val="32"/>
          <w:lang w:val="en-US" w:eastAsia="zh-CN"/>
        </w:rPr>
      </w:pPr>
      <w:r>
        <w:rPr>
          <w:rFonts w:hint="eastAsia" w:ascii="宋体" w:hAnsi="宋体" w:eastAsia="宋体" w:cs="宋体"/>
          <w:sz w:val="28"/>
          <w:szCs w:val="28"/>
        </w:rPr>
        <w:t>项目支出</w:t>
      </w:r>
      <w:r>
        <w:rPr>
          <w:rFonts w:hint="eastAsia" w:cs="宋体"/>
          <w:sz w:val="28"/>
          <w:szCs w:val="28"/>
          <w:lang w:val="en-US" w:eastAsia="zh-CN"/>
        </w:rPr>
        <w:t>1513.21</w:t>
      </w:r>
      <w:r>
        <w:rPr>
          <w:rFonts w:hint="eastAsia" w:ascii="宋体" w:hAnsi="宋体" w:eastAsia="宋体" w:cs="宋体"/>
          <w:sz w:val="28"/>
          <w:szCs w:val="28"/>
        </w:rPr>
        <w:t>万元，</w:t>
      </w:r>
      <w:r>
        <w:rPr>
          <w:rFonts w:hint="eastAsia" w:cs="宋体"/>
          <w:sz w:val="28"/>
          <w:szCs w:val="28"/>
          <w:lang w:eastAsia="zh-CN"/>
        </w:rPr>
        <w:t>其中主要组成部分为对村民委员会和村党支部的补助</w:t>
      </w:r>
      <w:r>
        <w:rPr>
          <w:rFonts w:hint="eastAsia" w:cs="宋体"/>
          <w:sz w:val="28"/>
          <w:szCs w:val="28"/>
          <w:lang w:val="en-US" w:eastAsia="zh-CN"/>
        </w:rPr>
        <w:t>407.14万元，占比26.91%；其他</w:t>
      </w:r>
      <w:bookmarkStart w:id="0" w:name="_GoBack"/>
      <w:bookmarkEnd w:id="0"/>
      <w:r>
        <w:rPr>
          <w:rFonts w:hint="eastAsia" w:cs="宋体"/>
          <w:sz w:val="28"/>
          <w:szCs w:val="28"/>
          <w:lang w:val="en-US" w:eastAsia="zh-CN"/>
        </w:rPr>
        <w:t>巩固拓展脱贫攻坚成果衔接乡村振兴支出194万元，占比12.82%；农村综合改革示范试点补助150万元，占比9.91%等。</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190" w:line="600" w:lineRule="exact"/>
        <w:ind w:left="1429" w:leftChars="0" w:right="4393" w:firstLine="0" w:firstLineChars="0"/>
        <w:textAlignment w:val="auto"/>
        <w:rPr>
          <w:spacing w:val="-2"/>
          <w:sz w:val="32"/>
          <w:szCs w:val="32"/>
        </w:rPr>
      </w:pPr>
      <w:r>
        <w:rPr>
          <w:spacing w:val="-2"/>
          <w:sz w:val="32"/>
          <w:szCs w:val="32"/>
        </w:rPr>
        <w:t xml:space="preserve">政府性基金预算支出情况 </w:t>
      </w:r>
    </w:p>
    <w:p>
      <w:pPr>
        <w:keepNext w:val="0"/>
        <w:keepLines w:val="0"/>
        <w:pageBreakBefore w:val="0"/>
        <w:numPr>
          <w:ilvl w:val="0"/>
          <w:numId w:val="0"/>
        </w:numPr>
        <w:kinsoku/>
        <w:overflowPunct/>
        <w:autoSpaceDE/>
        <w:autoSpaceDN/>
        <w:bidi w:val="0"/>
        <w:adjustRightInd/>
        <w:snapToGrid/>
        <w:ind w:firstLine="560" w:firstLineChars="200"/>
        <w:textAlignment w:val="auto"/>
        <w:rPr>
          <w:spacing w:val="-2"/>
          <w:sz w:val="32"/>
          <w:szCs w:val="32"/>
        </w:rPr>
      </w:pPr>
      <w:r>
        <w:rPr>
          <w:rFonts w:hint="eastAsia" w:ascii="宋体" w:hAnsi="宋体" w:eastAsia="宋体" w:cs="宋体"/>
          <w:sz w:val="28"/>
          <w:szCs w:val="28"/>
          <w:lang w:eastAsia="zh-CN"/>
        </w:rPr>
        <w:t>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年政府性基金预算财政拨款年初结转和结余</w:t>
      </w:r>
      <w:r>
        <w:rPr>
          <w:rFonts w:hint="eastAsia" w:ascii="宋体" w:hAnsi="宋体" w:eastAsia="宋体" w:cs="宋体"/>
          <w:sz w:val="28"/>
          <w:szCs w:val="28"/>
          <w:lang w:val="en-US" w:eastAsia="zh-CN"/>
        </w:rPr>
        <w:t>0</w:t>
      </w:r>
      <w:r>
        <w:rPr>
          <w:rFonts w:hint="eastAsia" w:ascii="宋体" w:hAnsi="宋体" w:eastAsia="宋体" w:cs="宋体"/>
          <w:sz w:val="28"/>
          <w:szCs w:val="28"/>
        </w:rPr>
        <w:t>万元，本年收入</w:t>
      </w:r>
      <w:r>
        <w:rPr>
          <w:rFonts w:hint="eastAsia" w:ascii="宋体" w:hAnsi="宋体" w:cs="宋体"/>
          <w:sz w:val="28"/>
          <w:szCs w:val="28"/>
          <w:lang w:val="en-US" w:eastAsia="zh-CN"/>
        </w:rPr>
        <w:t>176.48</w:t>
      </w:r>
      <w:r>
        <w:rPr>
          <w:rFonts w:hint="eastAsia" w:ascii="宋体" w:hAnsi="宋体" w:eastAsia="宋体" w:cs="宋体"/>
          <w:sz w:val="28"/>
          <w:szCs w:val="28"/>
        </w:rPr>
        <w:t>万元，本年支</w:t>
      </w:r>
      <w:r>
        <w:rPr>
          <w:rFonts w:hint="eastAsia" w:ascii="宋体" w:hAnsi="宋体" w:eastAsia="宋体" w:cs="宋体"/>
          <w:sz w:val="28"/>
          <w:szCs w:val="28"/>
          <w:lang w:eastAsia="zh-CN"/>
        </w:rPr>
        <w:t>出</w:t>
      </w:r>
      <w:r>
        <w:rPr>
          <w:rFonts w:hint="eastAsia" w:ascii="宋体" w:hAnsi="宋体" w:cs="宋体"/>
          <w:sz w:val="28"/>
          <w:szCs w:val="28"/>
          <w:lang w:val="en-US" w:eastAsia="zh-CN"/>
        </w:rPr>
        <w:t>176.48</w:t>
      </w:r>
      <w:r>
        <w:rPr>
          <w:rFonts w:hint="eastAsia" w:ascii="宋体" w:hAnsi="宋体" w:eastAsia="宋体" w:cs="宋体"/>
          <w:sz w:val="28"/>
          <w:szCs w:val="28"/>
        </w:rPr>
        <w:t>万元，年末结转和结余</w:t>
      </w:r>
      <w:r>
        <w:rPr>
          <w:rFonts w:hint="eastAsia" w:ascii="宋体" w:hAnsi="宋体" w:eastAsia="宋体" w:cs="宋体"/>
          <w:sz w:val="28"/>
          <w:szCs w:val="28"/>
          <w:lang w:val="en-US" w:eastAsia="zh-CN"/>
        </w:rPr>
        <w:t>0</w:t>
      </w:r>
      <w:r>
        <w:rPr>
          <w:rFonts w:hint="eastAsia" w:ascii="宋体" w:hAnsi="宋体" w:eastAsia="宋体" w:cs="宋体"/>
          <w:sz w:val="28"/>
          <w:szCs w:val="28"/>
        </w:rPr>
        <w:t>万元。</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190" w:line="600" w:lineRule="exact"/>
        <w:ind w:left="1429" w:leftChars="0" w:right="4393" w:firstLine="0" w:firstLineChars="0"/>
        <w:textAlignment w:val="auto"/>
        <w:rPr>
          <w:spacing w:val="-2"/>
          <w:sz w:val="32"/>
          <w:szCs w:val="32"/>
        </w:rPr>
      </w:pPr>
      <w:r>
        <w:rPr>
          <w:spacing w:val="-2"/>
          <w:sz w:val="32"/>
          <w:szCs w:val="32"/>
        </w:rPr>
        <w:t>部门整体支出绩效情况</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重点项目扎实推进</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力推进南岳高速萱洲互通及连接线项目。该项目涉及堰江村拆迁户19户，均为村民居住房屋，征拆难度较大，目前拆迁房屋根据工程计划分步进行推进，整个征拆工作过程中未发生任何矛盾纠纷事件。统筹推进萱洲河社区“和琪·无忧农场”项目，目前已投资约200万元完成绿化种植、土方清表、裸石地面铺设、田园休闲区及部分娱乐活动区的建设。积极推动虎山福地项目百虎峡基地启动建设；稳妥推进和琪园复垦整改销号；妥善处理污水处理厂排污口遗留问题，确保具有投入运营条件；持续推进萱洲古镇文化保护项目，稳步推进前期工作，争取早日开工建设；实施镇区S214提质改造工程，道路拓宽油化，美化镇域环境；加快流转光伏发电项目1010亩土地落地，推动萱洲片区示范创建。</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特色产业稳步发展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我镇立足本地特色优势，擦亮特色产业品牌，以花为媒，以桃造势，今年三月和六月我镇分别举办了首届赏桃花和第二届红脆桃采摘季活动，进一步擦亮了衡山红脆桃这块国家地理标志农产品金字招牌，将美丽乡村转换为“美丽经济”。宣传赋能融文旅，在里石村安装了直播镜头，运用“新华社现场云”“直播中国”“衡山融媒城市慢直播”等上级媒体平台同步直播桃花、李花、油菜花三花争艳，在线观看人数达50万人次，收获无数网友点赞。</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加快构建产业发展“新体系”</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进一步明晰产业定位，助推农业一、二、三产业融合，推进农文旅协同发展。今年将举办首届“大地艺术节”，在萱洲的乡村环境中利用自然条件创作艺术作品，重新唤起人们对乡土的感知。积极与市场主体对接，进一步整合村内闲置农宅、土地、水面等资源，打造民宿产业集群。提升红脆桃、西香瓜、油茶、油菜花种植品质，乡村振兴再发力，打造白沙村、天水村、堰江村蔬菜种植基地等一批特色鲜明、带动能力强的“一村一品”产业，助力村集体经济发展。鼓励引导农产品加工下沉到生产地，以农产品精深加工助推特色农产品品牌打造，增加产品附加值。让“看得见、品的着、带得走”的特色农产品成为宣传推介萱洲古镇文化和乡村旅游的载体，让家乡人不仅望得见山，看得见水，还记得住乡愁，也让更多人品味萱洲美食，体味萱洲美景。</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560" w:firstLineChars="200"/>
        <w:textAlignment w:val="auto"/>
        <w:rPr>
          <w:rFonts w:hint="eastAsia" w:ascii="宋体" w:hAnsi="宋体" w:eastAsia="宋体" w:cs="宋体"/>
          <w:kern w:val="2"/>
          <w:sz w:val="28"/>
          <w:szCs w:val="28"/>
          <w:lang w:val="en-US" w:eastAsia="zh-CN" w:bidi="ar-SA"/>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before="6" w:line="600" w:lineRule="exact"/>
        <w:ind w:left="1429" w:leftChars="0" w:right="5031" w:firstLine="0" w:firstLineChars="0"/>
        <w:textAlignment w:val="auto"/>
        <w:rPr>
          <w:spacing w:val="-2"/>
          <w:sz w:val="32"/>
          <w:szCs w:val="32"/>
        </w:rPr>
      </w:pPr>
      <w:r>
        <w:rPr>
          <w:spacing w:val="-2"/>
          <w:sz w:val="32"/>
          <w:szCs w:val="32"/>
        </w:rPr>
        <w:t>存在的问题及改进措施</w:t>
      </w:r>
    </w:p>
    <w:p>
      <w:pPr>
        <w:pStyle w:val="4"/>
        <w:bidi w:val="0"/>
        <w:ind w:firstLine="840" w:firstLineChars="3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（一）、细化预算编制工作，认真做好预算的编制。进一步加强单位内部机构各股室的预算管理意识，严格按照预算编制的相关制度和要求进行预算编制。</w:t>
      </w:r>
    </w:p>
    <w:p>
      <w:pPr>
        <w:pStyle w:val="4"/>
        <w:bidi w:val="0"/>
        <w:ind w:firstLine="840" w:firstLineChars="3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4"/>
        <w:bidi w:val="0"/>
        <w:ind w:firstLine="840" w:firstLineChars="3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4"/>
        <w:bidi w:val="0"/>
        <w:ind w:firstLine="840" w:firstLineChars="3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（四）、对相关人员加强培训，特别是针对《预算法》、《行政事业单位会计制度》等学习培训，规范部门预算收支核算，切实提高部门预算收支管理水平。</w:t>
      </w:r>
    </w:p>
    <w:p>
      <w:pPr>
        <w:pStyle w:val="4"/>
        <w:keepNext w:val="0"/>
        <w:keepLines w:val="0"/>
        <w:pageBreakBefore w:val="0"/>
        <w:widowControl w:val="0"/>
        <w:kinsoku/>
        <w:wordWrap/>
        <w:overflowPunct/>
        <w:topLinePunct w:val="0"/>
        <w:autoSpaceDE/>
        <w:autoSpaceDN/>
        <w:bidi w:val="0"/>
        <w:adjustRightInd/>
        <w:snapToGrid/>
        <w:spacing w:before="2" w:line="600" w:lineRule="exact"/>
        <w:ind w:left="1429" w:right="1832"/>
        <w:textAlignment w:val="auto"/>
        <w:rPr>
          <w:spacing w:val="-2"/>
          <w:sz w:val="32"/>
          <w:szCs w:val="32"/>
        </w:rPr>
      </w:pPr>
      <w:r>
        <w:rPr>
          <w:rFonts w:hint="eastAsia"/>
          <w:spacing w:val="-2"/>
          <w:sz w:val="32"/>
          <w:szCs w:val="32"/>
          <w:lang w:eastAsia="zh-CN"/>
        </w:rPr>
        <w:t>六</w:t>
      </w:r>
      <w:r>
        <w:rPr>
          <w:spacing w:val="-2"/>
          <w:sz w:val="32"/>
          <w:szCs w:val="32"/>
        </w:rPr>
        <w:t>、部门整体支出绩效自评结果拟应用和公开情况</w:t>
      </w:r>
    </w:p>
    <w:p>
      <w:pPr>
        <w:widowControl/>
        <w:spacing w:line="600" w:lineRule="exact"/>
        <w:ind w:firstLine="554"/>
        <w:jc w:val="left"/>
        <w:rPr>
          <w:rFonts w:ascii="仿宋" w:hAnsi="仿宋" w:cs="仿宋"/>
          <w:sz w:val="30"/>
          <w:szCs w:val="30"/>
        </w:rPr>
      </w:pPr>
      <w:r>
        <w:rPr>
          <w:rFonts w:hint="eastAsia" w:ascii="仿宋" w:hAnsi="仿宋" w:cs="仿宋"/>
          <w:sz w:val="30"/>
          <w:szCs w:val="30"/>
        </w:rPr>
        <w:t>绩效自评结果得分</w:t>
      </w:r>
      <w:r>
        <w:rPr>
          <w:rFonts w:hint="eastAsia" w:ascii="仿宋" w:hAnsi="仿宋" w:cs="仿宋"/>
          <w:sz w:val="30"/>
          <w:szCs w:val="30"/>
          <w:lang w:val="en-US" w:eastAsia="zh-CN"/>
        </w:rPr>
        <w:t>95.43</w:t>
      </w:r>
      <w:r>
        <w:rPr>
          <w:rFonts w:hint="eastAsia" w:ascii="仿宋" w:hAnsi="仿宋" w:cs="仿宋"/>
          <w:sz w:val="30"/>
          <w:szCs w:val="30"/>
        </w:rPr>
        <w:t>分，详细情况在衡山县</w:t>
      </w:r>
      <w:r>
        <w:rPr>
          <w:rFonts w:hint="eastAsia" w:ascii="仿宋" w:hAnsi="仿宋" w:cs="仿宋"/>
          <w:sz w:val="30"/>
          <w:szCs w:val="30"/>
          <w:lang w:eastAsia="zh-CN"/>
        </w:rPr>
        <w:t>党政</w:t>
      </w:r>
      <w:r>
        <w:rPr>
          <w:rFonts w:hint="eastAsia" w:ascii="仿宋" w:hAnsi="仿宋" w:cs="仿宋"/>
          <w:sz w:val="30"/>
          <w:szCs w:val="30"/>
        </w:rPr>
        <w:t>门户网站公示。</w:t>
      </w:r>
    </w:p>
    <w:p>
      <w:pPr>
        <w:pStyle w:val="4"/>
        <w:keepNext w:val="0"/>
        <w:keepLines w:val="0"/>
        <w:pageBreakBefore w:val="0"/>
        <w:widowControl w:val="0"/>
        <w:kinsoku/>
        <w:wordWrap/>
        <w:overflowPunct/>
        <w:topLinePunct w:val="0"/>
        <w:autoSpaceDE/>
        <w:autoSpaceDN/>
        <w:bidi w:val="0"/>
        <w:adjustRightInd/>
        <w:snapToGrid/>
        <w:spacing w:before="2" w:line="600" w:lineRule="exact"/>
        <w:ind w:left="1429" w:right="1832"/>
        <w:textAlignment w:val="auto"/>
        <w:rPr>
          <w:spacing w:val="-2"/>
          <w:sz w:val="32"/>
          <w:szCs w:val="32"/>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before="2" w:line="600" w:lineRule="exact"/>
        <w:ind w:left="1429" w:leftChars="0" w:right="1832" w:firstLine="0" w:firstLineChars="0"/>
        <w:textAlignment w:val="auto"/>
        <w:rPr>
          <w:spacing w:val="-2"/>
          <w:sz w:val="32"/>
          <w:szCs w:val="32"/>
        </w:rPr>
      </w:pPr>
      <w:r>
        <w:rPr>
          <w:spacing w:val="-2"/>
          <w:sz w:val="32"/>
          <w:szCs w:val="32"/>
        </w:rPr>
        <w:t>其他需要说明的情况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2" w:line="600" w:lineRule="exact"/>
        <w:ind w:left="1429" w:leftChars="0" w:right="1832" w:rightChars="0"/>
        <w:textAlignment w:val="auto"/>
        <w:rPr>
          <w:rFonts w:hint="eastAsia" w:eastAsia="宋体"/>
          <w:spacing w:val="-2"/>
          <w:sz w:val="32"/>
          <w:szCs w:val="32"/>
          <w:lang w:eastAsia="zh-CN"/>
        </w:rPr>
      </w:pPr>
      <w:r>
        <w:rPr>
          <w:rFonts w:hint="eastAsia"/>
          <w:spacing w:val="-2"/>
          <w:sz w:val="32"/>
          <w:szCs w:val="32"/>
          <w:lang w:eastAsia="zh-CN"/>
        </w:rPr>
        <w:t>无</w:t>
      </w:r>
    </w:p>
    <w:p>
      <w:pPr>
        <w:pStyle w:val="4"/>
        <w:ind w:left="1431"/>
        <w:rPr>
          <w:spacing w:val="-4"/>
        </w:rPr>
      </w:pPr>
    </w:p>
    <w:p>
      <w:pPr>
        <w:pStyle w:val="4"/>
        <w:ind w:left="1431"/>
        <w:rPr>
          <w:spacing w:val="-4"/>
        </w:rPr>
      </w:pPr>
    </w:p>
    <w:p>
      <w:pPr>
        <w:pStyle w:val="4"/>
        <w:ind w:left="1431"/>
        <w:rPr>
          <w:spacing w:val="-4"/>
        </w:rPr>
      </w:pPr>
    </w:p>
    <w:p>
      <w:pPr>
        <w:pStyle w:val="4"/>
        <w:ind w:left="1431"/>
        <w:rPr>
          <w:spacing w:val="-4"/>
        </w:rPr>
      </w:pPr>
    </w:p>
    <w:p>
      <w:pPr>
        <w:pStyle w:val="4"/>
        <w:ind w:left="1431"/>
        <w:rPr>
          <w:spacing w:val="-4"/>
        </w:rPr>
      </w:pPr>
    </w:p>
    <w:p>
      <w:pPr>
        <w:pStyle w:val="4"/>
        <w:ind w:left="1431"/>
        <w:rPr>
          <w:spacing w:val="-4"/>
        </w:rPr>
      </w:pPr>
    </w:p>
    <w:p>
      <w:pPr>
        <w:pStyle w:val="4"/>
        <w:ind w:left="1431"/>
        <w:rPr>
          <w:spacing w:val="-4"/>
        </w:rPr>
      </w:pPr>
    </w:p>
    <w:p>
      <w:pPr>
        <w:pStyle w:val="4"/>
        <w:ind w:left="1431"/>
      </w:pPr>
      <w:r>
        <w:rPr>
          <w:spacing w:val="-4"/>
        </w:rPr>
        <w:t>附件：</w:t>
      </w:r>
      <w:r>
        <w:rPr>
          <w:rFonts w:ascii="Times New Roman" w:eastAsia="Times New Roman"/>
          <w:spacing w:val="-4"/>
        </w:rPr>
        <w:t>1</w:t>
      </w:r>
      <w:r>
        <w:rPr>
          <w:spacing w:val="-5"/>
        </w:rPr>
        <w:t>、部门整体支出绩效评价基础数据表</w:t>
      </w:r>
    </w:p>
    <w:p>
      <w:pPr>
        <w:pStyle w:val="4"/>
        <w:spacing w:before="190"/>
        <w:ind w:left="2387"/>
      </w:pPr>
      <w:r>
        <w:rPr>
          <w:rFonts w:ascii="Times New Roman" w:eastAsia="Times New Roman"/>
          <w:spacing w:val="-4"/>
        </w:rPr>
        <w:t>2</w:t>
      </w:r>
      <w:r>
        <w:rPr>
          <w:spacing w:val="-5"/>
        </w:rPr>
        <w:t>、部门整体支出绩效自评表</w:t>
      </w:r>
    </w:p>
    <w:p>
      <w:pPr>
        <w:pStyle w:val="4"/>
        <w:spacing w:before="190"/>
        <w:ind w:left="2387"/>
      </w:pPr>
      <w:r>
        <w:rPr>
          <w:rFonts w:ascii="Times New Roman" w:eastAsia="Times New Roman"/>
          <w:spacing w:val="-4"/>
        </w:rPr>
        <w:t>3</w:t>
      </w:r>
      <w:r>
        <w:rPr>
          <w:spacing w:val="-4"/>
        </w:rPr>
        <w:t>、项目支出绩效自评表（每个一级项目一张表</w:t>
      </w:r>
      <w:r>
        <w:rPr>
          <w:spacing w:val="-10"/>
        </w:rPr>
        <w:t>）</w:t>
      </w:r>
    </w:p>
    <w:p>
      <w:pPr>
        <w:pStyle w:val="4"/>
        <w:spacing w:before="190"/>
        <w:ind w:left="2387"/>
      </w:pPr>
      <w:r>
        <w:rPr>
          <w:rFonts w:ascii="Times New Roman" w:eastAsia="Times New Roman"/>
          <w:spacing w:val="-4"/>
        </w:rPr>
        <w:t>4</w:t>
      </w:r>
      <w:r>
        <w:rPr>
          <w:spacing w:val="-5"/>
        </w:rPr>
        <w:t>、政府性基金预算支出情况表</w:t>
      </w:r>
    </w:p>
    <w:p>
      <w:pPr>
        <w:pStyle w:val="4"/>
        <w:spacing w:before="190"/>
        <w:ind w:left="2387"/>
        <w:rPr>
          <w:spacing w:val="-5"/>
          <w:sz w:val="18"/>
          <w:szCs w:val="18"/>
        </w:rPr>
      </w:pPr>
      <w:r>
        <w:rPr>
          <w:rFonts w:ascii="Times New Roman" w:eastAsia="Times New Roman"/>
          <w:spacing w:val="-4"/>
        </w:rPr>
        <w:t>5</w:t>
      </w:r>
      <w:r>
        <w:rPr>
          <w:spacing w:val="-5"/>
        </w:rPr>
        <w:t>、国有资本经营预算支出情况表</w:t>
      </w:r>
    </w:p>
    <w:p>
      <w:pPr>
        <w:numPr>
          <w:ilvl w:val="0"/>
          <w:numId w:val="3"/>
        </w:numPr>
        <w:ind w:firstLine="2480" w:firstLineChars="800"/>
        <w:jc w:val="both"/>
        <w:rPr>
          <w:spacing w:val="-5"/>
          <w:sz w:val="32"/>
          <w:szCs w:val="32"/>
        </w:rPr>
      </w:pPr>
      <w:r>
        <w:rPr>
          <w:spacing w:val="-5"/>
          <w:sz w:val="32"/>
          <w:szCs w:val="32"/>
        </w:rPr>
        <w:t>社会保险基金预算支出情况表</w:t>
      </w:r>
    </w:p>
    <w:p>
      <w:pPr>
        <w:numPr>
          <w:ilvl w:val="0"/>
          <w:numId w:val="3"/>
        </w:numPr>
        <w:ind w:firstLine="2480" w:firstLineChars="800"/>
        <w:jc w:val="both"/>
        <w:rPr>
          <w:rFonts w:hint="default"/>
          <w:spacing w:val="-5"/>
          <w:sz w:val="32"/>
          <w:szCs w:val="32"/>
          <w:lang w:val="en-US" w:eastAsia="zh-CN"/>
        </w:rPr>
      </w:pPr>
      <w:r>
        <w:rPr>
          <w:rFonts w:hint="eastAsia" w:ascii="Calibri" w:eastAsia="宋体"/>
          <w:spacing w:val="-5"/>
          <w:sz w:val="32"/>
          <w:szCs w:val="32"/>
          <w:lang w:val="en-US" w:eastAsia="zh-CN"/>
        </w:rPr>
        <w:t>萱洲镇</w:t>
      </w:r>
      <w:r>
        <w:rPr>
          <w:rFonts w:hint="default"/>
          <w:spacing w:val="-5"/>
          <w:sz w:val="32"/>
          <w:szCs w:val="32"/>
          <w:lang w:val="en-US" w:eastAsia="zh-CN"/>
        </w:rPr>
        <w:t>项目库建设情况表</w:t>
      </w:r>
    </w:p>
    <w:p>
      <w:pPr>
        <w:numPr>
          <w:ilvl w:val="0"/>
          <w:numId w:val="3"/>
        </w:numPr>
        <w:ind w:firstLine="2480" w:firstLineChars="800"/>
        <w:jc w:val="both"/>
        <w:rPr>
          <w:rFonts w:hint="default"/>
          <w:spacing w:val="-5"/>
          <w:sz w:val="32"/>
          <w:szCs w:val="32"/>
          <w:lang w:val="en-US" w:eastAsia="zh-CN"/>
        </w:rPr>
      </w:pPr>
      <w:r>
        <w:rPr>
          <w:rFonts w:hint="eastAsia" w:ascii="Calibri" w:eastAsia="宋体"/>
          <w:spacing w:val="-5"/>
          <w:sz w:val="32"/>
          <w:szCs w:val="32"/>
          <w:lang w:val="en-US" w:eastAsia="zh-CN"/>
        </w:rPr>
        <w:t>萱洲镇</w:t>
      </w:r>
      <w:r>
        <w:rPr>
          <w:rFonts w:hint="default"/>
          <w:spacing w:val="-5"/>
          <w:sz w:val="32"/>
          <w:szCs w:val="32"/>
          <w:lang w:val="en-US" w:eastAsia="zh-CN"/>
        </w:rPr>
        <w:t>各类支出标准体系建设情况表</w:t>
      </w:r>
    </w:p>
    <w:p>
      <w:pPr>
        <w:numPr>
          <w:ilvl w:val="0"/>
          <w:numId w:val="3"/>
        </w:numPr>
        <w:ind w:firstLine="2480" w:firstLineChars="800"/>
        <w:jc w:val="both"/>
        <w:rPr>
          <w:rFonts w:hint="default"/>
          <w:spacing w:val="-5"/>
          <w:sz w:val="32"/>
          <w:szCs w:val="32"/>
          <w:lang w:val="en-US" w:eastAsia="zh-CN"/>
        </w:rPr>
      </w:pPr>
      <w:r>
        <w:rPr>
          <w:rFonts w:hint="eastAsia" w:ascii="Calibri" w:eastAsia="宋体"/>
          <w:spacing w:val="-5"/>
          <w:sz w:val="32"/>
          <w:szCs w:val="32"/>
          <w:lang w:val="en-US" w:eastAsia="zh-CN"/>
        </w:rPr>
        <w:t>萱洲镇</w:t>
      </w:r>
      <w:r>
        <w:rPr>
          <w:rFonts w:hint="default"/>
          <w:spacing w:val="-5"/>
          <w:sz w:val="32"/>
          <w:szCs w:val="32"/>
          <w:lang w:val="en-US" w:eastAsia="zh-CN"/>
        </w:rPr>
        <w:t>预算绩效管理制度建设清单</w:t>
      </w:r>
    </w:p>
    <w:p>
      <w:pPr>
        <w:numPr>
          <w:ilvl w:val="0"/>
          <w:numId w:val="3"/>
        </w:numPr>
        <w:ind w:firstLine="2480" w:firstLineChars="800"/>
        <w:jc w:val="both"/>
        <w:rPr>
          <w:rFonts w:hint="default"/>
          <w:spacing w:val="-5"/>
          <w:sz w:val="32"/>
          <w:szCs w:val="32"/>
          <w:lang w:val="en-US" w:eastAsia="zh-CN"/>
        </w:rPr>
      </w:pPr>
      <w:r>
        <w:rPr>
          <w:rFonts w:hint="default"/>
          <w:spacing w:val="-5"/>
          <w:sz w:val="32"/>
          <w:szCs w:val="32"/>
          <w:lang w:val="en-US" w:eastAsia="zh-CN"/>
        </w:rPr>
        <w:t>事前绩效评估报告（含所属单位）</w:t>
      </w:r>
    </w:p>
    <w:p>
      <w:pPr>
        <w:numPr>
          <w:ilvl w:val="0"/>
          <w:numId w:val="3"/>
        </w:numPr>
        <w:ind w:firstLine="2480" w:firstLineChars="800"/>
        <w:jc w:val="both"/>
        <w:rPr>
          <w:rFonts w:hint="default"/>
          <w:spacing w:val="-5"/>
          <w:sz w:val="32"/>
          <w:szCs w:val="32"/>
          <w:lang w:val="en-US" w:eastAsia="zh-CN"/>
        </w:rPr>
      </w:pPr>
      <w:r>
        <w:rPr>
          <w:rFonts w:hint="default"/>
          <w:spacing w:val="-5"/>
          <w:sz w:val="32"/>
          <w:szCs w:val="32"/>
          <w:lang w:val="en-US" w:eastAsia="zh-CN"/>
        </w:rPr>
        <w:t>预算绩效管理各环节结果应用清单</w:t>
      </w:r>
    </w:p>
    <w:p>
      <w:pPr>
        <w:numPr>
          <w:ilvl w:val="0"/>
          <w:numId w:val="0"/>
        </w:numPr>
        <w:jc w:val="both"/>
        <w:rPr>
          <w:rFonts w:hint="default"/>
          <w:spacing w:val="-5"/>
          <w:sz w:val="32"/>
          <w:szCs w:val="32"/>
          <w:lang w:val="en-US" w:eastAsia="zh-CN"/>
        </w:rPr>
      </w:pPr>
    </w:p>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9C3B5"/>
    <w:multiLevelType w:val="singleLevel"/>
    <w:tmpl w:val="9E39C3B5"/>
    <w:lvl w:ilvl="0" w:tentative="0">
      <w:start w:val="1"/>
      <w:numFmt w:val="chineseCounting"/>
      <w:suff w:val="nothing"/>
      <w:lvlText w:val="（%1）"/>
      <w:lvlJc w:val="left"/>
      <w:rPr>
        <w:rFonts w:hint="eastAsia"/>
      </w:rPr>
    </w:lvl>
  </w:abstractNum>
  <w:abstractNum w:abstractNumId="1">
    <w:nsid w:val="E5AF9336"/>
    <w:multiLevelType w:val="singleLevel"/>
    <w:tmpl w:val="E5AF9336"/>
    <w:lvl w:ilvl="0" w:tentative="0">
      <w:start w:val="6"/>
      <w:numFmt w:val="decimal"/>
      <w:suff w:val="nothing"/>
      <w:lvlText w:val="%1、"/>
      <w:lvlJc w:val="left"/>
    </w:lvl>
  </w:abstractNum>
  <w:abstractNum w:abstractNumId="2">
    <w:nsid w:val="41075A1B"/>
    <w:multiLevelType w:val="singleLevel"/>
    <w:tmpl w:val="41075A1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NmQxYjM4ZTM0ZjAwY2E5MzIxZDk1YTRhNGQ1OTQifQ=="/>
  </w:docVars>
  <w:rsids>
    <w:rsidRoot w:val="56CF74DA"/>
    <w:rsid w:val="46F8104E"/>
    <w:rsid w:val="56CF7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1"/>
    <w:pPr>
      <w:widowControl w:val="0"/>
      <w:ind w:left="3"/>
      <w:jc w:val="center"/>
      <w:outlineLvl w:val="0"/>
    </w:pPr>
    <w:rPr>
      <w:rFonts w:ascii="宋体" w:hAnsi="宋体" w:eastAsia="宋体" w:cs="宋体"/>
      <w:kern w:val="2"/>
      <w:sz w:val="44"/>
      <w:szCs w:val="4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
    <w:qFormat/>
    <w:uiPriority w:val="99"/>
    <w:pPr>
      <w:widowControl w:val="0"/>
      <w:snapToGrid w:val="0"/>
      <w:spacing w:line="360" w:lineRule="auto"/>
      <w:ind w:firstLine="420" w:firstLineChars="100"/>
      <w:jc w:val="both"/>
    </w:pPr>
    <w:rPr>
      <w:rFonts w:ascii="Calibri" w:hAnsi="Calibri" w:eastAsia="宋体" w:cs="Times New Roman"/>
      <w:kern w:val="2"/>
      <w:sz w:val="28"/>
      <w:szCs w:val="20"/>
      <w:lang w:val="en-US" w:eastAsia="zh-CN" w:bidi="ar-SA"/>
    </w:rPr>
  </w:style>
  <w:style w:type="paragraph" w:styleId="4">
    <w:name w:val="Body Text"/>
    <w:qFormat/>
    <w:uiPriority w:val="1"/>
    <w:pPr>
      <w:widowControl w:val="0"/>
      <w:jc w:val="both"/>
    </w:pPr>
    <w:rPr>
      <w:rFonts w:ascii="宋体" w:hAnsi="宋体" w:eastAsia="宋体" w:cs="宋体"/>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2680</Words>
  <Characters>2798</Characters>
  <Lines>0</Lines>
  <Paragraphs>0</Paragraphs>
  <TotalTime>0</TotalTime>
  <ScaleCrop>false</ScaleCrop>
  <LinksUpToDate>false</LinksUpToDate>
  <CharactersWithSpaces>2801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2024-06-26T07:45:00Z</dcterms:created>
  <dc:creator>衡山县萱洲镇人民政府</dc:creator>
  <cp:lastModifiedBy>蒋阔</cp:lastModifiedBy>
  <dcterms:modified xsi:type="dcterms:W3CDTF">2025-10-13T00:41:59Z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06D295756E2B41E0BF544A4D093BDBD7_11</vt:lpwstr>
  </property>
</Properties>
</file>