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91D92">
      <w:pPr>
        <w:pStyle w:val="7"/>
        <w:pageBreakBefore w:val="0"/>
        <w:kinsoku/>
        <w:wordWrap/>
        <w:overflowPunct/>
        <w:topLinePunct w:val="0"/>
        <w:bidi w:val="0"/>
        <w:spacing w:line="580" w:lineRule="exact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bookmarkStart w:id="0" w:name="_Toc7397"/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采购需求</w:t>
      </w:r>
      <w:bookmarkEnd w:id="0"/>
    </w:p>
    <w:p w14:paraId="44D48CEC">
      <w:pPr>
        <w:rPr>
          <w:rFonts w:hint="eastAsia"/>
        </w:rPr>
      </w:pPr>
      <w:bookmarkStart w:id="1" w:name="_GoBack"/>
      <w:bookmarkEnd w:id="1"/>
    </w:p>
    <w:p w14:paraId="04150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eastAsia="宋体"/>
          <w:sz w:val="32"/>
          <w:szCs w:val="32"/>
          <w:lang w:val="en-US" w:eastAsia="zh-CN"/>
        </w:rPr>
      </w:pPr>
      <w:r>
        <w:rPr>
          <w:sz w:val="32"/>
          <w:szCs w:val="32"/>
        </w:rPr>
        <w:t>一、采购项目</w:t>
      </w:r>
      <w:r>
        <w:rPr>
          <w:rFonts w:hint="eastAsia"/>
          <w:sz w:val="32"/>
          <w:szCs w:val="32"/>
          <w:lang w:val="en-US" w:eastAsia="zh-CN"/>
        </w:rPr>
        <w:t>基本信息</w:t>
      </w:r>
    </w:p>
    <w:p w14:paraId="150CD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sz w:val="32"/>
          <w:szCs w:val="32"/>
        </w:rPr>
        <w:t>1</w:t>
      </w:r>
      <w:r>
        <w:rPr>
          <w:rFonts w:hint="eastAsia"/>
          <w:sz w:val="32"/>
          <w:szCs w:val="32"/>
          <w:lang w:val="en-US" w:eastAsia="zh-CN"/>
        </w:rPr>
        <w:t>、</w:t>
      </w:r>
      <w:r>
        <w:rPr>
          <w:sz w:val="32"/>
          <w:szCs w:val="32"/>
        </w:rPr>
        <w:t>采购项目名称：</w:t>
      </w:r>
      <w:r>
        <w:rPr>
          <w:rFonts w:hint="eastAsia"/>
          <w:sz w:val="32"/>
          <w:szCs w:val="32"/>
          <w:lang w:val="en-US" w:eastAsia="zh-CN"/>
        </w:rPr>
        <w:t>衡山县2024年度国土空间规划体检评估</w:t>
      </w:r>
    </w:p>
    <w:p w14:paraId="11D7A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rFonts w:hint="eastAsia"/>
          <w:sz w:val="32"/>
          <w:szCs w:val="32"/>
          <w:lang w:val="en-US" w:eastAsia="zh-CN"/>
        </w:rPr>
        <w:t>、</w:t>
      </w:r>
      <w:r>
        <w:rPr>
          <w:sz w:val="32"/>
          <w:szCs w:val="32"/>
        </w:rPr>
        <w:t>采购项目预算</w:t>
      </w:r>
      <w:r>
        <w:rPr>
          <w:rFonts w:hint="eastAsia"/>
          <w:sz w:val="32"/>
          <w:szCs w:val="32"/>
          <w:lang w:val="en-US" w:eastAsia="zh-CN"/>
        </w:rPr>
        <w:t>及清单</w:t>
      </w:r>
      <w:r>
        <w:rPr>
          <w:sz w:val="32"/>
          <w:szCs w:val="32"/>
        </w:rPr>
        <w:t>：</w:t>
      </w:r>
    </w:p>
    <w:p w14:paraId="7BA8BD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line="580" w:lineRule="exact"/>
        <w:ind w:firstLine="640" w:firstLineChars="200"/>
        <w:jc w:val="left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highlight w:val="none"/>
          <w:lang w:val="en-US" w:eastAsia="zh-CN"/>
        </w:rPr>
        <w:t>工作内容：</w:t>
      </w:r>
      <w:r>
        <w:rPr>
          <w:rFonts w:hint="eastAsia"/>
          <w:sz w:val="32"/>
          <w:szCs w:val="32"/>
          <w:lang w:val="en-US" w:eastAsia="zh-CN"/>
        </w:rPr>
        <w:t xml:space="preserve">确认城区实体地域范围、镇区范围和镇区实体地域范围、开展 </w:t>
      </w:r>
      <w:r>
        <w:rPr>
          <w:rFonts w:hint="default"/>
          <w:sz w:val="32"/>
          <w:szCs w:val="32"/>
          <w:lang w:val="en-US" w:eastAsia="zh-CN"/>
        </w:rPr>
        <w:t>2024</w:t>
      </w:r>
      <w:r>
        <w:rPr>
          <w:rFonts w:hint="eastAsia"/>
          <w:sz w:val="32"/>
          <w:szCs w:val="32"/>
          <w:lang w:val="en-US" w:eastAsia="zh-CN"/>
        </w:rPr>
        <w:t>年度国土空间规划体检。</w:t>
      </w:r>
    </w:p>
    <w:p w14:paraId="0F849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</w:t>
      </w:r>
      <w:r>
        <w:rPr>
          <w:sz w:val="32"/>
          <w:szCs w:val="32"/>
        </w:rPr>
        <w:t>服务期限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>根据省级时间节点按质按量提交成果。</w:t>
      </w:r>
    </w:p>
    <w:p w14:paraId="3B37C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二、工作内容</w:t>
      </w:r>
    </w:p>
    <w:p w14:paraId="0C74C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1.城区实体地域、镇区范围和镇区实体地域范围成果提交</w:t>
      </w:r>
    </w:p>
    <w:p w14:paraId="5B9C8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参照省自然资源厅《关于开展2024年度国土空间规划城市体检评估工作的通知》提交城区实体地域范围、镇区范围和镇区实体地域范围初步成果确认意见（加盖本级自然资源主管部门印章）和必要的举证材料。</w:t>
      </w:r>
    </w:p>
    <w:p w14:paraId="3646A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2.年度体检成果提交</w:t>
      </w:r>
    </w:p>
    <w:p w14:paraId="5EC34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各市县在规定时间内将指标数据(xlsx格式)、年度体检报告(pdf扫描件和 docx格式)、附图(iPg格式)等成果材料通过各市州国土空间规划“一张图”实施监督信息系统填报并上传至省自然资源厅。年度体检报告需经同级人民政府审定并加盖公章。省自然资源厅负责审查市级年度体检成果，市级负责审查县级年度体检成果。</w:t>
      </w:r>
    </w:p>
    <w:p w14:paraId="5AE33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三、</w:t>
      </w:r>
      <w:r>
        <w:rPr>
          <w:sz w:val="32"/>
          <w:szCs w:val="32"/>
        </w:rPr>
        <w:t>成果资料</w:t>
      </w:r>
    </w:p>
    <w:p w14:paraId="7DEFF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sz w:val="32"/>
          <w:szCs w:val="32"/>
        </w:rPr>
        <w:t>按照自然资源部、湖南省自然资源厅相关文件要求，形成符合验收要求的整套成果资料。</w:t>
      </w:r>
    </w:p>
    <w:p w14:paraId="3603C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四、验收要求</w:t>
      </w:r>
    </w:p>
    <w:p w14:paraId="63A3D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县年度体检成果</w:t>
      </w:r>
      <w:r>
        <w:rPr>
          <w:rFonts w:hint="eastAsia"/>
          <w:sz w:val="32"/>
          <w:szCs w:val="32"/>
          <w:lang w:val="en-US" w:eastAsia="zh-CN"/>
        </w:rPr>
        <w:t>报湖南省国土空间规划“一张图”实施监督信息系统审核通过</w:t>
      </w:r>
      <w:r>
        <w:rPr>
          <w:sz w:val="32"/>
          <w:szCs w:val="32"/>
        </w:rPr>
        <w:t>。</w:t>
      </w:r>
    </w:p>
    <w:p w14:paraId="79D87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五、</w:t>
      </w:r>
      <w:r>
        <w:rPr>
          <w:sz w:val="32"/>
          <w:szCs w:val="32"/>
        </w:rPr>
        <w:t>售后服务</w:t>
      </w:r>
    </w:p>
    <w:p w14:paraId="0B0B7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中标人须按照工作要求，在规定时间内开展工作，并依法出具成果文件，结合工作开展情况，组织相关培训</w:t>
      </w:r>
      <w:r>
        <w:rPr>
          <w:rFonts w:hint="eastAsia"/>
          <w:sz w:val="32"/>
          <w:szCs w:val="32"/>
          <w:lang w:val="en-US" w:eastAsia="zh-CN"/>
        </w:rPr>
        <w:t>及进行其他售后服务工作</w:t>
      </w:r>
      <w:r>
        <w:rPr>
          <w:sz w:val="32"/>
          <w:szCs w:val="32"/>
        </w:rPr>
        <w:t>。</w:t>
      </w:r>
    </w:p>
    <w:p w14:paraId="72AFF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六、</w:t>
      </w:r>
      <w:r>
        <w:rPr>
          <w:sz w:val="32"/>
          <w:szCs w:val="32"/>
        </w:rPr>
        <w:t>其他要求及说明</w:t>
      </w:r>
    </w:p>
    <w:p w14:paraId="7A812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sz w:val="32"/>
          <w:szCs w:val="32"/>
        </w:rPr>
        <w:t>付款人：衡</w:t>
      </w:r>
      <w:r>
        <w:rPr>
          <w:rFonts w:hint="eastAsia"/>
          <w:sz w:val="32"/>
          <w:szCs w:val="32"/>
          <w:lang w:val="en-US" w:eastAsia="zh-CN"/>
        </w:rPr>
        <w:t>山</w:t>
      </w:r>
      <w:r>
        <w:rPr>
          <w:sz w:val="32"/>
          <w:szCs w:val="32"/>
        </w:rPr>
        <w:t>县自然资源局</w:t>
      </w:r>
    </w:p>
    <w:p w14:paraId="3B47E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eastAsia="宋体"/>
          <w:sz w:val="32"/>
          <w:szCs w:val="32"/>
          <w:lang w:val="en-US" w:eastAsia="zh-CN"/>
        </w:rPr>
      </w:pPr>
      <w:r>
        <w:rPr>
          <w:sz w:val="32"/>
          <w:szCs w:val="32"/>
        </w:rPr>
        <w:t>2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sz w:val="32"/>
          <w:szCs w:val="32"/>
        </w:rPr>
        <w:t>付款方式：</w:t>
      </w:r>
      <w:r>
        <w:rPr>
          <w:rFonts w:hint="eastAsia"/>
          <w:sz w:val="32"/>
          <w:szCs w:val="32"/>
          <w:lang w:val="en-US" w:eastAsia="zh-CN"/>
        </w:rPr>
        <w:t>最终按县财政拨款为准</w:t>
      </w:r>
    </w:p>
    <w:p w14:paraId="655167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3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sz w:val="32"/>
          <w:szCs w:val="32"/>
        </w:rPr>
        <w:t>本项目采用分项报价费用包干方式,所采购的技术服务包含增值税。供应 商根据项目内容中列明的工作内容进行分项报价，报价应包含项目要求和实际情况，详细评估每项工作内容中所需所有费用。如一旦中标，在项目实施中如有其他工作成果以省厅要求为准。出现任何遗漏，均由中标人免费提供，采购人不再支付任何费用。最终结算总价不得超过中标价。</w:t>
      </w:r>
    </w:p>
    <w:p w14:paraId="0FBF3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sz w:val="32"/>
          <w:szCs w:val="32"/>
        </w:rPr>
      </w:pPr>
      <w:r>
        <w:rPr>
          <w:sz w:val="32"/>
          <w:szCs w:val="32"/>
        </w:rPr>
        <w:t>4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sz w:val="32"/>
          <w:szCs w:val="32"/>
        </w:rPr>
        <w:t>中标人按照国家和省级有关规定的安全保密要求开展调查工作，未经采购人同意，不得擅自修改资料及文件、复制或向第三人转让或用于本合同项目外的项目。如发生以上情况，中标人承担由此引起的一切后果及承担赔偿责任。</w:t>
      </w:r>
    </w:p>
    <w:p w14:paraId="0D5D2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采购人不组织现场踏勘，供应商在投标前，如须踏勘现场，有关费用自理，踏勘期间发生的意外自负。</w:t>
      </w:r>
    </w:p>
    <w:p w14:paraId="551550E3">
      <w:pPr>
        <w:pageBreakBefore w:val="0"/>
        <w:kinsoku/>
        <w:wordWrap/>
        <w:overflowPunct/>
        <w:topLinePunct w:val="0"/>
        <w:bidi w:val="0"/>
        <w:spacing w:line="580" w:lineRule="exact"/>
        <w:ind w:firstLine="320" w:firstLineChars="1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6、</w:t>
      </w:r>
      <w:r>
        <w:rPr>
          <w:sz w:val="32"/>
          <w:szCs w:val="32"/>
        </w:rPr>
        <w:t>其他未尽事宜，双方签订合同约定。</w:t>
      </w:r>
    </w:p>
    <w:p w14:paraId="7708E2CC"/>
    <w:sectPr>
      <w:pgSz w:w="11906" w:h="16838"/>
      <w:pgMar w:top="1984" w:right="1814" w:bottom="1587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11111"/>
    <w:rsid w:val="2FC1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sz w:val="24"/>
      <w:szCs w:val="20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tabs>
        <w:tab w:val="left" w:pos="945"/>
        <w:tab w:val="left" w:pos="1155"/>
      </w:tabs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customStyle="1" w:styleId="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styleId="5">
    <w:name w:val="Normal Indent"/>
    <w:basedOn w:val="1"/>
    <w:next w:val="6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2026-01-27T02:00:00Z</dcterms:created>
  <dc:creator>迷彩下逝去的青春</dc:creator>
  <cp:lastModifiedBy>迷彩下逝去的青春</cp:lastModifiedBy>
  <dcterms:modified xsi:type="dcterms:W3CDTF">2026-01-27T02:01:10Z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655EE521FAC6431BB43AC7A4AEA891FE_11</vt:lpwstr>
  </property>
  <property fmtid="{D5CDD505-2E9C-101B-9397-08002B2CF9AE}" pid="4" name="KSOTemplateDocerSaveRecord">
    <vt:lpwstr>eyJoZGlkIjoiNzA5ZGEyZjRmNzFlZGFhY2Y0N2NhOGMyOGIyZGYyM2QiLCJ1c2VySWQiOiIzNzE1MDY0MzEifQ==</vt:lpwstr>
  </property>
</Properties>
</file>