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6FDE9F">
      <w:pPr>
        <w:rPr>
          <w:rFonts w:ascii="仿宋_GB2312" w:hAnsi="仿宋_GB2312" w:eastAsia="仿宋_GB2312" w:cs="仿宋_GB2312"/>
          <w:sz w:val="36"/>
          <w:szCs w:val="36"/>
        </w:rPr>
      </w:pPr>
    </w:p>
    <w:p w14:paraId="39FF516E">
      <w:pPr>
        <w:rPr>
          <w:rFonts w:ascii="仿宋_GB2312" w:hAnsi="仿宋_GB2312" w:eastAsia="仿宋_GB2312" w:cs="仿宋_GB2312"/>
          <w:sz w:val="36"/>
          <w:szCs w:val="36"/>
        </w:rPr>
      </w:pPr>
    </w:p>
    <w:p w14:paraId="0ECBDA53">
      <w:pPr>
        <w:rPr>
          <w:rFonts w:ascii="仿宋_GB2312" w:hAnsi="仿宋_GB2312" w:eastAsia="仿宋_GB2312" w:cs="仿宋_GB2312"/>
          <w:sz w:val="36"/>
          <w:szCs w:val="36"/>
        </w:rPr>
      </w:pPr>
    </w:p>
    <w:p w14:paraId="6A317607">
      <w:pPr>
        <w:adjustRightInd w:val="0"/>
        <w:snapToGrid w:val="0"/>
        <w:jc w:val="center"/>
        <w:outlineLvl w:val="0"/>
        <w:rPr>
          <w:rFonts w:ascii="方正小标宋_GBK" w:eastAsia="方正小标宋_GBK"/>
          <w:bCs/>
          <w:sz w:val="72"/>
          <w:szCs w:val="72"/>
        </w:rPr>
      </w:pPr>
      <w:bookmarkStart w:id="0" w:name="_Toc111712322"/>
      <w:r>
        <w:rPr>
          <w:rFonts w:hint="eastAsia" w:ascii="方正小标宋_GBK" w:eastAsia="方正小标宋_GBK"/>
          <w:bCs/>
          <w:sz w:val="72"/>
          <w:szCs w:val="72"/>
        </w:rPr>
        <w:t>建设项目环境影响报告表</w:t>
      </w:r>
      <w:bookmarkEnd w:id="0"/>
    </w:p>
    <w:p w14:paraId="45C1C46F">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5FC61042">
      <w:pPr>
        <w:adjustRightInd w:val="0"/>
        <w:snapToGrid w:val="0"/>
        <w:spacing w:line="288" w:lineRule="auto"/>
        <w:jc w:val="center"/>
        <w:outlineLvl w:val="0"/>
        <w:rPr>
          <w:rFonts w:ascii="华文仿宋" w:hAnsi="华文仿宋" w:eastAsia="华文仿宋" w:cs="华文仿宋"/>
          <w:kern w:val="44"/>
          <w:sz w:val="44"/>
          <w:szCs w:val="44"/>
        </w:rPr>
      </w:pPr>
    </w:p>
    <w:p w14:paraId="7787C149">
      <w:pPr>
        <w:jc w:val="center"/>
        <w:rPr>
          <w:rFonts w:eastAsia="仿宋"/>
          <w:sz w:val="52"/>
          <w:szCs w:val="52"/>
        </w:rPr>
      </w:pPr>
    </w:p>
    <w:p w14:paraId="6E47AF67">
      <w:pPr>
        <w:rPr>
          <w:rFonts w:eastAsia="仿宋"/>
          <w:sz w:val="44"/>
          <w:szCs w:val="44"/>
        </w:rPr>
      </w:pPr>
    </w:p>
    <w:p w14:paraId="1456F0C6">
      <w:pPr>
        <w:ind w:firstLine="1040"/>
        <w:rPr>
          <w:rFonts w:eastAsia="仿宋"/>
          <w:sz w:val="44"/>
          <w:szCs w:val="44"/>
        </w:rPr>
      </w:pPr>
    </w:p>
    <w:p w14:paraId="1134DB0E">
      <w:pPr>
        <w:ind w:firstLine="1040"/>
        <w:rPr>
          <w:rFonts w:eastAsia="仿宋"/>
          <w:sz w:val="44"/>
          <w:szCs w:val="44"/>
        </w:rPr>
      </w:pPr>
    </w:p>
    <w:p w14:paraId="03C47344">
      <w:pPr>
        <w:ind w:firstLine="1040"/>
        <w:rPr>
          <w:rFonts w:eastAsia="仿宋"/>
          <w:sz w:val="44"/>
          <w:szCs w:val="44"/>
        </w:rPr>
      </w:pPr>
    </w:p>
    <w:p w14:paraId="4692C2EA">
      <w:pPr>
        <w:adjustRightInd w:val="0"/>
        <w:snapToGrid w:val="0"/>
        <w:spacing w:line="288" w:lineRule="auto"/>
        <w:ind w:left="1800" w:hanging="1800" w:hangingChars="500"/>
        <w:rPr>
          <w:rFonts w:asciiTheme="majorEastAsia" w:hAnsiTheme="majorEastAsia" w:eastAsiaTheme="majorEastAsia"/>
          <w:sz w:val="36"/>
          <w:szCs w:val="36"/>
          <w:u w:val="single"/>
        </w:rPr>
      </w:pPr>
      <w:bookmarkStart w:id="1" w:name="_Hlk57884087"/>
      <w:r>
        <w:rPr>
          <w:rFonts w:hint="eastAsia" w:asciiTheme="majorEastAsia" w:hAnsiTheme="majorEastAsia" w:eastAsiaTheme="majorEastAsia"/>
          <w:sz w:val="36"/>
          <w:szCs w:val="36"/>
        </w:rPr>
        <w:t>项目名称：</w:t>
      </w:r>
      <w:r>
        <w:rPr>
          <w:rFonts w:hint="eastAsia" w:asciiTheme="majorEastAsia" w:hAnsiTheme="majorEastAsia" w:eastAsiaTheme="majorEastAsia"/>
          <w:sz w:val="36"/>
          <w:szCs w:val="36"/>
          <w:u w:val="single"/>
        </w:rPr>
        <w:t xml:space="preserve"> 衡山县岳北现代粮食仓储建设项目  </w:t>
      </w:r>
    </w:p>
    <w:p w14:paraId="69467292">
      <w:pPr>
        <w:adjustRightInd w:val="0"/>
        <w:snapToGrid w:val="0"/>
        <w:spacing w:line="288" w:lineRule="auto"/>
        <w:rPr>
          <w:rFonts w:asciiTheme="majorEastAsia" w:hAnsiTheme="majorEastAsia" w:eastAsiaTheme="majorEastAsia"/>
          <w:sz w:val="36"/>
          <w:szCs w:val="36"/>
          <w:u w:val="single"/>
        </w:rPr>
      </w:pPr>
      <w:r>
        <w:rPr>
          <w:rFonts w:hint="eastAsia" w:asciiTheme="majorEastAsia" w:hAnsiTheme="majorEastAsia" w:eastAsiaTheme="majorEastAsia"/>
          <w:sz w:val="36"/>
          <w:szCs w:val="36"/>
        </w:rPr>
        <w:t>建设单位（盖章）：</w:t>
      </w:r>
      <w:r>
        <w:rPr>
          <w:rFonts w:hint="eastAsia" w:asciiTheme="majorEastAsia" w:hAnsiTheme="majorEastAsia" w:eastAsiaTheme="majorEastAsia"/>
          <w:sz w:val="36"/>
          <w:szCs w:val="36"/>
          <w:u w:val="single"/>
        </w:rPr>
        <w:t xml:space="preserve"> 衡山岳北粮食收储有限公司  </w:t>
      </w:r>
    </w:p>
    <w:p w14:paraId="75090C8C">
      <w:pPr>
        <w:adjustRightInd w:val="0"/>
        <w:snapToGrid w:val="0"/>
        <w:spacing w:line="288" w:lineRule="auto"/>
        <w:rPr>
          <w:rFonts w:asciiTheme="majorEastAsia" w:hAnsiTheme="majorEastAsia" w:eastAsiaTheme="majorEastAsia"/>
          <w:sz w:val="36"/>
          <w:szCs w:val="36"/>
          <w:u w:val="single"/>
        </w:rPr>
      </w:pPr>
      <w:r>
        <w:rPr>
          <w:rFonts w:hint="eastAsia" w:asciiTheme="majorEastAsia" w:hAnsiTheme="majorEastAsia" w:eastAsiaTheme="majorEastAsia"/>
          <w:sz w:val="36"/>
          <w:szCs w:val="36"/>
        </w:rPr>
        <w:t>编制日期：</w:t>
      </w:r>
      <w:r>
        <w:rPr>
          <w:rFonts w:hint="eastAsia" w:asciiTheme="majorEastAsia" w:hAnsiTheme="majorEastAsia" w:eastAsiaTheme="majorEastAsia"/>
          <w:sz w:val="36"/>
          <w:szCs w:val="36"/>
          <w:u w:val="single"/>
        </w:rPr>
        <w:t xml:space="preserve"> </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2026年4月</w:t>
      </w:r>
      <w:r>
        <w:rPr>
          <w:rFonts w:asciiTheme="majorEastAsia" w:hAnsiTheme="majorEastAsia" w:eastAsiaTheme="majorEastAsia"/>
          <w:sz w:val="36"/>
          <w:szCs w:val="36"/>
          <w:u w:val="single"/>
        </w:rPr>
        <w:t xml:space="preserve">   </w:t>
      </w:r>
      <w:r>
        <w:rPr>
          <w:rFonts w:hint="eastAsia" w:asciiTheme="majorEastAsia" w:hAnsiTheme="majorEastAsia" w:eastAsiaTheme="majorEastAsia"/>
          <w:sz w:val="36"/>
          <w:szCs w:val="36"/>
          <w:u w:val="single"/>
        </w:rPr>
        <w:t xml:space="preserve">       </w:t>
      </w:r>
    </w:p>
    <w:p w14:paraId="71A358CC">
      <w:pPr>
        <w:adjustRightInd w:val="0"/>
        <w:snapToGrid w:val="0"/>
        <w:spacing w:line="288" w:lineRule="auto"/>
        <w:ind w:firstLine="1040"/>
        <w:rPr>
          <w:rFonts w:ascii="仿宋_GB2312" w:eastAsia="仿宋_GB2312"/>
          <w:sz w:val="36"/>
          <w:szCs w:val="36"/>
          <w:u w:val="single"/>
        </w:rPr>
      </w:pPr>
    </w:p>
    <w:p w14:paraId="5B545E27">
      <w:pPr>
        <w:adjustRightInd w:val="0"/>
        <w:snapToGrid w:val="0"/>
        <w:spacing w:line="288" w:lineRule="auto"/>
        <w:ind w:firstLine="1040"/>
        <w:rPr>
          <w:rFonts w:ascii="仿宋_GB2312" w:eastAsia="仿宋_GB2312"/>
          <w:sz w:val="36"/>
          <w:szCs w:val="36"/>
        </w:rPr>
      </w:pPr>
    </w:p>
    <w:p w14:paraId="32471CAB">
      <w:pPr>
        <w:adjustRightInd w:val="0"/>
        <w:snapToGrid w:val="0"/>
        <w:spacing w:line="288" w:lineRule="auto"/>
        <w:ind w:firstLine="1040"/>
        <w:rPr>
          <w:rFonts w:ascii="仿宋_GB2312" w:eastAsia="仿宋_GB2312"/>
          <w:sz w:val="36"/>
          <w:szCs w:val="36"/>
        </w:rPr>
      </w:pPr>
    </w:p>
    <w:bookmarkEnd w:id="1"/>
    <w:p w14:paraId="014C5B10">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172E4104">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39F75E8B">
      <w:pPr>
        <w:spacing w:line="360" w:lineRule="auto"/>
        <w:ind w:firstLine="480" w:firstLineChars="200"/>
        <w:rPr>
          <w:sz w:val="24"/>
          <w:szCs w:val="28"/>
        </w:rPr>
      </w:pPr>
    </w:p>
    <w:p w14:paraId="76A49869">
      <w:pPr>
        <w:spacing w:line="360" w:lineRule="auto"/>
        <w:ind w:firstLine="480" w:firstLineChars="200"/>
        <w:rPr>
          <w:sz w:val="24"/>
          <w:szCs w:val="28"/>
        </w:rPr>
      </w:pPr>
      <w:r>
        <w:rPr>
          <w:sz w:val="24"/>
          <w:szCs w:val="28"/>
        </w:rPr>
        <w:br w:type="page"/>
      </w:r>
    </w:p>
    <w:p w14:paraId="2DC21032">
      <w:pPr>
        <w:pStyle w:val="25"/>
        <w:jc w:val="center"/>
        <w:outlineLvl w:val="0"/>
        <w:rPr>
          <w:rFonts w:ascii="黑体" w:hAnsi="黑体" w:eastAsia="黑体"/>
          <w:snapToGrid w:val="0"/>
          <w:sz w:val="30"/>
          <w:szCs w:val="30"/>
        </w:rPr>
      </w:pPr>
      <w:bookmarkStart w:id="2" w:name="_Toc111712326"/>
      <w:r>
        <w:rPr>
          <w:rFonts w:hint="eastAsia" w:ascii="黑体" w:hAnsi="黑体" w:eastAsia="黑体"/>
          <w:snapToGrid w:val="0"/>
          <w:sz w:val="30"/>
          <w:szCs w:val="30"/>
        </w:rPr>
        <w:t>一、建设项目基本情况</w:t>
      </w:r>
      <w:bookmarkEnd w:id="2"/>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23"/>
        <w:gridCol w:w="1476"/>
        <w:gridCol w:w="2325"/>
        <w:gridCol w:w="2544"/>
        <w:gridCol w:w="3038"/>
      </w:tblGrid>
      <w:tr w14:paraId="5702F7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1EE1E7D">
            <w:pPr>
              <w:adjustRightInd w:val="0"/>
              <w:snapToGrid w:val="0"/>
              <w:jc w:val="center"/>
              <w:rPr>
                <w:b/>
                <w:sz w:val="24"/>
              </w:rPr>
            </w:pPr>
            <w:r>
              <w:rPr>
                <w:b/>
                <w:sz w:val="24"/>
              </w:rPr>
              <w:t>建设项目名称</w:t>
            </w:r>
          </w:p>
        </w:tc>
        <w:tc>
          <w:tcPr>
            <w:tcW w:w="7907" w:type="dxa"/>
            <w:gridSpan w:val="3"/>
            <w:vAlign w:val="center"/>
          </w:tcPr>
          <w:p w14:paraId="218A17EC">
            <w:pPr>
              <w:adjustRightInd w:val="0"/>
              <w:snapToGrid w:val="0"/>
              <w:jc w:val="center"/>
              <w:rPr>
                <w:sz w:val="24"/>
              </w:rPr>
            </w:pPr>
            <w:r>
              <w:rPr>
                <w:rFonts w:hint="eastAsia"/>
                <w:sz w:val="24"/>
              </w:rPr>
              <w:t>衡山县岳北现代粮食仓储建设项目</w:t>
            </w:r>
          </w:p>
        </w:tc>
      </w:tr>
      <w:tr w14:paraId="78A571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1105EF3">
            <w:pPr>
              <w:adjustRightInd w:val="0"/>
              <w:snapToGrid w:val="0"/>
              <w:jc w:val="center"/>
              <w:rPr>
                <w:b/>
                <w:sz w:val="24"/>
              </w:rPr>
            </w:pPr>
            <w:r>
              <w:rPr>
                <w:b/>
                <w:sz w:val="24"/>
              </w:rPr>
              <w:t>项目代码</w:t>
            </w:r>
          </w:p>
        </w:tc>
        <w:tc>
          <w:tcPr>
            <w:tcW w:w="7907" w:type="dxa"/>
            <w:gridSpan w:val="3"/>
            <w:vAlign w:val="center"/>
          </w:tcPr>
          <w:p w14:paraId="7FA22822">
            <w:pPr>
              <w:adjustRightInd w:val="0"/>
              <w:snapToGrid w:val="0"/>
              <w:jc w:val="center"/>
              <w:rPr>
                <w:sz w:val="24"/>
              </w:rPr>
            </w:pPr>
            <w:bookmarkStart w:id="3" w:name="OLE_LINK2"/>
            <w:bookmarkStart w:id="4" w:name="OLE_LINK4"/>
            <w:r>
              <w:rPr>
                <w:sz w:val="24"/>
              </w:rPr>
              <w:t>2410-430423-04-01-566788</w:t>
            </w:r>
            <w:bookmarkEnd w:id="3"/>
            <w:bookmarkEnd w:id="4"/>
          </w:p>
        </w:tc>
      </w:tr>
      <w:tr w14:paraId="13BF4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496A99C3">
            <w:pPr>
              <w:adjustRightInd w:val="0"/>
              <w:snapToGrid w:val="0"/>
              <w:jc w:val="center"/>
              <w:rPr>
                <w:b/>
                <w:sz w:val="24"/>
              </w:rPr>
            </w:pPr>
            <w:r>
              <w:rPr>
                <w:b/>
                <w:sz w:val="24"/>
              </w:rPr>
              <w:t>建设单位联系人</w:t>
            </w:r>
          </w:p>
        </w:tc>
        <w:tc>
          <w:tcPr>
            <w:tcW w:w="2325" w:type="dxa"/>
            <w:vAlign w:val="center"/>
          </w:tcPr>
          <w:p w14:paraId="5088B53F">
            <w:pPr>
              <w:adjustRightInd w:val="0"/>
              <w:snapToGrid w:val="0"/>
              <w:jc w:val="center"/>
              <w:rPr>
                <w:sz w:val="24"/>
              </w:rPr>
            </w:pPr>
          </w:p>
        </w:tc>
        <w:tc>
          <w:tcPr>
            <w:tcW w:w="2544" w:type="dxa"/>
            <w:vAlign w:val="center"/>
          </w:tcPr>
          <w:p w14:paraId="58B75CE3">
            <w:pPr>
              <w:adjustRightInd w:val="0"/>
              <w:snapToGrid w:val="0"/>
              <w:jc w:val="center"/>
              <w:rPr>
                <w:b/>
                <w:sz w:val="24"/>
              </w:rPr>
            </w:pPr>
            <w:r>
              <w:rPr>
                <w:b/>
                <w:sz w:val="24"/>
              </w:rPr>
              <w:t>联系方式</w:t>
            </w:r>
          </w:p>
        </w:tc>
        <w:tc>
          <w:tcPr>
            <w:tcW w:w="3038" w:type="dxa"/>
            <w:vAlign w:val="center"/>
          </w:tcPr>
          <w:p w14:paraId="62B9C22F">
            <w:pPr>
              <w:adjustRightInd w:val="0"/>
              <w:snapToGrid w:val="0"/>
              <w:jc w:val="center"/>
              <w:rPr>
                <w:sz w:val="24"/>
              </w:rPr>
            </w:pPr>
          </w:p>
        </w:tc>
      </w:tr>
      <w:tr w14:paraId="622E56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D1D7127">
            <w:pPr>
              <w:adjustRightInd w:val="0"/>
              <w:snapToGrid w:val="0"/>
              <w:jc w:val="center"/>
              <w:rPr>
                <w:b/>
                <w:sz w:val="24"/>
              </w:rPr>
            </w:pPr>
            <w:r>
              <w:rPr>
                <w:b/>
                <w:sz w:val="24"/>
              </w:rPr>
              <w:t>建设地点</w:t>
            </w:r>
          </w:p>
        </w:tc>
        <w:tc>
          <w:tcPr>
            <w:tcW w:w="7907" w:type="dxa"/>
            <w:gridSpan w:val="3"/>
            <w:vAlign w:val="center"/>
          </w:tcPr>
          <w:p w14:paraId="2463F5AC">
            <w:pPr>
              <w:adjustRightInd w:val="0"/>
              <w:snapToGrid w:val="0"/>
              <w:jc w:val="center"/>
              <w:rPr>
                <w:sz w:val="24"/>
              </w:rPr>
            </w:pPr>
            <w:bookmarkStart w:id="5" w:name="OLE_LINK111"/>
            <w:r>
              <w:rPr>
                <w:rFonts w:hint="eastAsia"/>
                <w:sz w:val="24"/>
                <w:szCs w:val="28"/>
              </w:rPr>
              <w:t>衡山县</w:t>
            </w:r>
            <w:bookmarkStart w:id="6" w:name="OLE_LINK8"/>
            <w:r>
              <w:rPr>
                <w:rFonts w:hint="eastAsia"/>
                <w:sz w:val="24"/>
                <w:szCs w:val="28"/>
              </w:rPr>
              <w:t>白</w:t>
            </w:r>
            <w:bookmarkStart w:id="7" w:name="OLE_LINK118"/>
            <w:bookmarkStart w:id="8" w:name="OLE_LINK117"/>
            <w:r>
              <w:rPr>
                <w:rFonts w:hint="eastAsia"/>
                <w:sz w:val="24"/>
                <w:szCs w:val="28"/>
              </w:rPr>
              <w:t>果镇岳北村</w:t>
            </w:r>
            <w:bookmarkEnd w:id="5"/>
            <w:bookmarkEnd w:id="6"/>
            <w:bookmarkEnd w:id="7"/>
            <w:bookmarkEnd w:id="8"/>
          </w:p>
        </w:tc>
      </w:tr>
      <w:tr w14:paraId="7933D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1DE3B7D">
            <w:pPr>
              <w:adjustRightInd w:val="0"/>
              <w:snapToGrid w:val="0"/>
              <w:jc w:val="center"/>
              <w:rPr>
                <w:b/>
                <w:sz w:val="24"/>
              </w:rPr>
            </w:pPr>
            <w:r>
              <w:rPr>
                <w:b/>
                <w:sz w:val="24"/>
              </w:rPr>
              <w:t>地理坐标</w:t>
            </w:r>
          </w:p>
        </w:tc>
        <w:tc>
          <w:tcPr>
            <w:tcW w:w="7907" w:type="dxa"/>
            <w:gridSpan w:val="3"/>
            <w:vAlign w:val="center"/>
          </w:tcPr>
          <w:p w14:paraId="374A0E7A">
            <w:pPr>
              <w:jc w:val="center"/>
              <w:rPr>
                <w:sz w:val="24"/>
              </w:rPr>
            </w:pPr>
            <w:r>
              <w:rPr>
                <w:sz w:val="24"/>
              </w:rPr>
              <w:t>（</w:t>
            </w:r>
            <w:r>
              <w:rPr>
                <w:rFonts w:hint="eastAsia"/>
                <w:sz w:val="24"/>
              </w:rPr>
              <w:t xml:space="preserve"> </w:t>
            </w:r>
            <w:r>
              <w:rPr>
                <w:rFonts w:hint="eastAsia"/>
                <w:sz w:val="24"/>
                <w:u w:val="single"/>
              </w:rPr>
              <w:t xml:space="preserve">112 </w:t>
            </w:r>
            <w:r>
              <w:rPr>
                <w:sz w:val="24"/>
              </w:rPr>
              <w:t>度</w:t>
            </w:r>
            <w:r>
              <w:rPr>
                <w:sz w:val="24"/>
                <w:u w:val="single"/>
              </w:rPr>
              <w:t xml:space="preserve"> </w:t>
            </w:r>
            <w:r>
              <w:rPr>
                <w:rFonts w:hint="eastAsia"/>
                <w:sz w:val="24"/>
                <w:u w:val="single"/>
              </w:rPr>
              <w:t>36</w:t>
            </w:r>
            <w:r>
              <w:rPr>
                <w:sz w:val="24"/>
                <w:u w:val="single"/>
              </w:rPr>
              <w:t xml:space="preserve"> </w:t>
            </w:r>
            <w:r>
              <w:rPr>
                <w:sz w:val="24"/>
              </w:rPr>
              <w:t>分</w:t>
            </w:r>
            <w:r>
              <w:rPr>
                <w:sz w:val="24"/>
                <w:u w:val="single"/>
              </w:rPr>
              <w:t xml:space="preserve"> </w:t>
            </w:r>
            <w:r>
              <w:rPr>
                <w:rFonts w:hint="eastAsia"/>
                <w:sz w:val="24"/>
                <w:u w:val="single"/>
              </w:rPr>
              <w:t>7.041</w:t>
            </w:r>
            <w:r>
              <w:rPr>
                <w:sz w:val="24"/>
                <w:u w:val="single"/>
              </w:rPr>
              <w:t xml:space="preserve"> </w:t>
            </w:r>
            <w:r>
              <w:rPr>
                <w:sz w:val="24"/>
              </w:rPr>
              <w:t>秒，</w:t>
            </w:r>
            <w:r>
              <w:rPr>
                <w:sz w:val="24"/>
                <w:u w:val="single"/>
              </w:rPr>
              <w:t xml:space="preserve"> </w:t>
            </w:r>
            <w:r>
              <w:rPr>
                <w:rFonts w:hint="eastAsia"/>
                <w:sz w:val="24"/>
                <w:u w:val="single"/>
              </w:rPr>
              <w:t>27</w:t>
            </w:r>
            <w:r>
              <w:rPr>
                <w:sz w:val="24"/>
                <w:u w:val="single"/>
              </w:rPr>
              <w:t xml:space="preserve"> </w:t>
            </w:r>
            <w:r>
              <w:rPr>
                <w:sz w:val="24"/>
              </w:rPr>
              <w:t>度</w:t>
            </w:r>
            <w:r>
              <w:rPr>
                <w:sz w:val="24"/>
                <w:u w:val="single"/>
              </w:rPr>
              <w:t xml:space="preserve"> </w:t>
            </w:r>
            <w:r>
              <w:rPr>
                <w:rFonts w:hint="eastAsia"/>
                <w:sz w:val="24"/>
                <w:u w:val="single"/>
              </w:rPr>
              <w:t xml:space="preserve">23 </w:t>
            </w:r>
            <w:r>
              <w:rPr>
                <w:sz w:val="24"/>
              </w:rPr>
              <w:t>分</w:t>
            </w:r>
            <w:r>
              <w:rPr>
                <w:sz w:val="24"/>
                <w:u w:val="single"/>
              </w:rPr>
              <w:t xml:space="preserve"> </w:t>
            </w:r>
            <w:r>
              <w:rPr>
                <w:rFonts w:hint="eastAsia"/>
                <w:sz w:val="24"/>
                <w:u w:val="single"/>
              </w:rPr>
              <w:t xml:space="preserve">29.286 </w:t>
            </w:r>
            <w:r>
              <w:rPr>
                <w:sz w:val="24"/>
              </w:rPr>
              <w:t>秒）</w:t>
            </w:r>
          </w:p>
        </w:tc>
      </w:tr>
      <w:tr w14:paraId="216C6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5424A92E">
            <w:pPr>
              <w:adjustRightInd w:val="0"/>
              <w:snapToGrid w:val="0"/>
              <w:jc w:val="center"/>
              <w:rPr>
                <w:b/>
                <w:sz w:val="24"/>
              </w:rPr>
            </w:pPr>
            <w:r>
              <w:rPr>
                <w:b/>
                <w:sz w:val="24"/>
              </w:rPr>
              <w:t>国民经济</w:t>
            </w:r>
          </w:p>
          <w:p w14:paraId="6422F9BE">
            <w:pPr>
              <w:adjustRightInd w:val="0"/>
              <w:snapToGrid w:val="0"/>
              <w:jc w:val="center"/>
              <w:rPr>
                <w:b/>
                <w:sz w:val="24"/>
              </w:rPr>
            </w:pPr>
            <w:r>
              <w:rPr>
                <w:b/>
                <w:sz w:val="24"/>
              </w:rPr>
              <w:t>行业类别</w:t>
            </w:r>
          </w:p>
        </w:tc>
        <w:tc>
          <w:tcPr>
            <w:tcW w:w="2325" w:type="dxa"/>
            <w:vAlign w:val="center"/>
          </w:tcPr>
          <w:p w14:paraId="3EE7BBC3">
            <w:pPr>
              <w:adjustRightInd w:val="0"/>
              <w:snapToGrid w:val="0"/>
              <w:jc w:val="center"/>
              <w:rPr>
                <w:sz w:val="24"/>
              </w:rPr>
            </w:pPr>
            <w:r>
              <w:rPr>
                <w:rFonts w:hint="eastAsia"/>
                <w:sz w:val="24"/>
              </w:rPr>
              <w:t>A0514</w:t>
            </w:r>
            <w:bookmarkStart w:id="9" w:name="OLE_LINK3"/>
            <w:r>
              <w:rPr>
                <w:rFonts w:hint="eastAsia"/>
                <w:sz w:val="24"/>
              </w:rPr>
              <w:t>农产品初加工服务</w:t>
            </w:r>
            <w:bookmarkEnd w:id="9"/>
            <w:r>
              <w:rPr>
                <w:rFonts w:hint="eastAsia"/>
                <w:sz w:val="24"/>
              </w:rPr>
              <w:t>、C5951谷物仓储、D4430热力生产和供应</w:t>
            </w:r>
          </w:p>
        </w:tc>
        <w:tc>
          <w:tcPr>
            <w:tcW w:w="2544" w:type="dxa"/>
            <w:vAlign w:val="center"/>
          </w:tcPr>
          <w:p w14:paraId="75406552">
            <w:pPr>
              <w:adjustRightInd w:val="0"/>
              <w:snapToGrid w:val="0"/>
              <w:jc w:val="center"/>
              <w:rPr>
                <w:b/>
                <w:sz w:val="24"/>
              </w:rPr>
            </w:pPr>
            <w:bookmarkStart w:id="10" w:name="_Hlk49843745"/>
            <w:r>
              <w:rPr>
                <w:b/>
                <w:sz w:val="24"/>
              </w:rPr>
              <w:t>建设项目</w:t>
            </w:r>
          </w:p>
          <w:p w14:paraId="3FAC6056">
            <w:pPr>
              <w:adjustRightInd w:val="0"/>
              <w:snapToGrid w:val="0"/>
              <w:jc w:val="center"/>
              <w:rPr>
                <w:b/>
                <w:sz w:val="24"/>
              </w:rPr>
            </w:pPr>
            <w:r>
              <w:rPr>
                <w:b/>
                <w:sz w:val="24"/>
              </w:rPr>
              <w:t>行业类别</w:t>
            </w:r>
            <w:bookmarkEnd w:id="10"/>
          </w:p>
        </w:tc>
        <w:tc>
          <w:tcPr>
            <w:tcW w:w="3038" w:type="dxa"/>
            <w:vAlign w:val="center"/>
          </w:tcPr>
          <w:p w14:paraId="6F4412D1">
            <w:pPr>
              <w:adjustRightInd w:val="0"/>
              <w:snapToGrid w:val="0"/>
              <w:jc w:val="center"/>
              <w:rPr>
                <w:sz w:val="24"/>
              </w:rPr>
            </w:pPr>
            <w:r>
              <w:rPr>
                <w:rFonts w:hint="eastAsia"/>
                <w:sz w:val="24"/>
              </w:rPr>
              <w:t>四十一、电力、热力生产和供应业 91 热力生产和供应工程（包括建设单位自建自用的供热工程）</w:t>
            </w:r>
          </w:p>
        </w:tc>
      </w:tr>
      <w:tr w14:paraId="7032F7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E43FDBD">
            <w:pPr>
              <w:adjustRightInd w:val="0"/>
              <w:snapToGrid w:val="0"/>
              <w:jc w:val="center"/>
              <w:rPr>
                <w:b/>
                <w:sz w:val="24"/>
              </w:rPr>
            </w:pPr>
            <w:r>
              <w:rPr>
                <w:b/>
                <w:sz w:val="24"/>
              </w:rPr>
              <w:t>建设性质</w:t>
            </w:r>
          </w:p>
        </w:tc>
        <w:tc>
          <w:tcPr>
            <w:tcW w:w="2325" w:type="dxa"/>
            <w:vAlign w:val="center"/>
          </w:tcPr>
          <w:p w14:paraId="2BCE81ED">
            <w:pPr>
              <w:jc w:val="left"/>
              <w:rPr>
                <w:rFonts w:ascii="宋体" w:hAnsi="宋体"/>
                <w:sz w:val="24"/>
              </w:rPr>
            </w:pPr>
            <w:r>
              <w:rPr>
                <w:rFonts w:ascii="宋体" w:hAnsi="宋体"/>
                <w:sz w:val="24"/>
              </w:rPr>
              <w:t>□新建（迁建）</w:t>
            </w:r>
          </w:p>
          <w:p w14:paraId="4025D338">
            <w:pPr>
              <w:jc w:val="left"/>
              <w:rPr>
                <w:rFonts w:ascii="宋体" w:hAnsi="宋体"/>
                <w:sz w:val="24"/>
              </w:rPr>
            </w:pPr>
            <w:r>
              <w:rPr>
                <w:rFonts w:hint="eastAsia" w:ascii="宋体" w:hAnsi="宋体" w:cs="宋体"/>
                <w:sz w:val="24"/>
              </w:rPr>
              <w:sym w:font="Wingdings 2" w:char="0052"/>
            </w:r>
            <w:r>
              <w:rPr>
                <w:rFonts w:ascii="宋体" w:hAnsi="宋体"/>
                <w:sz w:val="24"/>
              </w:rPr>
              <w:t>改建</w:t>
            </w:r>
          </w:p>
          <w:p w14:paraId="1294956F">
            <w:pPr>
              <w:jc w:val="left"/>
              <w:rPr>
                <w:rFonts w:ascii="宋体" w:hAnsi="宋体"/>
                <w:sz w:val="24"/>
              </w:rPr>
            </w:pPr>
            <w:r>
              <w:rPr>
                <w:rFonts w:hint="eastAsia" w:ascii="宋体" w:hAnsi="宋体" w:cs="宋体"/>
                <w:sz w:val="24"/>
              </w:rPr>
              <w:sym w:font="Wingdings 2" w:char="0052"/>
            </w:r>
            <w:r>
              <w:rPr>
                <w:rFonts w:ascii="宋体" w:hAnsi="宋体"/>
                <w:sz w:val="24"/>
              </w:rPr>
              <w:t>扩建</w:t>
            </w:r>
          </w:p>
          <w:p w14:paraId="64A42C9B">
            <w:pPr>
              <w:jc w:val="left"/>
              <w:rPr>
                <w:rFonts w:ascii="宋体" w:hAnsi="宋体"/>
                <w:sz w:val="24"/>
              </w:rPr>
            </w:pPr>
            <w:r>
              <w:rPr>
                <w:rFonts w:ascii="宋体" w:hAnsi="宋体"/>
                <w:sz w:val="24"/>
              </w:rPr>
              <w:t>□技术改造</w:t>
            </w:r>
          </w:p>
        </w:tc>
        <w:tc>
          <w:tcPr>
            <w:tcW w:w="2544" w:type="dxa"/>
            <w:vAlign w:val="center"/>
          </w:tcPr>
          <w:p w14:paraId="4CE2BDC4">
            <w:pPr>
              <w:adjustRightInd w:val="0"/>
              <w:snapToGrid w:val="0"/>
              <w:jc w:val="center"/>
              <w:rPr>
                <w:rFonts w:ascii="宋体" w:hAnsi="宋体"/>
                <w:b/>
                <w:sz w:val="24"/>
              </w:rPr>
            </w:pPr>
            <w:r>
              <w:rPr>
                <w:rFonts w:ascii="宋体" w:hAnsi="宋体"/>
                <w:b/>
                <w:sz w:val="24"/>
              </w:rPr>
              <w:t>建设项目</w:t>
            </w:r>
          </w:p>
          <w:p w14:paraId="5F96B175">
            <w:pPr>
              <w:adjustRightInd w:val="0"/>
              <w:snapToGrid w:val="0"/>
              <w:jc w:val="center"/>
              <w:rPr>
                <w:rFonts w:ascii="宋体" w:hAnsi="宋体"/>
                <w:b/>
                <w:sz w:val="24"/>
              </w:rPr>
            </w:pPr>
            <w:r>
              <w:rPr>
                <w:rFonts w:ascii="宋体" w:hAnsi="宋体"/>
                <w:b/>
                <w:sz w:val="24"/>
              </w:rPr>
              <w:t>申报情形</w:t>
            </w:r>
          </w:p>
        </w:tc>
        <w:tc>
          <w:tcPr>
            <w:tcW w:w="3038" w:type="dxa"/>
            <w:vAlign w:val="center"/>
          </w:tcPr>
          <w:p w14:paraId="448703B1">
            <w:pPr>
              <w:jc w:val="left"/>
              <w:rPr>
                <w:rFonts w:ascii="宋体" w:hAnsi="宋体"/>
                <w:sz w:val="24"/>
              </w:rPr>
            </w:pPr>
            <w:r>
              <w:rPr>
                <w:rFonts w:hint="eastAsia" w:ascii="宋体" w:hAnsi="宋体" w:cs="宋体"/>
                <w:sz w:val="24"/>
              </w:rPr>
              <w:sym w:font="Wingdings 2" w:char="0052"/>
            </w:r>
            <w:r>
              <w:rPr>
                <w:rFonts w:ascii="宋体" w:hAnsi="宋体"/>
                <w:sz w:val="24"/>
              </w:rPr>
              <w:t xml:space="preserve">首次申报项目             </w:t>
            </w:r>
          </w:p>
          <w:p w14:paraId="00E29456">
            <w:pPr>
              <w:jc w:val="left"/>
              <w:rPr>
                <w:rFonts w:ascii="宋体" w:hAnsi="宋体"/>
                <w:sz w:val="24"/>
              </w:rPr>
            </w:pPr>
            <w:r>
              <w:rPr>
                <w:rFonts w:ascii="宋体" w:hAnsi="宋体"/>
                <w:sz w:val="24"/>
              </w:rPr>
              <w:t>□不予批准后再次申报项目</w:t>
            </w:r>
          </w:p>
          <w:p w14:paraId="56EDA99D">
            <w:pPr>
              <w:jc w:val="left"/>
              <w:rPr>
                <w:rFonts w:ascii="宋体" w:hAnsi="宋体"/>
                <w:sz w:val="24"/>
              </w:rPr>
            </w:pPr>
            <w:r>
              <w:rPr>
                <w:rFonts w:ascii="宋体" w:hAnsi="宋体"/>
                <w:sz w:val="24"/>
              </w:rPr>
              <w:sym w:font="Wingdings 2" w:char="00A3"/>
            </w:r>
            <w:r>
              <w:rPr>
                <w:rFonts w:ascii="宋体" w:hAnsi="宋体"/>
                <w:sz w:val="24"/>
              </w:rPr>
              <w:t xml:space="preserve">超五年重新审核项目     </w:t>
            </w:r>
          </w:p>
          <w:p w14:paraId="3A61E731">
            <w:pPr>
              <w:jc w:val="left"/>
              <w:rPr>
                <w:rFonts w:ascii="宋体" w:hAnsi="宋体"/>
                <w:sz w:val="24"/>
              </w:rPr>
            </w:pPr>
            <w:r>
              <w:rPr>
                <w:rFonts w:ascii="宋体" w:hAnsi="宋体"/>
                <w:sz w:val="24"/>
              </w:rPr>
              <w:t>□重大变动重新报批项目</w:t>
            </w:r>
          </w:p>
        </w:tc>
      </w:tr>
      <w:tr w14:paraId="6B8E2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306BFC89">
            <w:pPr>
              <w:adjustRightInd w:val="0"/>
              <w:snapToGrid w:val="0"/>
              <w:jc w:val="center"/>
              <w:rPr>
                <w:b/>
                <w:sz w:val="24"/>
              </w:rPr>
            </w:pPr>
            <w:r>
              <w:rPr>
                <w:b/>
                <w:sz w:val="24"/>
              </w:rPr>
              <w:t>项目审批（核准/</w:t>
            </w:r>
          </w:p>
          <w:p w14:paraId="3CE5592A">
            <w:pPr>
              <w:adjustRightInd w:val="0"/>
              <w:snapToGrid w:val="0"/>
              <w:jc w:val="center"/>
              <w:rPr>
                <w:b/>
                <w:sz w:val="24"/>
              </w:rPr>
            </w:pPr>
            <w:r>
              <w:rPr>
                <w:b/>
                <w:sz w:val="24"/>
              </w:rPr>
              <w:t>备案）部门（选填）</w:t>
            </w:r>
          </w:p>
        </w:tc>
        <w:tc>
          <w:tcPr>
            <w:tcW w:w="2325" w:type="dxa"/>
            <w:vAlign w:val="center"/>
          </w:tcPr>
          <w:p w14:paraId="46BF8428">
            <w:pPr>
              <w:adjustRightInd w:val="0"/>
              <w:snapToGrid w:val="0"/>
              <w:jc w:val="center"/>
              <w:rPr>
                <w:sz w:val="24"/>
              </w:rPr>
            </w:pPr>
            <w:r>
              <w:rPr>
                <w:rFonts w:hint="eastAsia"/>
                <w:sz w:val="24"/>
              </w:rPr>
              <w:t>衡山县发展和改革局</w:t>
            </w:r>
          </w:p>
        </w:tc>
        <w:tc>
          <w:tcPr>
            <w:tcW w:w="2544" w:type="dxa"/>
            <w:vAlign w:val="center"/>
          </w:tcPr>
          <w:p w14:paraId="5E837E4F">
            <w:pPr>
              <w:adjustRightInd w:val="0"/>
              <w:snapToGrid w:val="0"/>
              <w:jc w:val="center"/>
              <w:rPr>
                <w:b/>
                <w:sz w:val="24"/>
              </w:rPr>
            </w:pPr>
            <w:r>
              <w:rPr>
                <w:b/>
                <w:sz w:val="24"/>
              </w:rPr>
              <w:t>项目审批（核准/</w:t>
            </w:r>
          </w:p>
          <w:p w14:paraId="14407C5E">
            <w:pPr>
              <w:adjustRightInd w:val="0"/>
              <w:snapToGrid w:val="0"/>
              <w:jc w:val="center"/>
              <w:rPr>
                <w:b/>
                <w:sz w:val="24"/>
              </w:rPr>
            </w:pPr>
            <w:r>
              <w:rPr>
                <w:b/>
                <w:sz w:val="24"/>
              </w:rPr>
              <w:t>备案）文号（选填）</w:t>
            </w:r>
          </w:p>
        </w:tc>
        <w:tc>
          <w:tcPr>
            <w:tcW w:w="3038" w:type="dxa"/>
            <w:vAlign w:val="center"/>
          </w:tcPr>
          <w:p w14:paraId="261AF420">
            <w:pPr>
              <w:adjustRightInd w:val="0"/>
              <w:snapToGrid w:val="0"/>
              <w:jc w:val="center"/>
              <w:rPr>
                <w:sz w:val="24"/>
              </w:rPr>
            </w:pPr>
            <w:r>
              <w:rPr>
                <w:rFonts w:hint="eastAsia"/>
                <w:sz w:val="24"/>
              </w:rPr>
              <w:t>山发改（2024）400号</w:t>
            </w:r>
          </w:p>
        </w:tc>
      </w:tr>
      <w:tr w14:paraId="0FBB7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2166F259">
            <w:pPr>
              <w:adjustRightInd w:val="0"/>
              <w:snapToGrid w:val="0"/>
              <w:jc w:val="center"/>
              <w:rPr>
                <w:b/>
                <w:sz w:val="24"/>
              </w:rPr>
            </w:pPr>
            <w:r>
              <w:rPr>
                <w:b/>
                <w:sz w:val="24"/>
              </w:rPr>
              <w:t>总投资（万元）</w:t>
            </w:r>
          </w:p>
        </w:tc>
        <w:tc>
          <w:tcPr>
            <w:tcW w:w="2325" w:type="dxa"/>
            <w:vAlign w:val="center"/>
          </w:tcPr>
          <w:p w14:paraId="280865E6">
            <w:pPr>
              <w:adjustRightInd w:val="0"/>
              <w:snapToGrid w:val="0"/>
              <w:jc w:val="center"/>
              <w:rPr>
                <w:sz w:val="24"/>
              </w:rPr>
            </w:pPr>
            <w:r>
              <w:rPr>
                <w:rFonts w:hint="eastAsia"/>
                <w:sz w:val="24"/>
              </w:rPr>
              <w:t>8646</w:t>
            </w:r>
          </w:p>
        </w:tc>
        <w:tc>
          <w:tcPr>
            <w:tcW w:w="2544" w:type="dxa"/>
            <w:tcMar>
              <w:top w:w="16" w:type="dxa"/>
              <w:left w:w="16" w:type="dxa"/>
              <w:right w:w="16" w:type="dxa"/>
            </w:tcMar>
            <w:vAlign w:val="center"/>
          </w:tcPr>
          <w:p w14:paraId="4EA8CC28">
            <w:pPr>
              <w:adjustRightInd w:val="0"/>
              <w:snapToGrid w:val="0"/>
              <w:jc w:val="center"/>
              <w:rPr>
                <w:b/>
                <w:sz w:val="24"/>
              </w:rPr>
            </w:pPr>
            <w:r>
              <w:rPr>
                <w:b/>
                <w:sz w:val="24"/>
              </w:rPr>
              <w:t>环保投资（万元）</w:t>
            </w:r>
          </w:p>
        </w:tc>
        <w:tc>
          <w:tcPr>
            <w:tcW w:w="3038" w:type="dxa"/>
            <w:vAlign w:val="center"/>
          </w:tcPr>
          <w:p w14:paraId="00F60F67">
            <w:pPr>
              <w:adjustRightInd w:val="0"/>
              <w:snapToGrid w:val="0"/>
              <w:jc w:val="center"/>
              <w:rPr>
                <w:sz w:val="24"/>
              </w:rPr>
            </w:pPr>
            <w:r>
              <w:rPr>
                <w:rFonts w:hint="eastAsia"/>
                <w:sz w:val="24"/>
              </w:rPr>
              <w:t>200</w:t>
            </w:r>
          </w:p>
        </w:tc>
      </w:tr>
      <w:tr w14:paraId="2891D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68AC7B6B">
            <w:pPr>
              <w:adjustRightInd w:val="0"/>
              <w:snapToGrid w:val="0"/>
              <w:jc w:val="center"/>
              <w:rPr>
                <w:b/>
                <w:sz w:val="24"/>
              </w:rPr>
            </w:pPr>
            <w:r>
              <w:rPr>
                <w:b/>
                <w:sz w:val="24"/>
              </w:rPr>
              <w:t>环保投资占比（%）</w:t>
            </w:r>
          </w:p>
        </w:tc>
        <w:tc>
          <w:tcPr>
            <w:tcW w:w="2325" w:type="dxa"/>
            <w:vAlign w:val="center"/>
          </w:tcPr>
          <w:p w14:paraId="46A79337">
            <w:pPr>
              <w:adjustRightInd w:val="0"/>
              <w:snapToGrid w:val="0"/>
              <w:jc w:val="center"/>
              <w:rPr>
                <w:sz w:val="24"/>
              </w:rPr>
            </w:pPr>
            <w:r>
              <w:rPr>
                <w:rFonts w:hint="eastAsia"/>
                <w:sz w:val="24"/>
              </w:rPr>
              <w:t>2.31</w:t>
            </w:r>
          </w:p>
        </w:tc>
        <w:tc>
          <w:tcPr>
            <w:tcW w:w="2544" w:type="dxa"/>
            <w:tcMar>
              <w:top w:w="16" w:type="dxa"/>
              <w:left w:w="16" w:type="dxa"/>
              <w:right w:w="16" w:type="dxa"/>
            </w:tcMar>
            <w:vAlign w:val="center"/>
          </w:tcPr>
          <w:p w14:paraId="4EC0D74A">
            <w:pPr>
              <w:adjustRightInd w:val="0"/>
              <w:snapToGrid w:val="0"/>
              <w:jc w:val="center"/>
              <w:rPr>
                <w:b/>
                <w:sz w:val="24"/>
              </w:rPr>
            </w:pPr>
            <w:r>
              <w:rPr>
                <w:b/>
                <w:sz w:val="24"/>
              </w:rPr>
              <w:t>施工工期</w:t>
            </w:r>
          </w:p>
        </w:tc>
        <w:tc>
          <w:tcPr>
            <w:tcW w:w="3038" w:type="dxa"/>
            <w:vAlign w:val="center"/>
          </w:tcPr>
          <w:p w14:paraId="10174C96">
            <w:pPr>
              <w:adjustRightInd w:val="0"/>
              <w:snapToGrid w:val="0"/>
              <w:jc w:val="center"/>
              <w:rPr>
                <w:sz w:val="24"/>
              </w:rPr>
            </w:pPr>
            <w:r>
              <w:rPr>
                <w:rFonts w:hint="eastAsia"/>
                <w:sz w:val="24"/>
              </w:rPr>
              <w:t>2026.5</w:t>
            </w:r>
          </w:p>
        </w:tc>
      </w:tr>
      <w:tr w14:paraId="5567F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299" w:type="dxa"/>
            <w:gridSpan w:val="2"/>
            <w:tcMar>
              <w:top w:w="16" w:type="dxa"/>
              <w:left w:w="16" w:type="dxa"/>
              <w:right w:w="16" w:type="dxa"/>
            </w:tcMar>
            <w:vAlign w:val="center"/>
          </w:tcPr>
          <w:p w14:paraId="1F8F0559">
            <w:pPr>
              <w:adjustRightInd w:val="0"/>
              <w:snapToGrid w:val="0"/>
              <w:jc w:val="center"/>
              <w:rPr>
                <w:b/>
                <w:sz w:val="24"/>
              </w:rPr>
            </w:pPr>
            <w:r>
              <w:rPr>
                <w:b/>
                <w:sz w:val="24"/>
              </w:rPr>
              <w:t>是否开工建设</w:t>
            </w:r>
          </w:p>
        </w:tc>
        <w:tc>
          <w:tcPr>
            <w:tcW w:w="2325" w:type="dxa"/>
            <w:vAlign w:val="center"/>
          </w:tcPr>
          <w:p w14:paraId="30D320F5">
            <w:pPr>
              <w:adjustRightInd w:val="0"/>
              <w:snapToGrid w:val="0"/>
              <w:rPr>
                <w:sz w:val="24"/>
              </w:rPr>
            </w:pPr>
            <w:r>
              <w:rPr>
                <w:rFonts w:hint="eastAsia" w:ascii="宋体" w:hAnsi="宋体" w:cs="宋体"/>
                <w:sz w:val="24"/>
              </w:rPr>
              <w:sym w:font="Wingdings 2" w:char="0052"/>
            </w:r>
            <w:r>
              <w:rPr>
                <w:sz w:val="24"/>
              </w:rPr>
              <w:t>否</w:t>
            </w:r>
          </w:p>
          <w:p w14:paraId="696DF6E5">
            <w:pPr>
              <w:adjustRightInd w:val="0"/>
              <w:snapToGrid w:val="0"/>
              <w:jc w:val="left"/>
              <w:rPr>
                <w:sz w:val="24"/>
              </w:rPr>
            </w:pPr>
            <w:r>
              <w:rPr>
                <w:sz w:val="24"/>
              </w:rPr>
              <w:sym w:font="Wingdings 2" w:char="00A3"/>
            </w:r>
            <w:r>
              <w:rPr>
                <w:sz w:val="24"/>
              </w:rPr>
              <w:t>是：</w:t>
            </w:r>
            <w:r>
              <w:rPr>
                <w:rFonts w:hint="eastAsia"/>
                <w:sz w:val="24"/>
                <w:u w:val="single"/>
              </w:rPr>
              <w:t xml:space="preserve">        </w:t>
            </w:r>
          </w:p>
        </w:tc>
        <w:tc>
          <w:tcPr>
            <w:tcW w:w="2544" w:type="dxa"/>
            <w:tcMar>
              <w:top w:w="16" w:type="dxa"/>
              <w:left w:w="16" w:type="dxa"/>
              <w:right w:w="16" w:type="dxa"/>
            </w:tcMar>
            <w:vAlign w:val="center"/>
          </w:tcPr>
          <w:p w14:paraId="76C3C8E5">
            <w:pPr>
              <w:adjustRightInd w:val="0"/>
              <w:snapToGrid w:val="0"/>
              <w:jc w:val="center"/>
              <w:rPr>
                <w:b/>
                <w:spacing w:val="-6"/>
                <w:sz w:val="24"/>
              </w:rPr>
            </w:pPr>
            <w:r>
              <w:rPr>
                <w:b/>
                <w:spacing w:val="-6"/>
                <w:sz w:val="24"/>
              </w:rPr>
              <w:t>用地（用海）</w:t>
            </w:r>
          </w:p>
          <w:p w14:paraId="38D7C413">
            <w:pPr>
              <w:adjustRightInd w:val="0"/>
              <w:snapToGrid w:val="0"/>
              <w:jc w:val="center"/>
              <w:rPr>
                <w:b/>
                <w:sz w:val="24"/>
              </w:rPr>
            </w:pPr>
            <w:r>
              <w:rPr>
                <w:b/>
                <w:spacing w:val="-6"/>
                <w:sz w:val="24"/>
              </w:rPr>
              <w:t>面积（m</w:t>
            </w:r>
            <w:r>
              <w:rPr>
                <w:b/>
                <w:spacing w:val="-6"/>
                <w:sz w:val="24"/>
                <w:vertAlign w:val="superscript"/>
              </w:rPr>
              <w:t>2</w:t>
            </w:r>
            <w:r>
              <w:rPr>
                <w:b/>
                <w:spacing w:val="-6"/>
                <w:sz w:val="24"/>
              </w:rPr>
              <w:t>）</w:t>
            </w:r>
          </w:p>
        </w:tc>
        <w:tc>
          <w:tcPr>
            <w:tcW w:w="3038" w:type="dxa"/>
            <w:vAlign w:val="center"/>
          </w:tcPr>
          <w:p w14:paraId="2873EC73">
            <w:pPr>
              <w:adjustRightInd w:val="0"/>
              <w:snapToGrid w:val="0"/>
              <w:jc w:val="center"/>
              <w:rPr>
                <w:sz w:val="24"/>
              </w:rPr>
            </w:pPr>
            <w:r>
              <w:rPr>
                <w:rFonts w:hint="eastAsia"/>
                <w:sz w:val="24"/>
              </w:rPr>
              <w:t>/</w:t>
            </w:r>
          </w:p>
        </w:tc>
      </w:tr>
      <w:tr w14:paraId="6708C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77FC6CEF">
            <w:pPr>
              <w:autoSpaceDE w:val="0"/>
              <w:autoSpaceDN w:val="0"/>
              <w:adjustRightInd w:val="0"/>
              <w:snapToGrid w:val="0"/>
              <w:jc w:val="center"/>
              <w:rPr>
                <w:kern w:val="0"/>
                <w:sz w:val="24"/>
              </w:rPr>
            </w:pPr>
            <w:r>
              <w:rPr>
                <w:b/>
                <w:kern w:val="0"/>
                <w:sz w:val="24"/>
              </w:rPr>
              <w:t>专项评价设置情况</w:t>
            </w:r>
          </w:p>
        </w:tc>
        <w:tc>
          <w:tcPr>
            <w:tcW w:w="7907" w:type="dxa"/>
            <w:gridSpan w:val="3"/>
            <w:vAlign w:val="center"/>
          </w:tcPr>
          <w:p w14:paraId="006371FB">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根据《建设项目环境影响报告表编制技术指南（污染影响类）（试行）》以及项目排污情况、所涉环境敏感程度，确定专项评价的类别。本项目的专项评价设置情况见下表：</w:t>
            </w:r>
          </w:p>
          <w:p w14:paraId="7B376BB1">
            <w:pPr>
              <w:autoSpaceDE w:val="0"/>
              <w:autoSpaceDN w:val="0"/>
              <w:adjustRightInd w:val="0"/>
              <w:snapToGrid w:val="0"/>
              <w:spacing w:before="120" w:beforeLines="50"/>
              <w:jc w:val="center"/>
              <w:rPr>
                <w:b/>
                <w:bCs/>
              </w:rPr>
            </w:pPr>
            <w:bookmarkStart w:id="11" w:name="OLE_LINK29"/>
            <w:r>
              <w:rPr>
                <w:b/>
              </w:rPr>
              <w:t>表</w:t>
            </w:r>
            <w:r>
              <w:rPr>
                <w:rFonts w:hint="eastAsia"/>
                <w:b/>
              </w:rPr>
              <w:t xml:space="preserve">1-1  </w:t>
            </w:r>
            <w:r>
              <w:rPr>
                <w:rFonts w:hint="eastAsia"/>
                <w:b/>
                <w:bCs/>
              </w:rPr>
              <w:t>专项评价设置原则</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3268"/>
              <w:gridCol w:w="2567"/>
              <w:gridCol w:w="681"/>
            </w:tblGrid>
            <w:tr w14:paraId="214608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3E25AEE2">
                  <w:pPr>
                    <w:autoSpaceDE w:val="0"/>
                    <w:autoSpaceDN w:val="0"/>
                    <w:adjustRightInd w:val="0"/>
                    <w:snapToGrid w:val="0"/>
                    <w:jc w:val="center"/>
                    <w:rPr>
                      <w:rFonts w:eastAsiaTheme="minorEastAsia"/>
                      <w:b/>
                      <w:bCs/>
                    </w:rPr>
                  </w:pPr>
                  <w:r>
                    <w:rPr>
                      <w:rFonts w:hAnsiTheme="minorEastAsia" w:eastAsiaTheme="minorEastAsia"/>
                      <w:b/>
                      <w:bCs/>
                    </w:rPr>
                    <w:t>专项评价类别</w:t>
                  </w:r>
                </w:p>
              </w:tc>
              <w:tc>
                <w:tcPr>
                  <w:tcW w:w="2132" w:type="pct"/>
                  <w:vAlign w:val="center"/>
                </w:tcPr>
                <w:p w14:paraId="4FF9CA4C">
                  <w:pPr>
                    <w:autoSpaceDE w:val="0"/>
                    <w:autoSpaceDN w:val="0"/>
                    <w:adjustRightInd w:val="0"/>
                    <w:snapToGrid w:val="0"/>
                    <w:jc w:val="center"/>
                    <w:rPr>
                      <w:rFonts w:eastAsiaTheme="minorEastAsia"/>
                      <w:b/>
                      <w:bCs/>
                    </w:rPr>
                  </w:pPr>
                  <w:r>
                    <w:rPr>
                      <w:rFonts w:hAnsiTheme="minorEastAsia" w:eastAsiaTheme="minorEastAsia"/>
                      <w:b/>
                      <w:bCs/>
                    </w:rPr>
                    <w:t>设置原则</w:t>
                  </w:r>
                </w:p>
              </w:tc>
              <w:tc>
                <w:tcPr>
                  <w:tcW w:w="1675" w:type="pct"/>
                  <w:vAlign w:val="center"/>
                </w:tcPr>
                <w:p w14:paraId="3EC5BEFC">
                  <w:pPr>
                    <w:autoSpaceDE w:val="0"/>
                    <w:autoSpaceDN w:val="0"/>
                    <w:adjustRightInd w:val="0"/>
                    <w:snapToGrid w:val="0"/>
                    <w:jc w:val="center"/>
                    <w:rPr>
                      <w:rFonts w:eastAsiaTheme="minorEastAsia"/>
                      <w:b/>
                      <w:bCs/>
                    </w:rPr>
                  </w:pPr>
                  <w:r>
                    <w:rPr>
                      <w:rFonts w:hAnsiTheme="minorEastAsia" w:eastAsiaTheme="minorEastAsia"/>
                      <w:b/>
                      <w:bCs/>
                    </w:rPr>
                    <w:t>项目情况</w:t>
                  </w:r>
                </w:p>
              </w:tc>
              <w:tc>
                <w:tcPr>
                  <w:tcW w:w="444" w:type="pct"/>
                  <w:vAlign w:val="center"/>
                </w:tcPr>
                <w:p w14:paraId="35899B87">
                  <w:pPr>
                    <w:autoSpaceDE w:val="0"/>
                    <w:autoSpaceDN w:val="0"/>
                    <w:adjustRightInd w:val="0"/>
                    <w:snapToGrid w:val="0"/>
                    <w:jc w:val="center"/>
                    <w:rPr>
                      <w:rFonts w:eastAsiaTheme="minorEastAsia"/>
                      <w:b/>
                      <w:bCs/>
                    </w:rPr>
                  </w:pPr>
                  <w:r>
                    <w:rPr>
                      <w:rFonts w:hAnsiTheme="minorEastAsia" w:eastAsiaTheme="minorEastAsia"/>
                      <w:b/>
                      <w:bCs/>
                    </w:rPr>
                    <w:t>判定结果</w:t>
                  </w:r>
                </w:p>
              </w:tc>
            </w:tr>
            <w:tr w14:paraId="25123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26CA13B3">
                  <w:pPr>
                    <w:autoSpaceDE w:val="0"/>
                    <w:autoSpaceDN w:val="0"/>
                    <w:adjustRightInd w:val="0"/>
                    <w:snapToGrid w:val="0"/>
                    <w:jc w:val="center"/>
                    <w:rPr>
                      <w:rFonts w:eastAsiaTheme="minorEastAsia"/>
                      <w:bCs/>
                    </w:rPr>
                  </w:pPr>
                  <w:r>
                    <w:rPr>
                      <w:rFonts w:hAnsiTheme="minorEastAsia" w:eastAsiaTheme="minorEastAsia"/>
                      <w:bCs/>
                    </w:rPr>
                    <w:t>大气</w:t>
                  </w:r>
                </w:p>
              </w:tc>
              <w:tc>
                <w:tcPr>
                  <w:tcW w:w="2132" w:type="pct"/>
                  <w:vAlign w:val="center"/>
                </w:tcPr>
                <w:p w14:paraId="20D80986">
                  <w:pPr>
                    <w:autoSpaceDE w:val="0"/>
                    <w:autoSpaceDN w:val="0"/>
                    <w:adjustRightInd w:val="0"/>
                    <w:snapToGrid w:val="0"/>
                    <w:jc w:val="center"/>
                    <w:rPr>
                      <w:rFonts w:eastAsiaTheme="minorEastAsia"/>
                      <w:bCs/>
                    </w:rPr>
                  </w:pPr>
                  <w:r>
                    <w:rPr>
                      <w:rFonts w:hAnsiTheme="minorEastAsia" w:eastAsiaTheme="minorEastAsia"/>
                      <w:bCs/>
                    </w:rPr>
                    <w:t>排放废气含有毒有害污染物、二噁英、苯并</w:t>
                  </w:r>
                  <w:r>
                    <w:rPr>
                      <w:rFonts w:eastAsiaTheme="minorEastAsia"/>
                      <w:bCs/>
                    </w:rPr>
                    <w:t>[a]</w:t>
                  </w:r>
                  <w:r>
                    <w:rPr>
                      <w:rFonts w:hAnsiTheme="minorEastAsia" w:eastAsiaTheme="minorEastAsia"/>
                      <w:bCs/>
                    </w:rPr>
                    <w:t>芘、氰化物、氯气且厂界外</w:t>
                  </w:r>
                  <w:r>
                    <w:rPr>
                      <w:rFonts w:eastAsiaTheme="minorEastAsia"/>
                      <w:bCs/>
                    </w:rPr>
                    <w:t>500</w:t>
                  </w:r>
                  <w:r>
                    <w:rPr>
                      <w:rFonts w:hAnsiTheme="minorEastAsia" w:eastAsiaTheme="minorEastAsia"/>
                      <w:bCs/>
                    </w:rPr>
                    <w:t>米范围内有环境空气保护目标的建设项目</w:t>
                  </w:r>
                </w:p>
              </w:tc>
              <w:tc>
                <w:tcPr>
                  <w:tcW w:w="1675" w:type="pct"/>
                  <w:vAlign w:val="center"/>
                </w:tcPr>
                <w:p w14:paraId="26AC4EFD">
                  <w:pPr>
                    <w:autoSpaceDE w:val="0"/>
                    <w:autoSpaceDN w:val="0"/>
                    <w:adjustRightInd w:val="0"/>
                    <w:snapToGrid w:val="0"/>
                    <w:jc w:val="center"/>
                    <w:rPr>
                      <w:rFonts w:eastAsiaTheme="minorEastAsia"/>
                      <w:bCs/>
                    </w:rPr>
                  </w:pPr>
                  <w:r>
                    <w:rPr>
                      <w:rFonts w:hAnsiTheme="minorEastAsia" w:eastAsiaTheme="minorEastAsia"/>
                      <w:bCs/>
                    </w:rPr>
                    <w:t>排放的大气污染物不含有毒有害污染物、二噁英、苯并</w:t>
                  </w:r>
                  <w:r>
                    <w:rPr>
                      <w:rFonts w:eastAsiaTheme="minorEastAsia"/>
                      <w:bCs/>
                    </w:rPr>
                    <w:t>[a]</w:t>
                  </w:r>
                  <w:r>
                    <w:rPr>
                      <w:rFonts w:hAnsiTheme="minorEastAsia" w:eastAsiaTheme="minorEastAsia"/>
                      <w:bCs/>
                    </w:rPr>
                    <w:t>芘、氰化物、氯气等物质</w:t>
                  </w:r>
                </w:p>
              </w:tc>
              <w:tc>
                <w:tcPr>
                  <w:tcW w:w="444" w:type="pct"/>
                  <w:vAlign w:val="center"/>
                </w:tcPr>
                <w:p w14:paraId="35958A9F">
                  <w:pPr>
                    <w:autoSpaceDE w:val="0"/>
                    <w:autoSpaceDN w:val="0"/>
                    <w:adjustRightInd w:val="0"/>
                    <w:snapToGrid w:val="0"/>
                    <w:jc w:val="center"/>
                    <w:rPr>
                      <w:rFonts w:eastAsiaTheme="minorEastAsia"/>
                      <w:bCs/>
                    </w:rPr>
                  </w:pPr>
                  <w:r>
                    <w:rPr>
                      <w:rFonts w:hAnsiTheme="minorEastAsia" w:eastAsiaTheme="minorEastAsia"/>
                      <w:bCs/>
                    </w:rPr>
                    <w:t>无需设置</w:t>
                  </w:r>
                </w:p>
              </w:tc>
            </w:tr>
            <w:tr w14:paraId="47E05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335BA25B">
                  <w:pPr>
                    <w:autoSpaceDE w:val="0"/>
                    <w:autoSpaceDN w:val="0"/>
                    <w:adjustRightInd w:val="0"/>
                    <w:snapToGrid w:val="0"/>
                    <w:jc w:val="center"/>
                    <w:rPr>
                      <w:rFonts w:eastAsiaTheme="minorEastAsia"/>
                      <w:bCs/>
                    </w:rPr>
                  </w:pPr>
                  <w:r>
                    <w:rPr>
                      <w:rFonts w:hAnsiTheme="minorEastAsia" w:eastAsiaTheme="minorEastAsia"/>
                      <w:bCs/>
                    </w:rPr>
                    <w:t>地表水</w:t>
                  </w:r>
                </w:p>
              </w:tc>
              <w:tc>
                <w:tcPr>
                  <w:tcW w:w="2132" w:type="pct"/>
                  <w:vAlign w:val="center"/>
                </w:tcPr>
                <w:p w14:paraId="57CAD2A4">
                  <w:pPr>
                    <w:autoSpaceDE w:val="0"/>
                    <w:autoSpaceDN w:val="0"/>
                    <w:adjustRightInd w:val="0"/>
                    <w:snapToGrid w:val="0"/>
                    <w:jc w:val="center"/>
                    <w:rPr>
                      <w:rFonts w:eastAsiaTheme="minorEastAsia"/>
                      <w:bCs/>
                    </w:rPr>
                  </w:pPr>
                  <w:r>
                    <w:rPr>
                      <w:rFonts w:hAnsiTheme="minorEastAsia" w:eastAsiaTheme="minorEastAsia"/>
                      <w:bCs/>
                    </w:rPr>
                    <w:t>新增工业废水直接排放建设项目（槽罐车外送至污水处理厂的除外）；新增废水直排的污水集中处理厂</w:t>
                  </w:r>
                </w:p>
              </w:tc>
              <w:tc>
                <w:tcPr>
                  <w:tcW w:w="1675" w:type="pct"/>
                  <w:vAlign w:val="center"/>
                </w:tcPr>
                <w:p w14:paraId="71BAD1F1">
                  <w:pPr>
                    <w:autoSpaceDE w:val="0"/>
                    <w:autoSpaceDN w:val="0"/>
                    <w:adjustRightInd w:val="0"/>
                    <w:snapToGrid w:val="0"/>
                    <w:jc w:val="center"/>
                    <w:rPr>
                      <w:rFonts w:eastAsiaTheme="minorEastAsia"/>
                      <w:bCs/>
                    </w:rPr>
                  </w:pPr>
                  <w:r>
                    <w:rPr>
                      <w:rFonts w:hAnsiTheme="minorEastAsia" w:eastAsiaTheme="minorEastAsia"/>
                      <w:bCs/>
                    </w:rPr>
                    <w:t>不涉及工业废水直接排放</w:t>
                  </w:r>
                </w:p>
              </w:tc>
              <w:tc>
                <w:tcPr>
                  <w:tcW w:w="444" w:type="pct"/>
                  <w:vAlign w:val="center"/>
                </w:tcPr>
                <w:p w14:paraId="457EF593">
                  <w:pPr>
                    <w:autoSpaceDE w:val="0"/>
                    <w:autoSpaceDN w:val="0"/>
                    <w:adjustRightInd w:val="0"/>
                    <w:snapToGrid w:val="0"/>
                    <w:jc w:val="center"/>
                    <w:rPr>
                      <w:rFonts w:eastAsiaTheme="minorEastAsia"/>
                      <w:bCs/>
                    </w:rPr>
                  </w:pPr>
                  <w:r>
                    <w:rPr>
                      <w:rFonts w:hAnsiTheme="minorEastAsia" w:eastAsiaTheme="minorEastAsia"/>
                      <w:bCs/>
                    </w:rPr>
                    <w:t>无需设置</w:t>
                  </w:r>
                </w:p>
              </w:tc>
            </w:tr>
            <w:tr w14:paraId="41A75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246B2E25">
                  <w:pPr>
                    <w:autoSpaceDE w:val="0"/>
                    <w:autoSpaceDN w:val="0"/>
                    <w:adjustRightInd w:val="0"/>
                    <w:snapToGrid w:val="0"/>
                    <w:jc w:val="center"/>
                    <w:rPr>
                      <w:rFonts w:eastAsiaTheme="minorEastAsia"/>
                      <w:bCs/>
                    </w:rPr>
                  </w:pPr>
                  <w:r>
                    <w:rPr>
                      <w:rFonts w:hAnsiTheme="minorEastAsia" w:eastAsiaTheme="minorEastAsia"/>
                      <w:bCs/>
                    </w:rPr>
                    <w:t>环境风险</w:t>
                  </w:r>
                </w:p>
              </w:tc>
              <w:tc>
                <w:tcPr>
                  <w:tcW w:w="2132" w:type="pct"/>
                  <w:vAlign w:val="center"/>
                </w:tcPr>
                <w:p w14:paraId="1EE792A8">
                  <w:pPr>
                    <w:autoSpaceDE w:val="0"/>
                    <w:autoSpaceDN w:val="0"/>
                    <w:adjustRightInd w:val="0"/>
                    <w:snapToGrid w:val="0"/>
                    <w:jc w:val="center"/>
                    <w:rPr>
                      <w:rFonts w:eastAsiaTheme="minorEastAsia"/>
                      <w:bCs/>
                    </w:rPr>
                  </w:pPr>
                  <w:r>
                    <w:rPr>
                      <w:rFonts w:hAnsiTheme="minorEastAsia" w:eastAsiaTheme="minorEastAsia"/>
                      <w:bCs/>
                    </w:rPr>
                    <w:t>有毒有害和易燃易爆危险物质存储量超过临界量的建设项目</w:t>
                  </w:r>
                </w:p>
              </w:tc>
              <w:tc>
                <w:tcPr>
                  <w:tcW w:w="1675" w:type="pct"/>
                  <w:vAlign w:val="center"/>
                </w:tcPr>
                <w:p w14:paraId="51826B63">
                  <w:pPr>
                    <w:autoSpaceDE w:val="0"/>
                    <w:autoSpaceDN w:val="0"/>
                    <w:adjustRightInd w:val="0"/>
                    <w:snapToGrid w:val="0"/>
                    <w:jc w:val="center"/>
                    <w:rPr>
                      <w:rFonts w:eastAsiaTheme="minorEastAsia"/>
                      <w:bCs/>
                    </w:rPr>
                  </w:pPr>
                  <w:r>
                    <w:rPr>
                      <w:rFonts w:hAnsiTheme="minorEastAsia" w:eastAsiaTheme="minorEastAsia"/>
                      <w:bCs/>
                    </w:rPr>
                    <w:t>危险物质存储量未超过临界量</w:t>
                  </w:r>
                </w:p>
              </w:tc>
              <w:tc>
                <w:tcPr>
                  <w:tcW w:w="444" w:type="pct"/>
                  <w:vAlign w:val="center"/>
                </w:tcPr>
                <w:p w14:paraId="7349D54C">
                  <w:pPr>
                    <w:autoSpaceDE w:val="0"/>
                    <w:autoSpaceDN w:val="0"/>
                    <w:adjustRightInd w:val="0"/>
                    <w:snapToGrid w:val="0"/>
                    <w:jc w:val="center"/>
                    <w:rPr>
                      <w:rFonts w:eastAsiaTheme="minorEastAsia"/>
                      <w:bCs/>
                    </w:rPr>
                  </w:pPr>
                  <w:r>
                    <w:rPr>
                      <w:rFonts w:hAnsiTheme="minorEastAsia" w:eastAsiaTheme="minorEastAsia"/>
                      <w:bCs/>
                    </w:rPr>
                    <w:t>无需设置</w:t>
                  </w:r>
                </w:p>
              </w:tc>
            </w:tr>
            <w:tr w14:paraId="5C7B27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694AA593">
                  <w:pPr>
                    <w:autoSpaceDE w:val="0"/>
                    <w:autoSpaceDN w:val="0"/>
                    <w:adjustRightInd w:val="0"/>
                    <w:snapToGrid w:val="0"/>
                    <w:jc w:val="center"/>
                    <w:rPr>
                      <w:rFonts w:eastAsiaTheme="minorEastAsia"/>
                      <w:bCs/>
                    </w:rPr>
                  </w:pPr>
                  <w:r>
                    <w:rPr>
                      <w:rFonts w:hAnsiTheme="minorEastAsia" w:eastAsiaTheme="minorEastAsia"/>
                      <w:bCs/>
                    </w:rPr>
                    <w:t>生态</w:t>
                  </w:r>
                </w:p>
              </w:tc>
              <w:tc>
                <w:tcPr>
                  <w:tcW w:w="2132" w:type="pct"/>
                  <w:vAlign w:val="center"/>
                </w:tcPr>
                <w:p w14:paraId="15233259">
                  <w:pPr>
                    <w:autoSpaceDE w:val="0"/>
                    <w:autoSpaceDN w:val="0"/>
                    <w:adjustRightInd w:val="0"/>
                    <w:snapToGrid w:val="0"/>
                    <w:jc w:val="center"/>
                    <w:rPr>
                      <w:rFonts w:eastAsiaTheme="minorEastAsia"/>
                      <w:bCs/>
                    </w:rPr>
                  </w:pPr>
                  <w:r>
                    <w:rPr>
                      <w:rFonts w:hAnsiTheme="minorEastAsia" w:eastAsiaTheme="minorEastAsia"/>
                      <w:bCs/>
                    </w:rPr>
                    <w:t>取水口下游</w:t>
                  </w:r>
                  <w:r>
                    <w:rPr>
                      <w:rFonts w:eastAsiaTheme="minorEastAsia"/>
                      <w:bCs/>
                    </w:rPr>
                    <w:t>500</w:t>
                  </w:r>
                  <w:r>
                    <w:rPr>
                      <w:rFonts w:hAnsiTheme="minorEastAsia" w:eastAsiaTheme="minorEastAsia"/>
                      <w:bCs/>
                    </w:rPr>
                    <w:t>米范围内有重要水生生物的自然产卵场、索饵场、越冬场和洄游通道的新增河道取水的污染类建设项目</w:t>
                  </w:r>
                </w:p>
              </w:tc>
              <w:tc>
                <w:tcPr>
                  <w:tcW w:w="1675" w:type="pct"/>
                  <w:vAlign w:val="center"/>
                </w:tcPr>
                <w:p w14:paraId="68A2A491">
                  <w:pPr>
                    <w:autoSpaceDE w:val="0"/>
                    <w:autoSpaceDN w:val="0"/>
                    <w:adjustRightInd w:val="0"/>
                    <w:snapToGrid w:val="0"/>
                    <w:jc w:val="center"/>
                    <w:rPr>
                      <w:rFonts w:eastAsiaTheme="minorEastAsia"/>
                      <w:bCs/>
                    </w:rPr>
                  </w:pPr>
                  <w:r>
                    <w:rPr>
                      <w:rFonts w:hAnsiTheme="minorEastAsia" w:eastAsiaTheme="minorEastAsia"/>
                    </w:rPr>
                    <w:t>不涉及取水口</w:t>
                  </w:r>
                </w:p>
              </w:tc>
              <w:tc>
                <w:tcPr>
                  <w:tcW w:w="444" w:type="pct"/>
                  <w:vAlign w:val="center"/>
                </w:tcPr>
                <w:p w14:paraId="55D758E6">
                  <w:pPr>
                    <w:autoSpaceDE w:val="0"/>
                    <w:autoSpaceDN w:val="0"/>
                    <w:adjustRightInd w:val="0"/>
                    <w:snapToGrid w:val="0"/>
                    <w:jc w:val="center"/>
                    <w:rPr>
                      <w:rFonts w:eastAsiaTheme="minorEastAsia"/>
                    </w:rPr>
                  </w:pPr>
                  <w:r>
                    <w:rPr>
                      <w:rFonts w:hAnsiTheme="minorEastAsia" w:eastAsiaTheme="minorEastAsia"/>
                      <w:bCs/>
                    </w:rPr>
                    <w:t>无需设置</w:t>
                  </w:r>
                </w:p>
              </w:tc>
            </w:tr>
            <w:tr w14:paraId="29B8D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47" w:type="pct"/>
                  <w:vAlign w:val="center"/>
                </w:tcPr>
                <w:p w14:paraId="3B7D8372">
                  <w:pPr>
                    <w:autoSpaceDE w:val="0"/>
                    <w:autoSpaceDN w:val="0"/>
                    <w:adjustRightInd w:val="0"/>
                    <w:snapToGrid w:val="0"/>
                    <w:jc w:val="center"/>
                    <w:rPr>
                      <w:rFonts w:eastAsiaTheme="minorEastAsia"/>
                      <w:bCs/>
                    </w:rPr>
                  </w:pPr>
                  <w:r>
                    <w:rPr>
                      <w:rFonts w:hAnsiTheme="minorEastAsia" w:eastAsiaTheme="minorEastAsia"/>
                      <w:bCs/>
                    </w:rPr>
                    <w:t>海洋</w:t>
                  </w:r>
                </w:p>
              </w:tc>
              <w:tc>
                <w:tcPr>
                  <w:tcW w:w="2132" w:type="pct"/>
                  <w:vAlign w:val="center"/>
                </w:tcPr>
                <w:p w14:paraId="7B0E3FDE">
                  <w:pPr>
                    <w:autoSpaceDE w:val="0"/>
                    <w:autoSpaceDN w:val="0"/>
                    <w:adjustRightInd w:val="0"/>
                    <w:snapToGrid w:val="0"/>
                    <w:jc w:val="center"/>
                    <w:rPr>
                      <w:rFonts w:eastAsiaTheme="minorEastAsia"/>
                      <w:bCs/>
                    </w:rPr>
                  </w:pPr>
                  <w:r>
                    <w:rPr>
                      <w:rFonts w:hAnsiTheme="minorEastAsia" w:eastAsiaTheme="minorEastAsia"/>
                      <w:bCs/>
                    </w:rPr>
                    <w:t>直接向海排放污染物的海洋工程建设项目</w:t>
                  </w:r>
                </w:p>
              </w:tc>
              <w:tc>
                <w:tcPr>
                  <w:tcW w:w="1675" w:type="pct"/>
                  <w:vAlign w:val="center"/>
                </w:tcPr>
                <w:p w14:paraId="70711216">
                  <w:pPr>
                    <w:autoSpaceDE w:val="0"/>
                    <w:autoSpaceDN w:val="0"/>
                    <w:adjustRightInd w:val="0"/>
                    <w:snapToGrid w:val="0"/>
                    <w:jc w:val="center"/>
                    <w:rPr>
                      <w:rFonts w:eastAsiaTheme="minorEastAsia"/>
                      <w:bCs/>
                    </w:rPr>
                  </w:pPr>
                  <w:r>
                    <w:rPr>
                      <w:rFonts w:hAnsiTheme="minorEastAsia" w:eastAsiaTheme="minorEastAsia"/>
                    </w:rPr>
                    <w:t>不涉及向海洋排放污染物</w:t>
                  </w:r>
                </w:p>
              </w:tc>
              <w:tc>
                <w:tcPr>
                  <w:tcW w:w="444" w:type="pct"/>
                  <w:vAlign w:val="center"/>
                </w:tcPr>
                <w:p w14:paraId="4B4FB437">
                  <w:pPr>
                    <w:autoSpaceDE w:val="0"/>
                    <w:autoSpaceDN w:val="0"/>
                    <w:adjustRightInd w:val="0"/>
                    <w:snapToGrid w:val="0"/>
                    <w:jc w:val="center"/>
                    <w:rPr>
                      <w:rFonts w:eastAsiaTheme="minorEastAsia"/>
                    </w:rPr>
                  </w:pPr>
                  <w:r>
                    <w:rPr>
                      <w:rFonts w:hAnsiTheme="minorEastAsia" w:eastAsiaTheme="minorEastAsia"/>
                      <w:bCs/>
                    </w:rPr>
                    <w:t>无需设置</w:t>
                  </w:r>
                </w:p>
              </w:tc>
            </w:tr>
            <w:bookmarkEnd w:id="11"/>
          </w:tbl>
          <w:p w14:paraId="0BF846A3">
            <w:pPr>
              <w:autoSpaceDE w:val="0"/>
              <w:autoSpaceDN w:val="0"/>
              <w:adjustRightInd w:val="0"/>
              <w:snapToGrid w:val="0"/>
              <w:spacing w:line="360" w:lineRule="auto"/>
              <w:ind w:firstLine="480" w:firstLineChars="200"/>
              <w:rPr>
                <w:rFonts w:hAnsiTheme="minorEastAsia" w:eastAsiaTheme="minorEastAsia"/>
                <w:sz w:val="24"/>
                <w:szCs w:val="22"/>
              </w:rPr>
            </w:pPr>
            <w:r>
              <w:rPr>
                <w:rFonts w:hint="eastAsia" w:hAnsiTheme="minorEastAsia" w:eastAsiaTheme="minorEastAsia"/>
                <w:sz w:val="24"/>
                <w:szCs w:val="22"/>
              </w:rPr>
              <w:t>由上表可知，本项目无需开展专项评价。</w:t>
            </w:r>
          </w:p>
        </w:tc>
      </w:tr>
      <w:tr w14:paraId="6EF29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40EC8C86">
            <w:pPr>
              <w:jc w:val="center"/>
              <w:rPr>
                <w:rFonts w:ascii="宋体" w:hAnsi="宋体" w:cs="宋体"/>
                <w:sz w:val="24"/>
              </w:rPr>
            </w:pPr>
            <w:r>
              <w:rPr>
                <w:b/>
                <w:sz w:val="24"/>
              </w:rPr>
              <w:t>规划情况</w:t>
            </w:r>
          </w:p>
        </w:tc>
        <w:tc>
          <w:tcPr>
            <w:tcW w:w="7907" w:type="dxa"/>
            <w:gridSpan w:val="3"/>
            <w:vAlign w:val="center"/>
          </w:tcPr>
          <w:p w14:paraId="61E7A38B">
            <w:pPr>
              <w:jc w:val="center"/>
              <w:rPr>
                <w:sz w:val="24"/>
              </w:rPr>
            </w:pPr>
            <w:r>
              <w:rPr>
                <w:rFonts w:hint="eastAsia"/>
                <w:sz w:val="24"/>
              </w:rPr>
              <w:t>无</w:t>
            </w:r>
          </w:p>
        </w:tc>
      </w:tr>
      <w:tr w14:paraId="01A6C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562184EF">
            <w:pPr>
              <w:autoSpaceDE w:val="0"/>
              <w:autoSpaceDN w:val="0"/>
              <w:adjustRightInd w:val="0"/>
              <w:snapToGrid w:val="0"/>
              <w:jc w:val="center"/>
              <w:rPr>
                <w:kern w:val="0"/>
                <w:sz w:val="24"/>
              </w:rPr>
            </w:pPr>
            <w:r>
              <w:rPr>
                <w:b/>
                <w:sz w:val="24"/>
              </w:rPr>
              <w:t>规划环境影响评价情况</w:t>
            </w:r>
          </w:p>
        </w:tc>
        <w:tc>
          <w:tcPr>
            <w:tcW w:w="7907" w:type="dxa"/>
            <w:gridSpan w:val="3"/>
            <w:vAlign w:val="center"/>
          </w:tcPr>
          <w:p w14:paraId="66A6ACCD">
            <w:pPr>
              <w:autoSpaceDE w:val="0"/>
              <w:autoSpaceDN w:val="0"/>
              <w:adjustRightInd w:val="0"/>
              <w:snapToGrid w:val="0"/>
              <w:spacing w:line="360" w:lineRule="auto"/>
              <w:jc w:val="center"/>
              <w:rPr>
                <w:sz w:val="24"/>
              </w:rPr>
            </w:pPr>
            <w:r>
              <w:rPr>
                <w:rFonts w:hint="eastAsia"/>
                <w:sz w:val="24"/>
              </w:rPr>
              <w:t>无</w:t>
            </w:r>
          </w:p>
        </w:tc>
      </w:tr>
      <w:tr w14:paraId="2DB87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99" w:type="dxa"/>
            <w:gridSpan w:val="2"/>
            <w:vAlign w:val="center"/>
          </w:tcPr>
          <w:p w14:paraId="222B30C4">
            <w:pPr>
              <w:autoSpaceDE w:val="0"/>
              <w:autoSpaceDN w:val="0"/>
              <w:adjustRightInd w:val="0"/>
              <w:snapToGrid w:val="0"/>
              <w:jc w:val="center"/>
              <w:rPr>
                <w:rFonts w:hAnsiTheme="minorEastAsia" w:eastAsiaTheme="minorEastAsia"/>
                <w:spacing w:val="-2"/>
                <w:sz w:val="24"/>
              </w:rPr>
            </w:pPr>
            <w:r>
              <w:rPr>
                <w:b/>
                <w:sz w:val="24"/>
              </w:rPr>
              <w:t>规划及规划环境影响评价符合性分析</w:t>
            </w:r>
          </w:p>
        </w:tc>
        <w:tc>
          <w:tcPr>
            <w:tcW w:w="7907" w:type="dxa"/>
            <w:gridSpan w:val="3"/>
            <w:vAlign w:val="center"/>
          </w:tcPr>
          <w:p w14:paraId="1CD928AB">
            <w:pPr>
              <w:autoSpaceDE w:val="0"/>
              <w:autoSpaceDN w:val="0"/>
              <w:adjustRightInd w:val="0"/>
              <w:snapToGrid w:val="0"/>
              <w:spacing w:line="360" w:lineRule="auto"/>
              <w:jc w:val="center"/>
              <w:rPr>
                <w:sz w:val="24"/>
              </w:rPr>
            </w:pPr>
            <w:r>
              <w:rPr>
                <w:rFonts w:hint="eastAsia"/>
                <w:sz w:val="24"/>
              </w:rPr>
              <w:t>无</w:t>
            </w:r>
          </w:p>
        </w:tc>
      </w:tr>
      <w:tr w14:paraId="15CAA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3" w:type="dxa"/>
            <w:vAlign w:val="center"/>
          </w:tcPr>
          <w:p w14:paraId="61B18613">
            <w:pPr>
              <w:autoSpaceDE w:val="0"/>
              <w:autoSpaceDN w:val="0"/>
              <w:adjustRightInd w:val="0"/>
              <w:snapToGrid w:val="0"/>
              <w:jc w:val="center"/>
              <w:rPr>
                <w:b/>
                <w:kern w:val="0"/>
                <w:sz w:val="24"/>
              </w:rPr>
            </w:pPr>
            <w:r>
              <w:rPr>
                <w:b/>
                <w:kern w:val="0"/>
                <w:sz w:val="24"/>
              </w:rPr>
              <w:t>其他符合性分析</w:t>
            </w:r>
          </w:p>
        </w:tc>
        <w:tc>
          <w:tcPr>
            <w:tcW w:w="9383" w:type="dxa"/>
            <w:gridSpan w:val="4"/>
            <w:vAlign w:val="center"/>
          </w:tcPr>
          <w:p w14:paraId="0364C607">
            <w:pPr>
              <w:autoSpaceDE w:val="0"/>
              <w:autoSpaceDN w:val="0"/>
              <w:adjustRightInd w:val="0"/>
              <w:snapToGrid w:val="0"/>
              <w:spacing w:line="360" w:lineRule="auto"/>
              <w:ind w:firstLine="482" w:firstLineChars="200"/>
              <w:rPr>
                <w:b/>
                <w:bCs/>
                <w:kern w:val="0"/>
                <w:sz w:val="24"/>
              </w:rPr>
            </w:pPr>
            <w:r>
              <w:rPr>
                <w:rFonts w:hint="eastAsia"/>
                <w:b/>
                <w:bCs/>
                <w:kern w:val="0"/>
                <w:sz w:val="24"/>
              </w:rPr>
              <w:t>1、</w:t>
            </w:r>
            <w:r>
              <w:rPr>
                <w:b/>
                <w:bCs/>
                <w:kern w:val="0"/>
                <w:sz w:val="24"/>
              </w:rPr>
              <w:t>产业政策合理性分析</w:t>
            </w:r>
          </w:p>
          <w:p w14:paraId="0216B423">
            <w:pPr>
              <w:pStyle w:val="52"/>
              <w:spacing w:line="360" w:lineRule="auto"/>
              <w:ind w:firstLine="480" w:firstLineChars="200"/>
              <w:rPr>
                <w:rFonts w:asciiTheme="minorEastAsia" w:hAnsiTheme="minorEastAsia" w:eastAsiaTheme="minorEastAsia"/>
                <w:color w:val="auto"/>
              </w:rPr>
            </w:pPr>
            <w:r>
              <w:rPr>
                <w:rFonts w:eastAsiaTheme="minorEastAsia"/>
                <w:color w:val="auto"/>
              </w:rPr>
              <w:t>根据</w:t>
            </w:r>
            <w:bookmarkStart w:id="12" w:name="OLE_LINK79"/>
            <w:bookmarkStart w:id="13" w:name="OLE_LINK81"/>
            <w:r>
              <w:rPr>
                <w:rFonts w:hAnsiTheme="minorEastAsia" w:eastAsiaTheme="minorEastAsia"/>
                <w:color w:val="auto"/>
              </w:rPr>
              <w:t>《产业结构调整指导目录（</w:t>
            </w:r>
            <w:r>
              <w:rPr>
                <w:rFonts w:eastAsiaTheme="minorEastAsia"/>
                <w:color w:val="auto"/>
              </w:rPr>
              <w:t>20</w:t>
            </w:r>
            <w:r>
              <w:rPr>
                <w:rFonts w:hint="eastAsia" w:eastAsiaTheme="minorEastAsia"/>
                <w:color w:val="auto"/>
              </w:rPr>
              <w:t>24</w:t>
            </w:r>
            <w:r>
              <w:rPr>
                <w:rFonts w:hAnsiTheme="minorEastAsia" w:eastAsiaTheme="minorEastAsia"/>
                <w:color w:val="auto"/>
              </w:rPr>
              <w:t>年本）》</w:t>
            </w:r>
            <w:bookmarkEnd w:id="12"/>
            <w:bookmarkEnd w:id="13"/>
            <w:r>
              <w:rPr>
                <w:rFonts w:hAnsiTheme="minorEastAsia" w:eastAsiaTheme="minorEastAsia"/>
                <w:color w:val="auto"/>
              </w:rPr>
              <w:t>，</w:t>
            </w:r>
            <w:r>
              <w:rPr>
                <w:rFonts w:hint="eastAsia" w:asciiTheme="minorEastAsia" w:hAnsiTheme="minorEastAsia" w:eastAsiaTheme="minorEastAsia"/>
                <w:color w:val="auto"/>
              </w:rPr>
              <w:t>本项目属农产品初加工以及热力生产和供应，不属于淘汰类和限制类，即属于允许类，因此，项目符合国家产业政策</w:t>
            </w:r>
            <w:r>
              <w:rPr>
                <w:rFonts w:eastAsiaTheme="minorEastAsia"/>
                <w:color w:val="auto"/>
              </w:rPr>
              <w:t>。</w:t>
            </w:r>
          </w:p>
          <w:p w14:paraId="5B24BC51">
            <w:pPr>
              <w:pStyle w:val="52"/>
              <w:spacing w:line="360" w:lineRule="auto"/>
              <w:ind w:firstLine="480" w:firstLineChars="200"/>
              <w:rPr>
                <w:rFonts w:eastAsiaTheme="minorEastAsia"/>
                <w:color w:val="auto"/>
              </w:rPr>
            </w:pPr>
            <w:r>
              <w:rPr>
                <w:rFonts w:hint="eastAsia" w:hAnsiTheme="minorEastAsia" w:eastAsiaTheme="minorEastAsia"/>
                <w:color w:val="auto"/>
              </w:rPr>
              <w:t>同时，对照工信部《高耗能落后机电设备（产品）淘汰目录》第一批、第二批、第三批、第四批，本项目所用设备不属于其中的淘汰落后设备；所用工艺也不属于《产业结构调整指导目录（2024 年本）中淘汰类落后工艺。根据《市场准入负面清单》（2020年版），项目不属于国家产业政策中限制或禁止建设类别。</w:t>
            </w:r>
          </w:p>
          <w:p w14:paraId="5DBED1BB">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2、分区管控的</w:t>
            </w:r>
            <w:r>
              <w:rPr>
                <w:b/>
                <w:bCs/>
                <w:kern w:val="0"/>
                <w:sz w:val="24"/>
              </w:rPr>
              <w:t>符合性分析</w:t>
            </w:r>
          </w:p>
          <w:p w14:paraId="0C4DB741">
            <w:pPr>
              <w:pStyle w:val="52"/>
              <w:snapToGrid/>
              <w:spacing w:line="360" w:lineRule="auto"/>
              <w:ind w:firstLine="480" w:firstLineChars="200"/>
              <w:rPr>
                <w:rFonts w:eastAsia="宋体"/>
                <w:color w:val="auto"/>
              </w:rPr>
            </w:pPr>
            <w:r>
              <w:rPr>
                <w:rFonts w:hint="eastAsia" w:eastAsia="宋体"/>
                <w:color w:val="auto"/>
              </w:rPr>
              <w:t>根据《衡阳市生态环境分区管控更新成果（2023年版）》（衡政发〔2024〕194号）》，项目位于衡山县白果镇岳北村，属于环境管控单元中的一般管控单元，管控单元编码为</w:t>
            </w:r>
            <w:r>
              <w:rPr>
                <w:rFonts w:hint="eastAsia" w:eastAsia="宋体"/>
                <w:bCs/>
                <w:color w:val="auto"/>
              </w:rPr>
              <w:t>ZH</w:t>
            </w:r>
            <w:r>
              <w:rPr>
                <w:rFonts w:hint="eastAsia" w:eastAsia="宋体"/>
                <w:color w:val="auto"/>
              </w:rPr>
              <w:t>43042330001。</w:t>
            </w:r>
          </w:p>
          <w:p w14:paraId="56D84C50">
            <w:pPr>
              <w:pStyle w:val="52"/>
              <w:snapToGrid/>
              <w:spacing w:line="360" w:lineRule="auto"/>
              <w:ind w:firstLine="480" w:firstLineChars="200"/>
              <w:rPr>
                <w:rFonts w:eastAsia="宋体"/>
                <w:color w:val="auto"/>
              </w:rPr>
            </w:pPr>
            <w:r>
              <w:rPr>
                <w:rFonts w:hint="eastAsia" w:eastAsia="宋体"/>
                <w:bCs/>
                <w:color w:val="auto"/>
              </w:rPr>
              <w:t>项目与《衡阳市生态环境准入清单》</w:t>
            </w:r>
            <w:r>
              <w:rPr>
                <w:rFonts w:hint="eastAsia" w:eastAsia="宋体"/>
                <w:color w:val="auto"/>
              </w:rPr>
              <w:t>衡山县白果镇</w:t>
            </w:r>
            <w:r>
              <w:rPr>
                <w:rFonts w:hint="eastAsia" w:eastAsia="宋体"/>
                <w:bCs/>
                <w:color w:val="auto"/>
              </w:rPr>
              <w:t>（ZH</w:t>
            </w:r>
            <w:r>
              <w:rPr>
                <w:rFonts w:hint="eastAsia" w:eastAsia="宋体"/>
                <w:color w:val="auto"/>
              </w:rPr>
              <w:t>43042330001</w:t>
            </w:r>
            <w:r>
              <w:rPr>
                <w:rFonts w:hint="eastAsia" w:eastAsia="宋体"/>
                <w:bCs/>
                <w:color w:val="auto"/>
              </w:rPr>
              <w:t>）符合性分析见下表：</w:t>
            </w:r>
          </w:p>
          <w:p w14:paraId="7CDB466B">
            <w:pPr>
              <w:pStyle w:val="13"/>
              <w:rPr>
                <w:color w:val="auto"/>
              </w:rPr>
            </w:pPr>
            <w:r>
              <w:rPr>
                <w:rFonts w:ascii="Times New Roman" w:hAnsi="Times New Roman"/>
                <w:color w:val="auto"/>
                <w:sz w:val="21"/>
              </w:rPr>
              <w:t>表</w:t>
            </w:r>
            <w:r>
              <w:rPr>
                <w:rFonts w:hint="eastAsia" w:ascii="Times New Roman" w:hAnsi="Times New Roman"/>
                <w:color w:val="auto"/>
                <w:sz w:val="21"/>
              </w:rPr>
              <w:t xml:space="preserve">1-2  </w:t>
            </w:r>
            <w:r>
              <w:rPr>
                <w:color w:val="auto"/>
                <w:sz w:val="21"/>
              </w:rPr>
              <w:t>项目与衡阳市生态环境准入清单符合性分析</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570"/>
              <w:gridCol w:w="2646"/>
              <w:gridCol w:w="883"/>
            </w:tblGrid>
            <w:tr w14:paraId="39DFD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14:paraId="3D49864A">
                  <w:pPr>
                    <w:jc w:val="center"/>
                    <w:rPr>
                      <w:rFonts w:ascii="Calibri" w:hAnsi="Calibri"/>
                      <w:b/>
                      <w:bCs/>
                      <w:szCs w:val="21"/>
                    </w:rPr>
                  </w:pPr>
                  <w:r>
                    <w:rPr>
                      <w:rFonts w:hint="eastAsia" w:ascii="Calibri" w:hAnsi="Calibri"/>
                      <w:b/>
                      <w:bCs/>
                      <w:szCs w:val="21"/>
                    </w:rPr>
                    <w:t>管控纬度</w:t>
                  </w:r>
                </w:p>
              </w:tc>
              <w:tc>
                <w:tcPr>
                  <w:tcW w:w="2501" w:type="pct"/>
                  <w:vAlign w:val="center"/>
                </w:tcPr>
                <w:p w14:paraId="72289FA4">
                  <w:pPr>
                    <w:jc w:val="center"/>
                    <w:rPr>
                      <w:rFonts w:ascii="Calibri" w:hAnsi="Calibri"/>
                      <w:b/>
                      <w:bCs/>
                      <w:szCs w:val="21"/>
                    </w:rPr>
                  </w:pPr>
                  <w:r>
                    <w:rPr>
                      <w:rFonts w:hint="eastAsia" w:ascii="Calibri" w:hAnsi="Calibri"/>
                      <w:b/>
                      <w:bCs/>
                      <w:szCs w:val="21"/>
                    </w:rPr>
                    <w:t>管控要求</w:t>
                  </w:r>
                </w:p>
              </w:tc>
              <w:tc>
                <w:tcPr>
                  <w:tcW w:w="1448" w:type="pct"/>
                  <w:vAlign w:val="center"/>
                </w:tcPr>
                <w:p w14:paraId="4C94473C">
                  <w:pPr>
                    <w:jc w:val="center"/>
                    <w:rPr>
                      <w:rFonts w:ascii="Calibri" w:hAnsi="Calibri"/>
                      <w:b/>
                      <w:bCs/>
                      <w:szCs w:val="21"/>
                    </w:rPr>
                  </w:pPr>
                  <w:r>
                    <w:rPr>
                      <w:rFonts w:hint="eastAsia" w:ascii="Calibri" w:hAnsi="Calibri"/>
                      <w:b/>
                      <w:bCs/>
                      <w:szCs w:val="21"/>
                    </w:rPr>
                    <w:t>本项目情况</w:t>
                  </w:r>
                </w:p>
              </w:tc>
              <w:tc>
                <w:tcPr>
                  <w:tcW w:w="483" w:type="pct"/>
                  <w:vAlign w:val="center"/>
                </w:tcPr>
                <w:p w14:paraId="157245AE">
                  <w:pPr>
                    <w:jc w:val="center"/>
                    <w:rPr>
                      <w:rFonts w:ascii="Calibri" w:hAnsi="Calibri"/>
                      <w:b/>
                      <w:bCs/>
                      <w:szCs w:val="21"/>
                    </w:rPr>
                  </w:pPr>
                  <w:r>
                    <w:rPr>
                      <w:rFonts w:hint="eastAsia" w:ascii="Calibri" w:hAnsi="Calibri"/>
                      <w:b/>
                      <w:bCs/>
                      <w:szCs w:val="21"/>
                    </w:rPr>
                    <w:t>相符性</w:t>
                  </w:r>
                </w:p>
              </w:tc>
            </w:tr>
            <w:tr w14:paraId="4A1F9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63CE6F73">
                  <w:pPr>
                    <w:jc w:val="center"/>
                    <w:rPr>
                      <w:rFonts w:ascii="Calibri" w:hAnsi="Calibri"/>
                      <w:szCs w:val="21"/>
                    </w:rPr>
                  </w:pPr>
                  <w:r>
                    <w:rPr>
                      <w:rFonts w:ascii="Calibri" w:hAnsi="Calibri"/>
                      <w:kern w:val="0"/>
                      <w:szCs w:val="21"/>
                    </w:rPr>
                    <w:t>空间布局约束</w:t>
                  </w:r>
                </w:p>
              </w:tc>
              <w:tc>
                <w:tcPr>
                  <w:tcW w:w="2501" w:type="pct"/>
                  <w:vAlign w:val="center"/>
                </w:tcPr>
                <w:p w14:paraId="3EEEB727">
                  <w:pPr>
                    <w:jc w:val="center"/>
                    <w:rPr>
                      <w:szCs w:val="21"/>
                    </w:rPr>
                  </w:pPr>
                  <w:r>
                    <w:rPr>
                      <w:rFonts w:hint="eastAsia"/>
                      <w:szCs w:val="21"/>
                    </w:rPr>
                    <w:t>①</w:t>
                  </w:r>
                  <w:r>
                    <w:rPr>
                      <w:rFonts w:hint="eastAsia" w:ascii="宋体" w:hAnsi="宋体" w:cs="宋体"/>
                      <w:kern w:val="0"/>
                      <w:szCs w:val="21"/>
                    </w:rPr>
                    <w:t>积极开展生态廊道建设，形成云龙山-螺头山-牛形山-紫金山等系列自然山体形成“T”字型区域大型山林生态绿廊，并与湘江有机联系。做好湘江和涓水、白龙潭水库、螺头山水库等流域崩岗治理，提高生态斑块连通水平</w:t>
                  </w:r>
                  <w:r>
                    <w:rPr>
                      <w:szCs w:val="21"/>
                    </w:rPr>
                    <w:t>；</w:t>
                  </w:r>
                </w:p>
              </w:tc>
              <w:tc>
                <w:tcPr>
                  <w:tcW w:w="1448" w:type="pct"/>
                  <w:vAlign w:val="center"/>
                </w:tcPr>
                <w:p w14:paraId="06567311">
                  <w:pPr>
                    <w:jc w:val="center"/>
                    <w:rPr>
                      <w:rFonts w:ascii="Calibri" w:hAnsi="Calibri"/>
                      <w:szCs w:val="21"/>
                    </w:rPr>
                  </w:pPr>
                  <w:r>
                    <w:rPr>
                      <w:rFonts w:hint="eastAsia"/>
                      <w:szCs w:val="21"/>
                    </w:rPr>
                    <w:t>项目地块不靠近</w:t>
                  </w:r>
                  <w:r>
                    <w:rPr>
                      <w:rFonts w:hint="eastAsia" w:ascii="宋体" w:hAnsi="宋体" w:cs="宋体"/>
                      <w:kern w:val="0"/>
                      <w:szCs w:val="21"/>
                    </w:rPr>
                    <w:t>湘江、涓水、白龙潭水库、螺头山水库区域</w:t>
                  </w:r>
                </w:p>
              </w:tc>
              <w:tc>
                <w:tcPr>
                  <w:tcW w:w="483" w:type="pct"/>
                  <w:vAlign w:val="center"/>
                </w:tcPr>
                <w:p w14:paraId="7482C02D">
                  <w:pPr>
                    <w:jc w:val="center"/>
                    <w:rPr>
                      <w:rFonts w:ascii="Calibri" w:hAnsi="Calibri"/>
                      <w:szCs w:val="21"/>
                    </w:rPr>
                  </w:pPr>
                  <w:r>
                    <w:rPr>
                      <w:rFonts w:ascii="Calibri" w:hAnsi="Calibri"/>
                      <w:szCs w:val="21"/>
                    </w:rPr>
                    <w:t>相符</w:t>
                  </w:r>
                </w:p>
              </w:tc>
            </w:tr>
            <w:tr w14:paraId="7EC0E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4BE2682E">
                  <w:pPr>
                    <w:jc w:val="center"/>
                    <w:rPr>
                      <w:rFonts w:ascii="Calibri" w:hAnsi="Calibri"/>
                      <w:kern w:val="0"/>
                      <w:szCs w:val="21"/>
                    </w:rPr>
                  </w:pPr>
                </w:p>
              </w:tc>
              <w:tc>
                <w:tcPr>
                  <w:tcW w:w="2501" w:type="pct"/>
                  <w:vAlign w:val="center"/>
                </w:tcPr>
                <w:p w14:paraId="307F26A9">
                  <w:pPr>
                    <w:jc w:val="center"/>
                    <w:rPr>
                      <w:szCs w:val="21"/>
                    </w:rPr>
                  </w:pPr>
                  <w:r>
                    <w:rPr>
                      <w:rFonts w:hint="eastAsia"/>
                      <w:szCs w:val="21"/>
                    </w:rPr>
                    <w:t>②</w:t>
                  </w:r>
                  <w:r>
                    <w:rPr>
                      <w:rFonts w:hint="eastAsia" w:ascii="宋体" w:hAnsi="宋体" w:cs="宋体"/>
                      <w:kern w:val="0"/>
                      <w:szCs w:val="21"/>
                    </w:rPr>
                    <w:t>科学划定畜禽养殖禁养区，在畜禽养殖污染防治规划编制和禁养区划定工作基础上，依法关闭或搬迁禁养区内的畜禽养殖场（小区）和养殖专业户</w:t>
                  </w:r>
                  <w:r>
                    <w:rPr>
                      <w:szCs w:val="21"/>
                    </w:rPr>
                    <w:t>。</w:t>
                  </w:r>
                </w:p>
              </w:tc>
              <w:tc>
                <w:tcPr>
                  <w:tcW w:w="1448" w:type="pct"/>
                  <w:vAlign w:val="center"/>
                </w:tcPr>
                <w:p w14:paraId="2F5C8F1A">
                  <w:pPr>
                    <w:jc w:val="center"/>
                    <w:rPr>
                      <w:rFonts w:ascii="Calibri" w:hAnsi="Calibri"/>
                      <w:szCs w:val="21"/>
                    </w:rPr>
                  </w:pPr>
                  <w:r>
                    <w:rPr>
                      <w:rFonts w:hint="eastAsia" w:ascii="Calibri" w:hAnsi="Calibri"/>
                      <w:szCs w:val="21"/>
                    </w:rPr>
                    <w:t>项目非养殖业</w:t>
                  </w:r>
                </w:p>
              </w:tc>
              <w:tc>
                <w:tcPr>
                  <w:tcW w:w="483" w:type="pct"/>
                  <w:vAlign w:val="center"/>
                </w:tcPr>
                <w:p w14:paraId="3940E9E8">
                  <w:pPr>
                    <w:jc w:val="center"/>
                    <w:rPr>
                      <w:rFonts w:ascii="Calibri" w:hAnsi="Calibri"/>
                      <w:szCs w:val="21"/>
                    </w:rPr>
                  </w:pPr>
                  <w:r>
                    <w:rPr>
                      <w:rFonts w:ascii="Calibri" w:hAnsi="Calibri"/>
                      <w:szCs w:val="21"/>
                    </w:rPr>
                    <w:t>相符</w:t>
                  </w:r>
                </w:p>
              </w:tc>
            </w:tr>
            <w:tr w14:paraId="40346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684B412A">
                  <w:pPr>
                    <w:jc w:val="center"/>
                    <w:rPr>
                      <w:rFonts w:ascii="Calibri" w:hAnsi="Calibri"/>
                      <w:szCs w:val="21"/>
                    </w:rPr>
                  </w:pPr>
                  <w:r>
                    <w:rPr>
                      <w:rFonts w:ascii="Calibri" w:hAnsi="Calibri"/>
                      <w:kern w:val="0"/>
                      <w:szCs w:val="21"/>
                    </w:rPr>
                    <w:t>污染物排放管控</w:t>
                  </w:r>
                </w:p>
              </w:tc>
              <w:tc>
                <w:tcPr>
                  <w:tcW w:w="2501" w:type="pct"/>
                  <w:vAlign w:val="center"/>
                </w:tcPr>
                <w:p w14:paraId="5A34A4AA">
                  <w:pPr>
                    <w:adjustRightInd w:val="0"/>
                    <w:jc w:val="center"/>
                    <w:rPr>
                      <w:rFonts w:ascii="Calibri" w:hAnsi="Calibri"/>
                      <w:szCs w:val="21"/>
                    </w:rPr>
                  </w:pPr>
                  <w:r>
                    <w:rPr>
                      <w:rFonts w:hint="eastAsia" w:ascii="Calibri" w:hAnsi="Calibri"/>
                      <w:szCs w:val="21"/>
                    </w:rPr>
                    <w:t>①</w:t>
                  </w:r>
                  <w:r>
                    <w:rPr>
                      <w:rFonts w:hint="eastAsia" w:ascii="宋体" w:hAnsi="宋体" w:cs="宋体"/>
                    </w:rPr>
                    <w:t>进一步完善流域城乡环境基础设施，突出抓好涓水、南河、荆陂河等重点支流保护，重点开展湘江（衡山段）县城段环境综合整治。以水质波动较大的和新增国省考断面为重点，深化“一断面一方案”攻坚</w:t>
                  </w:r>
                  <w:r>
                    <w:rPr>
                      <w:rFonts w:hint="eastAsia" w:eastAsiaTheme="minorEastAsia"/>
                      <w:szCs w:val="21"/>
                    </w:rPr>
                    <w:t>。</w:t>
                  </w:r>
                </w:p>
              </w:tc>
              <w:tc>
                <w:tcPr>
                  <w:tcW w:w="1448" w:type="pct"/>
                  <w:vAlign w:val="center"/>
                </w:tcPr>
                <w:p w14:paraId="15F81694">
                  <w:pPr>
                    <w:jc w:val="center"/>
                    <w:rPr>
                      <w:rFonts w:ascii="Calibri" w:hAnsi="Calibri"/>
                      <w:szCs w:val="21"/>
                    </w:rPr>
                  </w:pPr>
                  <w:r>
                    <w:rPr>
                      <w:szCs w:val="21"/>
                    </w:rPr>
                    <w:t>项目生活污水经化粪池处理后排入市政污水管网，纳入白果镇污水处理厂进行深度处理后排入涓水</w:t>
                  </w:r>
                  <w:r>
                    <w:rPr>
                      <w:rFonts w:hint="eastAsia"/>
                      <w:szCs w:val="21"/>
                    </w:rPr>
                    <w:t>；无生产废水产生与排放</w:t>
                  </w:r>
                </w:p>
              </w:tc>
              <w:tc>
                <w:tcPr>
                  <w:tcW w:w="483" w:type="pct"/>
                  <w:vAlign w:val="center"/>
                </w:tcPr>
                <w:p w14:paraId="0DF9780E">
                  <w:pPr>
                    <w:jc w:val="center"/>
                    <w:rPr>
                      <w:rFonts w:ascii="Calibri" w:hAnsi="Calibri"/>
                      <w:szCs w:val="21"/>
                    </w:rPr>
                  </w:pPr>
                  <w:r>
                    <w:rPr>
                      <w:rFonts w:ascii="Calibri" w:hAnsi="Calibri"/>
                      <w:szCs w:val="21"/>
                    </w:rPr>
                    <w:t>相符</w:t>
                  </w:r>
                </w:p>
              </w:tc>
            </w:tr>
            <w:tr w14:paraId="6A7C5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1CDFCF22">
                  <w:pPr>
                    <w:jc w:val="center"/>
                    <w:rPr>
                      <w:rFonts w:ascii="Calibri" w:hAnsi="Calibri"/>
                      <w:kern w:val="0"/>
                      <w:szCs w:val="21"/>
                    </w:rPr>
                  </w:pPr>
                </w:p>
              </w:tc>
              <w:tc>
                <w:tcPr>
                  <w:tcW w:w="2501" w:type="pct"/>
                  <w:vAlign w:val="center"/>
                </w:tcPr>
                <w:p w14:paraId="3D625910">
                  <w:pPr>
                    <w:adjustRightInd w:val="0"/>
                    <w:jc w:val="center"/>
                    <w:rPr>
                      <w:rFonts w:ascii="Calibri" w:hAnsi="Calibri"/>
                      <w:szCs w:val="21"/>
                    </w:rPr>
                  </w:pPr>
                  <w:r>
                    <w:rPr>
                      <w:rFonts w:hint="eastAsia" w:ascii="Calibri" w:hAnsi="Calibri"/>
                      <w:szCs w:val="21"/>
                    </w:rPr>
                    <w:t>②</w:t>
                  </w:r>
                  <w:r>
                    <w:rPr>
                      <w:rFonts w:hint="eastAsia" w:ascii="宋体" w:hAnsi="宋体" w:cs="宋体"/>
                    </w:rPr>
                    <w:t>按照国家、省清洁原料替代要求，在技术成熟领域持续推进使用</w:t>
                  </w:r>
                  <w:r>
                    <w:t>低VOCs含</w:t>
                  </w:r>
                  <w:r>
                    <w:rPr>
                      <w:rFonts w:hint="eastAsia" w:ascii="宋体" w:hAnsi="宋体" w:cs="宋体"/>
                    </w:rPr>
                    <w:t>量的原辅材料，从源头减少</w:t>
                  </w:r>
                  <w:r>
                    <w:t>VOCs产生。加强化工、印刷、电子信息等行业VOCs</w:t>
                  </w:r>
                  <w:r>
                    <w:rPr>
                      <w:rFonts w:hint="eastAsia" w:ascii="宋体" w:hAnsi="宋体" w:cs="宋体"/>
                    </w:rPr>
                    <w:t>挥发性有机物排放控制，全面执行《挥发性有机物无组织排放控制标准》。实施扬尘精细化管控，全面推行“绿色施工”，提升建筑工地扬尘污染治理水平。严管餐饮油烟和城区垃圾焚烧。加强露天烧烤的规范和整治，推广使用有油烟净化设施的炉灶，禁止露天烧烤直排。</w:t>
                  </w:r>
                  <w:bookmarkStart w:id="149" w:name="_GoBack"/>
                  <w:bookmarkEnd w:id="149"/>
                  <w:r>
                    <w:rPr>
                      <w:rFonts w:hint="eastAsia" w:ascii="宋体" w:hAnsi="宋体" w:cs="宋体"/>
                    </w:rPr>
                    <w:t>杜绝露天焚烧秸秆现象。完善秸秆收储体系，积极拓展秸秆能源化、原料化、饲料化、基料化等多元化途径利用</w:t>
                  </w:r>
                  <w:r>
                    <w:rPr>
                      <w:rFonts w:ascii="Calibri" w:hAnsi="Calibri"/>
                      <w:szCs w:val="21"/>
                    </w:rPr>
                    <w:t>。</w:t>
                  </w:r>
                </w:p>
              </w:tc>
              <w:tc>
                <w:tcPr>
                  <w:tcW w:w="1448" w:type="pct"/>
                  <w:vAlign w:val="center"/>
                </w:tcPr>
                <w:p w14:paraId="306455EC">
                  <w:pPr>
                    <w:jc w:val="center"/>
                    <w:rPr>
                      <w:rFonts w:ascii="Calibri" w:hAnsi="Calibri"/>
                      <w:szCs w:val="21"/>
                    </w:rPr>
                  </w:pPr>
                  <w:r>
                    <w:rPr>
                      <w:rFonts w:hint="eastAsia"/>
                      <w:szCs w:val="21"/>
                    </w:rPr>
                    <w:t>项目不属于高耗能、高污染行业，不涉及VOCs</w:t>
                  </w:r>
                </w:p>
              </w:tc>
              <w:tc>
                <w:tcPr>
                  <w:tcW w:w="483" w:type="pct"/>
                  <w:vAlign w:val="center"/>
                </w:tcPr>
                <w:p w14:paraId="73F939D2">
                  <w:pPr>
                    <w:jc w:val="center"/>
                    <w:rPr>
                      <w:rFonts w:ascii="Calibri" w:hAnsi="Calibri"/>
                      <w:szCs w:val="21"/>
                    </w:rPr>
                  </w:pPr>
                  <w:r>
                    <w:rPr>
                      <w:rFonts w:ascii="Calibri" w:hAnsi="Calibri"/>
                      <w:szCs w:val="21"/>
                    </w:rPr>
                    <w:t>相符</w:t>
                  </w:r>
                </w:p>
              </w:tc>
            </w:tr>
            <w:tr w14:paraId="08436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600AD12F">
                  <w:pPr>
                    <w:jc w:val="center"/>
                    <w:rPr>
                      <w:rFonts w:ascii="Calibri" w:hAnsi="Calibri"/>
                      <w:kern w:val="0"/>
                      <w:szCs w:val="21"/>
                    </w:rPr>
                  </w:pPr>
                </w:p>
              </w:tc>
              <w:tc>
                <w:tcPr>
                  <w:tcW w:w="2501" w:type="pct"/>
                  <w:vAlign w:val="center"/>
                </w:tcPr>
                <w:p w14:paraId="15EE47AF">
                  <w:pPr>
                    <w:adjustRightInd w:val="0"/>
                    <w:jc w:val="center"/>
                    <w:rPr>
                      <w:rFonts w:ascii="Calibri" w:hAnsi="Calibri"/>
                      <w:szCs w:val="21"/>
                    </w:rPr>
                  </w:pPr>
                  <w:r>
                    <w:rPr>
                      <w:rFonts w:hint="eastAsia" w:ascii="Calibri" w:hAnsi="Calibri"/>
                      <w:szCs w:val="21"/>
                    </w:rPr>
                    <w:t>③</w:t>
                  </w:r>
                  <w:r>
                    <w:rPr>
                      <w:rFonts w:hint="eastAsia" w:ascii="宋体" w:hAnsi="宋体" w:cs="宋体"/>
                    </w:rPr>
                    <w:t>鼓励固体废物资源利用园区化、规模化和产业化，实施危险废物“点对点”利用，着力解决废矿物油等危险废物的处置及综合利用问题。着力提升畜禽粪污、秸秆等农业废弃物资源化高效利用水平。建立健全建筑渣土和污染土壤的资源化利用和消纳体系。推广生活垃圾回收利用、焚烧发电、生物处理等资源化方式</w:t>
                  </w:r>
                  <w:r>
                    <w:rPr>
                      <w:rFonts w:hint="eastAsia" w:ascii="Calibri" w:hAnsi="Calibri"/>
                      <w:szCs w:val="21"/>
                    </w:rPr>
                    <w:t>。</w:t>
                  </w:r>
                </w:p>
              </w:tc>
              <w:tc>
                <w:tcPr>
                  <w:tcW w:w="1448" w:type="pct"/>
                  <w:vAlign w:val="center"/>
                </w:tcPr>
                <w:p w14:paraId="10BB0C4E">
                  <w:pPr>
                    <w:jc w:val="center"/>
                    <w:rPr>
                      <w:rFonts w:ascii="Calibri" w:hAnsi="Calibri"/>
                      <w:szCs w:val="21"/>
                    </w:rPr>
                  </w:pPr>
                  <w:r>
                    <w:rPr>
                      <w:rFonts w:hint="eastAsia"/>
                      <w:szCs w:val="21"/>
                    </w:rPr>
                    <w:t>项目产生的一般固废自行利用或委托综合利用，</w:t>
                  </w:r>
                  <w:r>
                    <w:rPr>
                      <w:szCs w:val="21"/>
                    </w:rPr>
                    <w:t>危险废物</w:t>
                  </w:r>
                  <w:r>
                    <w:rPr>
                      <w:rFonts w:hint="eastAsia"/>
                      <w:szCs w:val="21"/>
                    </w:rPr>
                    <w:t>委托有资质的单位处置，生活垃圾统一由当地市政环卫部门清运处理</w:t>
                  </w:r>
                </w:p>
              </w:tc>
              <w:tc>
                <w:tcPr>
                  <w:tcW w:w="483" w:type="pct"/>
                  <w:vAlign w:val="center"/>
                </w:tcPr>
                <w:p w14:paraId="7CC42EF8">
                  <w:pPr>
                    <w:jc w:val="center"/>
                    <w:rPr>
                      <w:rFonts w:ascii="Calibri" w:hAnsi="Calibri"/>
                      <w:szCs w:val="21"/>
                    </w:rPr>
                  </w:pPr>
                  <w:r>
                    <w:rPr>
                      <w:rFonts w:ascii="Calibri" w:hAnsi="Calibri"/>
                      <w:szCs w:val="21"/>
                    </w:rPr>
                    <w:t>相符</w:t>
                  </w:r>
                </w:p>
              </w:tc>
            </w:tr>
            <w:tr w14:paraId="585EB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4B39125A">
                  <w:pPr>
                    <w:jc w:val="center"/>
                    <w:rPr>
                      <w:rFonts w:ascii="Calibri" w:hAnsi="Calibri"/>
                      <w:szCs w:val="21"/>
                    </w:rPr>
                  </w:pPr>
                  <w:r>
                    <w:rPr>
                      <w:rFonts w:ascii="Calibri" w:hAnsi="Calibri"/>
                      <w:kern w:val="0"/>
                      <w:szCs w:val="21"/>
                    </w:rPr>
                    <w:t>环境风险防控</w:t>
                  </w:r>
                </w:p>
              </w:tc>
              <w:tc>
                <w:tcPr>
                  <w:tcW w:w="2501" w:type="pct"/>
                  <w:vAlign w:val="center"/>
                </w:tcPr>
                <w:p w14:paraId="00729933">
                  <w:pPr>
                    <w:jc w:val="center"/>
                    <w:rPr>
                      <w:rFonts w:ascii="Calibri" w:hAnsi="Calibri"/>
                      <w:szCs w:val="21"/>
                    </w:rPr>
                  </w:pPr>
                  <w:r>
                    <w:rPr>
                      <w:rFonts w:hint="eastAsia" w:eastAsiaTheme="minorEastAsia"/>
                      <w:szCs w:val="21"/>
                    </w:rPr>
                    <w:t>①</w:t>
                  </w:r>
                  <w:r>
                    <w:rPr>
                      <w:rFonts w:hint="eastAsia" w:ascii="宋体" w:hAnsi="宋体" w:cs="宋体"/>
                    </w:rPr>
                    <w:t>强化重点环境风险源管控。按照预防为主，预防与应急相结合的原则，常态化推进环境风险企业环境安全隐患排查，完善重点环境风险源清单，实施环境风险差异化动态管理，加强环境风险防控</w:t>
                  </w:r>
                  <w:r>
                    <w:rPr>
                      <w:rFonts w:hint="eastAsia" w:ascii="Calibri" w:hAnsi="Calibri"/>
                      <w:kern w:val="0"/>
                      <w:szCs w:val="21"/>
                    </w:rPr>
                    <w:t>。</w:t>
                  </w:r>
                </w:p>
              </w:tc>
              <w:tc>
                <w:tcPr>
                  <w:tcW w:w="1448" w:type="pct"/>
                  <w:vAlign w:val="center"/>
                </w:tcPr>
                <w:p w14:paraId="5C510AC8">
                  <w:pPr>
                    <w:jc w:val="center"/>
                    <w:rPr>
                      <w:rFonts w:ascii="Calibri" w:hAnsi="Calibri"/>
                      <w:szCs w:val="21"/>
                    </w:rPr>
                  </w:pPr>
                  <w:r>
                    <w:rPr>
                      <w:bCs/>
                      <w:szCs w:val="21"/>
                    </w:rPr>
                    <w:t>项目将制定企业应急预案，并与</w:t>
                  </w:r>
                  <w:r>
                    <w:rPr>
                      <w:rFonts w:hint="eastAsia"/>
                      <w:bCs/>
                      <w:szCs w:val="21"/>
                    </w:rPr>
                    <w:t>市区</w:t>
                  </w:r>
                  <w:r>
                    <w:rPr>
                      <w:bCs/>
                      <w:szCs w:val="21"/>
                    </w:rPr>
                    <w:t>联动，落实有效的事故风险防范和应急措施</w:t>
                  </w:r>
                </w:p>
              </w:tc>
              <w:tc>
                <w:tcPr>
                  <w:tcW w:w="483" w:type="pct"/>
                  <w:vMerge w:val="restart"/>
                  <w:vAlign w:val="center"/>
                </w:tcPr>
                <w:p w14:paraId="62C491E8">
                  <w:pPr>
                    <w:jc w:val="center"/>
                    <w:rPr>
                      <w:rFonts w:ascii="Calibri" w:hAnsi="Calibri"/>
                      <w:szCs w:val="21"/>
                    </w:rPr>
                  </w:pPr>
                  <w:r>
                    <w:rPr>
                      <w:rFonts w:ascii="Calibri" w:hAnsi="Calibri"/>
                      <w:szCs w:val="21"/>
                    </w:rPr>
                    <w:t>相符</w:t>
                  </w:r>
                </w:p>
              </w:tc>
            </w:tr>
            <w:tr w14:paraId="27C1F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05EFA30E">
                  <w:pPr>
                    <w:jc w:val="center"/>
                    <w:rPr>
                      <w:rFonts w:ascii="Calibri" w:hAnsi="Calibri"/>
                      <w:kern w:val="0"/>
                      <w:szCs w:val="21"/>
                    </w:rPr>
                  </w:pPr>
                </w:p>
              </w:tc>
              <w:tc>
                <w:tcPr>
                  <w:tcW w:w="2501" w:type="pct"/>
                  <w:vAlign w:val="center"/>
                </w:tcPr>
                <w:p w14:paraId="3BF16946">
                  <w:pPr>
                    <w:jc w:val="center"/>
                    <w:rPr>
                      <w:kern w:val="0"/>
                      <w:szCs w:val="21"/>
                    </w:rPr>
                  </w:pPr>
                  <w:r>
                    <w:rPr>
                      <w:rFonts w:hint="eastAsia" w:ascii="宋体" w:hAnsi="宋体" w:cs="宋体"/>
                      <w:bCs/>
                      <w:szCs w:val="21"/>
                    </w:rPr>
                    <w:t>②</w:t>
                  </w:r>
                  <w:r>
                    <w:rPr>
                      <w:rFonts w:hint="eastAsia" w:ascii="宋体" w:hAnsi="宋体" w:cs="宋体"/>
                    </w:rPr>
                    <w:t>持续推进农用地分类管理和安全利用，严格保护优先类农用地，加强优先保护类农用地土壤及地下水污染监测预警，有效管控周边污染源，推行使用有机肥、推广中碱性肥料、种植绿肥等管护措施，探索安全利用长效管护运行模式与管理机制。以城镇人口密集区危险化学品生产企业搬迁改造以及长江经济带化工污染整治过程中的腾退企业用地为重点，组织进行建设用地土壤污染风险评估、风险管控及修复效果评估，严控污染地块环境社会风险</w:t>
                  </w:r>
                  <w:r>
                    <w:rPr>
                      <w:kern w:val="0"/>
                      <w:szCs w:val="21"/>
                    </w:rPr>
                    <w:t>。</w:t>
                  </w:r>
                </w:p>
              </w:tc>
              <w:tc>
                <w:tcPr>
                  <w:tcW w:w="1448" w:type="pct"/>
                  <w:vAlign w:val="center"/>
                </w:tcPr>
                <w:p w14:paraId="4860D38C">
                  <w:pPr>
                    <w:jc w:val="center"/>
                    <w:rPr>
                      <w:rFonts w:ascii="Calibri" w:hAnsi="Calibri"/>
                      <w:szCs w:val="21"/>
                    </w:rPr>
                  </w:pPr>
                  <w:r>
                    <w:rPr>
                      <w:rFonts w:ascii="Calibri" w:hAnsi="Calibri"/>
                      <w:szCs w:val="21"/>
                    </w:rPr>
                    <w:t>项目用地</w:t>
                  </w:r>
                  <w:r>
                    <w:rPr>
                      <w:rFonts w:hint="eastAsia" w:ascii="Calibri" w:hAnsi="Calibri"/>
                      <w:szCs w:val="21"/>
                    </w:rPr>
                    <w:t>不属于污染地块名录及其开发利用的负面清单</w:t>
                  </w:r>
                </w:p>
              </w:tc>
              <w:tc>
                <w:tcPr>
                  <w:tcW w:w="483" w:type="pct"/>
                  <w:vMerge w:val="continue"/>
                  <w:vAlign w:val="center"/>
                </w:tcPr>
                <w:p w14:paraId="721E7458">
                  <w:pPr>
                    <w:jc w:val="center"/>
                    <w:rPr>
                      <w:rFonts w:ascii="Calibri" w:hAnsi="Calibri"/>
                      <w:szCs w:val="21"/>
                    </w:rPr>
                  </w:pPr>
                </w:p>
              </w:tc>
            </w:tr>
            <w:tr w14:paraId="00A8A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restart"/>
                  <w:vAlign w:val="center"/>
                </w:tcPr>
                <w:p w14:paraId="6C4BEC41">
                  <w:pPr>
                    <w:jc w:val="center"/>
                    <w:rPr>
                      <w:rFonts w:ascii="Calibri" w:hAnsi="Calibri"/>
                      <w:szCs w:val="21"/>
                    </w:rPr>
                  </w:pPr>
                  <w:r>
                    <w:rPr>
                      <w:rFonts w:ascii="Calibri" w:hAnsi="Calibri"/>
                      <w:kern w:val="0"/>
                      <w:szCs w:val="21"/>
                    </w:rPr>
                    <w:t>资源开发效率要求</w:t>
                  </w:r>
                </w:p>
              </w:tc>
              <w:tc>
                <w:tcPr>
                  <w:tcW w:w="2501" w:type="pct"/>
                  <w:vAlign w:val="center"/>
                </w:tcPr>
                <w:p w14:paraId="6ABB3370">
                  <w:pPr>
                    <w:jc w:val="center"/>
                    <w:rPr>
                      <w:rFonts w:ascii="Calibri" w:hAnsi="Calibri"/>
                      <w:kern w:val="0"/>
                      <w:szCs w:val="21"/>
                    </w:rPr>
                  </w:pPr>
                  <w:r>
                    <w:rPr>
                      <w:rFonts w:hint="eastAsia" w:ascii="Calibri" w:hAnsi="Calibri"/>
                      <w:szCs w:val="21"/>
                    </w:rPr>
                    <w:t>①</w:t>
                  </w:r>
                  <w:r>
                    <w:rPr>
                      <w:rFonts w:hint="eastAsia" w:ascii="宋体" w:hAnsi="宋体" w:cs="宋体"/>
                      <w:szCs w:val="21"/>
                    </w:rPr>
                    <w:t>能源：</w:t>
                  </w:r>
                  <w:r>
                    <w:rPr>
                      <w:rFonts w:hint="eastAsia" w:ascii="宋体" w:hAnsi="宋体" w:cs="宋体"/>
                      <w:kern w:val="0"/>
                      <w:szCs w:val="21"/>
                    </w:rPr>
                    <w:t>鼓励企业使用清洁能源，营造全社会节能减排和保护环境的良好氛围。激发用户侧可再生能源电力需求，鼓励用户绿色出行</w:t>
                  </w:r>
                  <w:r>
                    <w:rPr>
                      <w:rFonts w:ascii="Calibri" w:hAnsi="Calibri"/>
                      <w:kern w:val="0"/>
                      <w:szCs w:val="21"/>
                    </w:rPr>
                    <w:t>。</w:t>
                  </w:r>
                </w:p>
              </w:tc>
              <w:tc>
                <w:tcPr>
                  <w:tcW w:w="1448" w:type="pct"/>
                  <w:vMerge w:val="restart"/>
                  <w:vAlign w:val="center"/>
                </w:tcPr>
                <w:p w14:paraId="2D42C522">
                  <w:pPr>
                    <w:jc w:val="center"/>
                    <w:rPr>
                      <w:rFonts w:ascii="Calibri" w:hAnsi="Calibri"/>
                      <w:szCs w:val="21"/>
                    </w:rPr>
                  </w:pPr>
                  <w:r>
                    <w:rPr>
                      <w:rFonts w:hint="eastAsia" w:ascii="Calibri" w:hAnsi="Calibri"/>
                      <w:szCs w:val="21"/>
                    </w:rPr>
                    <w:t>项目使用成型生物质燃料，属于清洁能源；项目用水主要为生活用水；项目用地属于工矿仓储用地，项目不属于严重过剩行业、不属于高耗能产业，满足资源开发效率要求</w:t>
                  </w:r>
                </w:p>
              </w:tc>
              <w:tc>
                <w:tcPr>
                  <w:tcW w:w="483" w:type="pct"/>
                  <w:vMerge w:val="restart"/>
                  <w:vAlign w:val="center"/>
                </w:tcPr>
                <w:p w14:paraId="7FBDFBD0">
                  <w:pPr>
                    <w:jc w:val="center"/>
                    <w:rPr>
                      <w:rFonts w:ascii="Calibri" w:hAnsi="Calibri"/>
                      <w:szCs w:val="21"/>
                    </w:rPr>
                  </w:pPr>
                  <w:r>
                    <w:rPr>
                      <w:rFonts w:ascii="Calibri" w:hAnsi="Calibri"/>
                      <w:szCs w:val="21"/>
                    </w:rPr>
                    <w:t>相符</w:t>
                  </w:r>
                </w:p>
              </w:tc>
            </w:tr>
            <w:tr w14:paraId="62A13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Merge w:val="continue"/>
                  <w:vAlign w:val="center"/>
                </w:tcPr>
                <w:p w14:paraId="6AE8B2C7">
                  <w:pPr>
                    <w:jc w:val="center"/>
                    <w:rPr>
                      <w:rFonts w:ascii="Calibri" w:hAnsi="Calibri"/>
                      <w:kern w:val="0"/>
                      <w:szCs w:val="21"/>
                    </w:rPr>
                  </w:pPr>
                </w:p>
              </w:tc>
              <w:tc>
                <w:tcPr>
                  <w:tcW w:w="2501" w:type="pct"/>
                  <w:vAlign w:val="center"/>
                </w:tcPr>
                <w:p w14:paraId="48E6CFF5">
                  <w:pPr>
                    <w:jc w:val="center"/>
                    <w:rPr>
                      <w:rFonts w:ascii="Calibri" w:hAnsi="Calibri"/>
                      <w:szCs w:val="21"/>
                    </w:rPr>
                  </w:pPr>
                  <w:r>
                    <w:rPr>
                      <w:rFonts w:hint="eastAsia" w:ascii="Calibri" w:hAnsi="Calibri"/>
                      <w:szCs w:val="21"/>
                    </w:rPr>
                    <w:t>②</w:t>
                  </w:r>
                  <w:r>
                    <w:rPr>
                      <w:rFonts w:hint="eastAsia" w:ascii="宋体" w:hAnsi="宋体" w:cs="宋体"/>
                      <w:szCs w:val="21"/>
                    </w:rPr>
                    <w:t>水资源：</w:t>
                  </w:r>
                  <w:r>
                    <w:rPr>
                      <w:rFonts w:hint="eastAsia" w:ascii="宋体" w:hAnsi="宋体" w:cs="宋体"/>
                      <w:kern w:val="0"/>
                      <w:szCs w:val="21"/>
                    </w:rPr>
                    <w:t>落实水资源消耗总量和强度双控行动，推动经济社会发展布局与水资源承载能力相适应</w:t>
                  </w:r>
                  <w:r>
                    <w:rPr>
                      <w:rFonts w:hint="eastAsia" w:eastAsiaTheme="minorEastAsia"/>
                      <w:kern w:val="0"/>
                      <w:szCs w:val="21"/>
                    </w:rPr>
                    <w:t>。</w:t>
                  </w:r>
                </w:p>
              </w:tc>
              <w:tc>
                <w:tcPr>
                  <w:tcW w:w="1448" w:type="pct"/>
                  <w:vMerge w:val="continue"/>
                  <w:vAlign w:val="center"/>
                </w:tcPr>
                <w:p w14:paraId="183EECCF">
                  <w:pPr>
                    <w:jc w:val="center"/>
                    <w:rPr>
                      <w:rFonts w:ascii="Calibri" w:hAnsi="Calibri"/>
                      <w:szCs w:val="21"/>
                    </w:rPr>
                  </w:pPr>
                </w:p>
              </w:tc>
              <w:tc>
                <w:tcPr>
                  <w:tcW w:w="483" w:type="pct"/>
                  <w:vMerge w:val="continue"/>
                  <w:vAlign w:val="center"/>
                </w:tcPr>
                <w:p w14:paraId="5F75DC1F">
                  <w:pPr>
                    <w:jc w:val="center"/>
                    <w:rPr>
                      <w:rFonts w:ascii="Calibri" w:hAnsi="Calibri"/>
                      <w:szCs w:val="21"/>
                    </w:rPr>
                  </w:pPr>
                </w:p>
              </w:tc>
            </w:tr>
          </w:tbl>
          <w:p w14:paraId="509043BE">
            <w:pPr>
              <w:pStyle w:val="52"/>
              <w:snapToGrid/>
              <w:spacing w:line="360" w:lineRule="auto"/>
              <w:ind w:firstLine="480" w:firstLineChars="200"/>
              <w:rPr>
                <w:rFonts w:asciiTheme="minorEastAsia" w:hAnsiTheme="minorEastAsia" w:eastAsiaTheme="minorEastAsia"/>
                <w:color w:val="auto"/>
                <w:szCs w:val="24"/>
              </w:rPr>
            </w:pPr>
            <w:r>
              <w:rPr>
                <w:rFonts w:ascii="宋体" w:hAnsi="宋体" w:eastAsia="宋体"/>
                <w:color w:val="auto"/>
                <w:szCs w:val="24"/>
              </w:rPr>
              <w:t>综上所述，</w:t>
            </w:r>
            <w:r>
              <w:rPr>
                <w:rFonts w:hint="eastAsia" w:ascii="宋体" w:hAnsi="宋体" w:eastAsia="宋体"/>
                <w:color w:val="auto"/>
                <w:szCs w:val="24"/>
              </w:rPr>
              <w:t>项目建设符合</w:t>
            </w:r>
            <w:r>
              <w:rPr>
                <w:rFonts w:hint="eastAsia" w:eastAsia="宋体"/>
                <w:bCs/>
                <w:color w:val="auto"/>
              </w:rPr>
              <w:t>《衡阳市生态环境准入清单》相关要求</w:t>
            </w:r>
            <w:r>
              <w:rPr>
                <w:rFonts w:hint="eastAsia" w:asciiTheme="minorEastAsia" w:hAnsiTheme="minorEastAsia" w:eastAsiaTheme="minorEastAsia"/>
                <w:color w:val="auto"/>
                <w:szCs w:val="24"/>
              </w:rPr>
              <w:t>。</w:t>
            </w:r>
          </w:p>
          <w:p w14:paraId="772D65E4">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3、项目选址</w:t>
            </w:r>
            <w:r>
              <w:rPr>
                <w:b/>
                <w:bCs/>
                <w:kern w:val="0"/>
                <w:sz w:val="24"/>
              </w:rPr>
              <w:t>符合性分析</w:t>
            </w:r>
          </w:p>
          <w:p w14:paraId="14372232">
            <w:pPr>
              <w:autoSpaceDE w:val="0"/>
              <w:autoSpaceDN w:val="0"/>
              <w:adjustRightInd w:val="0"/>
              <w:snapToGrid w:val="0"/>
              <w:spacing w:line="360" w:lineRule="auto"/>
              <w:ind w:firstLine="480" w:firstLineChars="200"/>
              <w:rPr>
                <w:bCs/>
                <w:kern w:val="0"/>
                <w:sz w:val="24"/>
              </w:rPr>
            </w:pPr>
            <w:r>
              <w:rPr>
                <w:rFonts w:hint="eastAsia"/>
                <w:bCs/>
                <w:kern w:val="0"/>
                <w:sz w:val="24"/>
              </w:rPr>
              <w:t>项目位于衡山县白果镇岳北村，根据建设单位提供的用地相关证明文件，项目用地为工矿仓储用地，符合土地利用规划要求。</w:t>
            </w:r>
          </w:p>
          <w:p w14:paraId="707C7D16">
            <w:pPr>
              <w:autoSpaceDE w:val="0"/>
              <w:autoSpaceDN w:val="0"/>
              <w:adjustRightInd w:val="0"/>
              <w:snapToGrid w:val="0"/>
              <w:spacing w:line="360" w:lineRule="auto"/>
              <w:ind w:firstLine="480" w:firstLineChars="200"/>
              <w:rPr>
                <w:bCs/>
                <w:kern w:val="0"/>
                <w:sz w:val="24"/>
              </w:rPr>
            </w:pPr>
            <w:r>
              <w:rPr>
                <w:bCs/>
                <w:kern w:val="0"/>
                <w:sz w:val="24"/>
              </w:rPr>
              <w:t>项目区域内空气、地表水体以及声环境质量能满足相应功能区要求；项目与周围环境的协调性好。项目地不属于自然保护区、风景名胜区、森林公园、饮用水水源保护区、重要湖泊周边、文物古迹所在地、地质遗迹保护区、基本农田保护区；项目范围内无古树名木和国家保护动植物。</w:t>
            </w:r>
            <w:r>
              <w:rPr>
                <w:rFonts w:hint="eastAsia"/>
                <w:bCs/>
                <w:kern w:val="0"/>
                <w:sz w:val="24"/>
              </w:rPr>
              <w:t>项目所产生的污染物经过治理后均可实现达标排放。经分析，项目投产后对大气、地表水、声环境等均不会产生较大影响，不会改变环境功能现状</w:t>
            </w:r>
            <w:r>
              <w:rPr>
                <w:bCs/>
                <w:kern w:val="0"/>
                <w:sz w:val="24"/>
              </w:rPr>
              <w:t>。</w:t>
            </w:r>
          </w:p>
          <w:p w14:paraId="0D6EF752">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所述，本项目符合国家产业政策要求，选址合理，所在区域目前环境质量基本满足功能区划要求，该建设项目在认真落实好各项污染治理措施，确保各类污染物稳定达标排放的基础上，从环保角度而言，本项目选址可行。</w:t>
            </w:r>
          </w:p>
          <w:p w14:paraId="50FB9845">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4、平面布局合理性分析</w:t>
            </w:r>
          </w:p>
          <w:p w14:paraId="6586786E">
            <w:pPr>
              <w:autoSpaceDE w:val="0"/>
              <w:autoSpaceDN w:val="0"/>
              <w:adjustRightInd w:val="0"/>
              <w:snapToGrid w:val="0"/>
              <w:spacing w:line="360" w:lineRule="auto"/>
              <w:ind w:firstLine="480" w:firstLineChars="200"/>
              <w:jc w:val="left"/>
              <w:rPr>
                <w:bCs/>
                <w:kern w:val="0"/>
                <w:sz w:val="24"/>
              </w:rPr>
            </w:pPr>
            <w:r>
              <w:rPr>
                <w:rFonts w:hint="eastAsia"/>
                <w:bCs/>
                <w:kern w:val="0"/>
                <w:sz w:val="24"/>
              </w:rPr>
              <w:t>本次改扩建项目不新增用地，现有工程主要为2栋平房仓、1栋服务中心、1栋综合楼，均位于厂区南侧；出入口位于厂区东南角，紧邻S331，便于原材料及成品的运输；扩建项目主要布局在厂区北侧空地上，自南向北依次布设浅圆仓、烘干塔、烘干车间，此外，在现有平房仓内完善及提升智能化粮库系统。项目平面布置功能布局简洁，交通流线明确，结构简单便于施工。各部分功能通过内外的组合连接达到动静分离，既相互联系，又减少相互干扰。</w:t>
            </w:r>
          </w:p>
          <w:p w14:paraId="6785E3B2">
            <w:pPr>
              <w:autoSpaceDE w:val="0"/>
              <w:autoSpaceDN w:val="0"/>
              <w:adjustRightInd w:val="0"/>
              <w:snapToGrid w:val="0"/>
              <w:spacing w:line="360" w:lineRule="auto"/>
              <w:ind w:firstLine="480" w:firstLineChars="200"/>
              <w:jc w:val="left"/>
              <w:rPr>
                <w:sz w:val="24"/>
                <w:szCs w:val="28"/>
              </w:rPr>
            </w:pPr>
            <w:r>
              <w:rPr>
                <w:rFonts w:hint="eastAsia"/>
                <w:bCs/>
                <w:kern w:val="0"/>
                <w:sz w:val="24"/>
              </w:rPr>
              <w:t>该布局合理利用土地且尽可能减少对周围环境的影响、功能分区明确、组织协作良好，方便生产联系和管理，避免人流、物流交叉干扰、污染，以确保生产、运输和安全。项目整体布局流畅，生产和工作生活区域较为独立，总图布置基本合理，项目总平面布置图详见附图4。</w:t>
            </w:r>
          </w:p>
          <w:p w14:paraId="3E5E19C8">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5、</w:t>
            </w:r>
            <w:bookmarkStart w:id="14" w:name="OLE_LINK65"/>
            <w:r>
              <w:rPr>
                <w:b/>
                <w:bCs/>
                <w:kern w:val="0"/>
                <w:sz w:val="24"/>
              </w:rPr>
              <w:t>与</w:t>
            </w:r>
            <w:r>
              <w:rPr>
                <w:rFonts w:hint="eastAsia"/>
                <w:b/>
                <w:bCs/>
                <w:kern w:val="0"/>
                <w:sz w:val="24"/>
              </w:rPr>
              <w:t>《湖南省空气质量持续改善行动计划实施方案》</w:t>
            </w:r>
            <w:bookmarkStart w:id="15" w:name="OLE_LINK30"/>
            <w:r>
              <w:rPr>
                <w:rFonts w:hint="eastAsia"/>
                <w:b/>
                <w:bCs/>
                <w:kern w:val="0"/>
                <w:sz w:val="24"/>
              </w:rPr>
              <w:t>（湘政办发〔2024〕33 号）</w:t>
            </w:r>
            <w:bookmarkEnd w:id="15"/>
            <w:r>
              <w:rPr>
                <w:rFonts w:hint="eastAsia"/>
                <w:b/>
                <w:bCs/>
                <w:kern w:val="0"/>
                <w:sz w:val="24"/>
              </w:rPr>
              <w:t>相符</w:t>
            </w:r>
            <w:r>
              <w:rPr>
                <w:b/>
                <w:bCs/>
                <w:kern w:val="0"/>
                <w:sz w:val="24"/>
              </w:rPr>
              <w:t>性</w:t>
            </w:r>
            <w:bookmarkEnd w:id="14"/>
            <w:r>
              <w:rPr>
                <w:b/>
                <w:bCs/>
                <w:kern w:val="0"/>
                <w:sz w:val="24"/>
              </w:rPr>
              <w:t>分析</w:t>
            </w:r>
          </w:p>
          <w:p w14:paraId="377990AD">
            <w:pPr>
              <w:pStyle w:val="2"/>
              <w:spacing w:line="360" w:lineRule="auto"/>
              <w:ind w:firstLine="480" w:firstLineChars="200"/>
              <w:jc w:val="both"/>
              <w:rPr>
                <w:rFonts w:ascii="Times New Roman" w:cs="Times New Roman"/>
                <w:bCs/>
                <w:color w:val="auto"/>
                <w:kern w:val="0"/>
              </w:rPr>
            </w:pPr>
            <w:bookmarkStart w:id="16" w:name="OLE_LINK84"/>
            <w:r>
              <w:rPr>
                <w:rFonts w:hint="eastAsia" w:ascii="Times New Roman" w:cs="Times New Roman"/>
                <w:bCs/>
                <w:color w:val="auto"/>
                <w:kern w:val="0"/>
              </w:rPr>
              <w:t>项目与</w:t>
            </w:r>
            <w:bookmarkStart w:id="17" w:name="OLE_LINK5"/>
            <w:r>
              <w:rPr>
                <w:rFonts w:hint="eastAsia" w:ascii="Times New Roman" w:cs="Times New Roman"/>
                <w:bCs/>
                <w:color w:val="auto"/>
                <w:kern w:val="0"/>
              </w:rPr>
              <w:t>《湖南省空气质量持续改善行动计划实施方案》（湘政办发〔2024〕33 号）</w:t>
            </w:r>
            <w:bookmarkEnd w:id="17"/>
            <w:r>
              <w:rPr>
                <w:rFonts w:hint="eastAsia" w:ascii="Times New Roman" w:cs="Times New Roman"/>
                <w:bCs/>
                <w:color w:val="auto"/>
                <w:kern w:val="0"/>
              </w:rPr>
              <w:t>相符</w:t>
            </w:r>
            <w:bookmarkEnd w:id="16"/>
            <w:r>
              <w:rPr>
                <w:rFonts w:ascii="Times New Roman" w:cs="Times New Roman"/>
                <w:bCs/>
                <w:color w:val="auto"/>
                <w:kern w:val="0"/>
              </w:rPr>
              <w:t>性分析如下：</w:t>
            </w:r>
          </w:p>
          <w:p w14:paraId="6847EF31">
            <w:pPr>
              <w:autoSpaceDE w:val="0"/>
              <w:autoSpaceDN w:val="0"/>
              <w:adjustRightInd w:val="0"/>
              <w:snapToGrid w:val="0"/>
              <w:spacing w:before="120" w:beforeLines="50"/>
              <w:jc w:val="center"/>
              <w:rPr>
                <w:b/>
                <w:bCs/>
              </w:rPr>
            </w:pPr>
            <w:r>
              <w:rPr>
                <w:b/>
              </w:rPr>
              <w:t>表</w:t>
            </w:r>
            <w:r>
              <w:rPr>
                <w:rFonts w:hint="eastAsia"/>
                <w:b/>
              </w:rPr>
              <w:t xml:space="preserve">1-3  </w:t>
            </w:r>
            <w:r>
              <w:rPr>
                <w:rFonts w:hint="eastAsia"/>
                <w:b/>
                <w:bCs/>
              </w:rPr>
              <w:t>与《湖南省空气质量持续改善行动计划实施方案》相符性分析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4678"/>
              <w:gridCol w:w="2920"/>
              <w:gridCol w:w="812"/>
            </w:tblGrid>
            <w:tr w14:paraId="41A21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6B14AE1B">
                  <w:pPr>
                    <w:autoSpaceDE w:val="0"/>
                    <w:autoSpaceDN w:val="0"/>
                    <w:adjustRightInd w:val="0"/>
                    <w:snapToGrid w:val="0"/>
                    <w:jc w:val="center"/>
                    <w:rPr>
                      <w:rFonts w:eastAsiaTheme="minorEastAsia"/>
                      <w:b/>
                      <w:bCs/>
                    </w:rPr>
                  </w:pPr>
                  <w:r>
                    <w:rPr>
                      <w:rFonts w:eastAsiaTheme="minorEastAsia"/>
                      <w:b/>
                      <w:bCs/>
                    </w:rPr>
                    <w:t>序号</w:t>
                  </w:r>
                </w:p>
              </w:tc>
              <w:tc>
                <w:tcPr>
                  <w:tcW w:w="2560" w:type="pct"/>
                  <w:vAlign w:val="center"/>
                </w:tcPr>
                <w:p w14:paraId="5BFA593B">
                  <w:pPr>
                    <w:autoSpaceDE w:val="0"/>
                    <w:autoSpaceDN w:val="0"/>
                    <w:adjustRightInd w:val="0"/>
                    <w:snapToGrid w:val="0"/>
                    <w:jc w:val="center"/>
                    <w:rPr>
                      <w:rFonts w:eastAsiaTheme="minorEastAsia"/>
                      <w:b/>
                      <w:bCs/>
                    </w:rPr>
                  </w:pPr>
                  <w:r>
                    <w:rPr>
                      <w:rFonts w:hint="eastAsia" w:eastAsiaTheme="minorEastAsia"/>
                      <w:b/>
                      <w:bCs/>
                    </w:rPr>
                    <w:t>（湘政办发〔2024〕33号）</w:t>
                  </w:r>
                </w:p>
              </w:tc>
              <w:tc>
                <w:tcPr>
                  <w:tcW w:w="1598" w:type="pct"/>
                  <w:vAlign w:val="center"/>
                </w:tcPr>
                <w:p w14:paraId="4D858DBB">
                  <w:pPr>
                    <w:autoSpaceDE w:val="0"/>
                    <w:autoSpaceDN w:val="0"/>
                    <w:adjustRightInd w:val="0"/>
                    <w:snapToGrid w:val="0"/>
                    <w:jc w:val="center"/>
                    <w:rPr>
                      <w:rFonts w:eastAsiaTheme="minorEastAsia"/>
                      <w:b/>
                      <w:bCs/>
                    </w:rPr>
                  </w:pPr>
                  <w:r>
                    <w:rPr>
                      <w:rFonts w:eastAsiaTheme="minorEastAsia"/>
                      <w:b/>
                      <w:bCs/>
                    </w:rPr>
                    <w:t>本项目情况</w:t>
                  </w:r>
                </w:p>
              </w:tc>
              <w:tc>
                <w:tcPr>
                  <w:tcW w:w="444" w:type="pct"/>
                  <w:vAlign w:val="center"/>
                </w:tcPr>
                <w:p w14:paraId="363C0FDB">
                  <w:pPr>
                    <w:autoSpaceDE w:val="0"/>
                    <w:autoSpaceDN w:val="0"/>
                    <w:adjustRightInd w:val="0"/>
                    <w:snapToGrid w:val="0"/>
                    <w:jc w:val="center"/>
                    <w:rPr>
                      <w:rFonts w:eastAsiaTheme="minorEastAsia"/>
                      <w:b/>
                      <w:bCs/>
                    </w:rPr>
                  </w:pPr>
                  <w:r>
                    <w:rPr>
                      <w:rFonts w:eastAsiaTheme="minorEastAsia"/>
                      <w:b/>
                      <w:bCs/>
                    </w:rPr>
                    <w:t>符合性</w:t>
                  </w:r>
                </w:p>
              </w:tc>
            </w:tr>
            <w:tr w14:paraId="15FF2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1BDA838B">
                  <w:pPr>
                    <w:autoSpaceDE w:val="0"/>
                    <w:autoSpaceDN w:val="0"/>
                    <w:adjustRightInd w:val="0"/>
                    <w:snapToGrid w:val="0"/>
                    <w:jc w:val="center"/>
                    <w:rPr>
                      <w:rFonts w:eastAsiaTheme="minorEastAsia"/>
                      <w:bCs/>
                    </w:rPr>
                  </w:pPr>
                  <w:r>
                    <w:rPr>
                      <w:rFonts w:hint="eastAsia" w:eastAsiaTheme="minorEastAsia"/>
                      <w:bCs/>
                    </w:rPr>
                    <w:t>1</w:t>
                  </w:r>
                </w:p>
              </w:tc>
              <w:tc>
                <w:tcPr>
                  <w:tcW w:w="2560" w:type="pct"/>
                  <w:vAlign w:val="center"/>
                </w:tcPr>
                <w:p w14:paraId="2EC205AB">
                  <w:pPr>
                    <w:autoSpaceDE w:val="0"/>
                    <w:autoSpaceDN w:val="0"/>
                    <w:adjustRightInd w:val="0"/>
                    <w:snapToGrid w:val="0"/>
                    <w:jc w:val="center"/>
                    <w:rPr>
                      <w:rFonts w:eastAsiaTheme="minorEastAsia"/>
                      <w:bCs/>
                    </w:rPr>
                  </w:pPr>
                  <w:r>
                    <w:rPr>
                      <w:rFonts w:hint="eastAsia" w:eastAsiaTheme="minorEastAsia"/>
                      <w:bCs/>
                    </w:rPr>
                    <w:t>推进燃煤锅炉关停整合和散煤替代。县级及以上城市建成区原则上不再新建35蒸吨/小时及以下燃煤锅炉，加快重点城市35蒸吨/小时及以下燃煤锅炉淘汰，加大民用及农业散煤替代力度，高污染燃料禁燃区散煤动态清零。到2025年，全省基本淘汰燃煤热风炉、固定炉排燃煤锅炉和10蒸吨/小时及以下燃煤锅炉；完成燃煤烤烟房清洁能源替代12500座。发挥热电联产电厂供热能力，开展管网覆盖范围内燃煤锅炉、落后燃煤小热电机组（含自备电厂）和生物质锅炉关停或整合。</w:t>
                  </w:r>
                </w:p>
              </w:tc>
              <w:tc>
                <w:tcPr>
                  <w:tcW w:w="1598" w:type="pct"/>
                  <w:vAlign w:val="center"/>
                </w:tcPr>
                <w:p w14:paraId="371A475D">
                  <w:pPr>
                    <w:autoSpaceDE w:val="0"/>
                    <w:autoSpaceDN w:val="0"/>
                    <w:adjustRightInd w:val="0"/>
                    <w:snapToGrid w:val="0"/>
                    <w:jc w:val="center"/>
                    <w:rPr>
                      <w:rFonts w:eastAsiaTheme="minorEastAsia"/>
                      <w:bCs/>
                    </w:rPr>
                  </w:pPr>
                  <w:r>
                    <w:rPr>
                      <w:rFonts w:hint="eastAsia" w:eastAsiaTheme="minorEastAsia"/>
                      <w:bCs/>
                    </w:rPr>
                    <w:t>本项目使用的为生物质热风炉不属于燃煤锅炉。不属于开展管网覆盖范围内燃煤锅炉、落后燃煤小热电机组（含自备电厂）和生物质锅炉关停或整合范畴</w:t>
                  </w:r>
                </w:p>
              </w:tc>
              <w:tc>
                <w:tcPr>
                  <w:tcW w:w="444" w:type="pct"/>
                  <w:vAlign w:val="center"/>
                </w:tcPr>
                <w:p w14:paraId="4F66874F">
                  <w:pPr>
                    <w:autoSpaceDE w:val="0"/>
                    <w:autoSpaceDN w:val="0"/>
                    <w:adjustRightInd w:val="0"/>
                    <w:snapToGrid w:val="0"/>
                    <w:jc w:val="center"/>
                    <w:rPr>
                      <w:rFonts w:eastAsiaTheme="minorEastAsia"/>
                      <w:bCs/>
                    </w:rPr>
                  </w:pPr>
                  <w:r>
                    <w:rPr>
                      <w:rFonts w:eastAsiaTheme="minorEastAsia"/>
                      <w:bCs/>
                    </w:rPr>
                    <w:t>符合</w:t>
                  </w:r>
                </w:p>
              </w:tc>
            </w:tr>
            <w:tr w14:paraId="694D1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7F7556CF">
                  <w:pPr>
                    <w:autoSpaceDE w:val="0"/>
                    <w:autoSpaceDN w:val="0"/>
                    <w:adjustRightInd w:val="0"/>
                    <w:snapToGrid w:val="0"/>
                    <w:jc w:val="center"/>
                    <w:rPr>
                      <w:rFonts w:eastAsiaTheme="minorEastAsia"/>
                      <w:bCs/>
                    </w:rPr>
                  </w:pPr>
                  <w:r>
                    <w:rPr>
                      <w:rFonts w:hint="eastAsia" w:eastAsiaTheme="minorEastAsia"/>
                      <w:bCs/>
                    </w:rPr>
                    <w:t>2</w:t>
                  </w:r>
                </w:p>
              </w:tc>
              <w:tc>
                <w:tcPr>
                  <w:tcW w:w="2560" w:type="pct"/>
                  <w:vAlign w:val="center"/>
                </w:tcPr>
                <w:p w14:paraId="2AEF806A">
                  <w:pPr>
                    <w:autoSpaceDE w:val="0"/>
                    <w:autoSpaceDN w:val="0"/>
                    <w:adjustRightInd w:val="0"/>
                    <w:snapToGrid w:val="0"/>
                    <w:jc w:val="center"/>
                    <w:rPr>
                      <w:rFonts w:eastAsiaTheme="minorEastAsia"/>
                      <w:bCs/>
                    </w:rPr>
                  </w:pPr>
                  <w:r>
                    <w:rPr>
                      <w:rFonts w:hint="eastAsia" w:eastAsiaTheme="minorEastAsia"/>
                      <w:bCs/>
                    </w:rPr>
                    <w:t>实施工业炉窑清洁能源替代。以使用高污染燃料的工业炉窑为重点，大力推进电能、天然气替代。新改扩建加热炉、热处理炉、干燥炉、熔化炉原则上采用清洁低碳能源。全省原则上不再新增燃料类煤气发生炉，逐步淘汰固定床间歇式煤气发生炉。</w:t>
                  </w:r>
                </w:p>
              </w:tc>
              <w:tc>
                <w:tcPr>
                  <w:tcW w:w="1598" w:type="pct"/>
                  <w:vAlign w:val="center"/>
                </w:tcPr>
                <w:p w14:paraId="5E87BA93">
                  <w:pPr>
                    <w:autoSpaceDE w:val="0"/>
                    <w:autoSpaceDN w:val="0"/>
                    <w:adjustRightInd w:val="0"/>
                    <w:snapToGrid w:val="0"/>
                    <w:jc w:val="center"/>
                    <w:rPr>
                      <w:rFonts w:eastAsiaTheme="minorEastAsia"/>
                      <w:bCs/>
                    </w:rPr>
                  </w:pPr>
                  <w:r>
                    <w:rPr>
                      <w:rFonts w:hint="eastAsia" w:eastAsiaTheme="minorEastAsia"/>
                      <w:bCs/>
                    </w:rPr>
                    <w:t>本项目生物质热风炉使用的燃料为生物质颗粒属于清洁低碳能源</w:t>
                  </w:r>
                </w:p>
              </w:tc>
              <w:tc>
                <w:tcPr>
                  <w:tcW w:w="444" w:type="pct"/>
                  <w:vAlign w:val="center"/>
                </w:tcPr>
                <w:p w14:paraId="572A3ADB">
                  <w:pPr>
                    <w:autoSpaceDE w:val="0"/>
                    <w:autoSpaceDN w:val="0"/>
                    <w:adjustRightInd w:val="0"/>
                    <w:snapToGrid w:val="0"/>
                    <w:jc w:val="center"/>
                    <w:rPr>
                      <w:rFonts w:eastAsiaTheme="minorEastAsia"/>
                      <w:bCs/>
                    </w:rPr>
                  </w:pPr>
                  <w:r>
                    <w:rPr>
                      <w:rFonts w:eastAsiaTheme="minorEastAsia"/>
                      <w:bCs/>
                    </w:rPr>
                    <w:t>符合</w:t>
                  </w:r>
                </w:p>
              </w:tc>
            </w:tr>
          </w:tbl>
          <w:p w14:paraId="620F3F17">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综上，项目符合《湖南省空气质量持续改善行动计划实施方案》（湘政办发〔2024〕33号）中的相关要求。</w:t>
            </w:r>
          </w:p>
          <w:p w14:paraId="2BA83E7E">
            <w:pPr>
              <w:autoSpaceDE w:val="0"/>
              <w:autoSpaceDN w:val="0"/>
              <w:adjustRightInd w:val="0"/>
              <w:snapToGrid w:val="0"/>
              <w:spacing w:line="360" w:lineRule="auto"/>
              <w:ind w:firstLine="482" w:firstLineChars="200"/>
              <w:jc w:val="left"/>
              <w:rPr>
                <w:bCs/>
                <w:kern w:val="0"/>
                <w:sz w:val="24"/>
              </w:rPr>
            </w:pPr>
            <w:r>
              <w:rPr>
                <w:rFonts w:hint="eastAsia"/>
                <w:b/>
                <w:kern w:val="0"/>
                <w:sz w:val="24"/>
              </w:rPr>
              <w:t>6、</w:t>
            </w:r>
            <w:r>
              <w:rPr>
                <w:rFonts w:hint="eastAsia"/>
                <w:b/>
                <w:sz w:val="24"/>
              </w:rPr>
              <w:t>与《湖南省“十四五”生态环境保护规划》的符合性分析</w:t>
            </w:r>
          </w:p>
          <w:p w14:paraId="08F817AC">
            <w:pPr>
              <w:autoSpaceDE w:val="0"/>
              <w:autoSpaceDN w:val="0"/>
              <w:adjustRightInd w:val="0"/>
              <w:snapToGrid w:val="0"/>
              <w:spacing w:line="360" w:lineRule="auto"/>
              <w:ind w:firstLine="480" w:firstLineChars="200"/>
              <w:jc w:val="left"/>
              <w:rPr>
                <w:bCs/>
                <w:kern w:val="0"/>
                <w:sz w:val="24"/>
              </w:rPr>
            </w:pPr>
            <w:r>
              <w:rPr>
                <w:rFonts w:hint="eastAsia"/>
                <w:bCs/>
                <w:kern w:val="0"/>
                <w:sz w:val="24"/>
              </w:rPr>
              <w:t>《湖南省“十四五”</w:t>
            </w:r>
            <w:r>
              <w:rPr>
                <w:rFonts w:hint="eastAsia"/>
                <w:bCs/>
                <w:kern w:val="0"/>
                <w:sz w:val="24"/>
              </w:rPr>
              <w:t>五生态环境保护规划》提出：开展细颗粒物达标行动。衡阳、张家界、永州、郴州、娄底、吉首、怀化等7个已达标城市，持续降低环境空气细颗粒物水平，巩固改善大气环境质量。长沙、株洲、湘潭、岳阳、益阳、常德、邵阳等7个未达标城市要制定实施大气环境质量限期达标规划并向社会公布，明确空气质量达标路线及污染防治重点任务，按照前紧后松、持续改善的原则，加强达标进程管理，到“十四五”末，力争全省新增3个以上达标城市。</w:t>
            </w:r>
          </w:p>
          <w:p w14:paraId="299E29B9">
            <w:pPr>
              <w:autoSpaceDE w:val="0"/>
              <w:autoSpaceDN w:val="0"/>
              <w:adjustRightInd w:val="0"/>
              <w:snapToGrid w:val="0"/>
              <w:spacing w:line="360" w:lineRule="auto"/>
              <w:ind w:firstLine="480" w:firstLineChars="200"/>
              <w:jc w:val="left"/>
              <w:rPr>
                <w:bCs/>
                <w:kern w:val="0"/>
                <w:sz w:val="24"/>
              </w:rPr>
            </w:pPr>
            <w:r>
              <w:rPr>
                <w:rFonts w:hint="eastAsia"/>
                <w:bCs/>
                <w:kern w:val="0"/>
                <w:sz w:val="24"/>
              </w:rPr>
              <w:t>本项目热风炉烟气采用旋风+布袋除尘器+不低于20m高排气筒排放，烘干废气经重力沉降室+布袋除尘器处理，装卸、输送及清筛过程中的粉尘则通过采取封闭式库房、及时清扫、降低装卸落差、控制输送速度、密闭输送、封闭式清筛设备等措施加以控制，可有效降低颗粒物的排放。因此本项目建设符合《湖南省十四五生态环境保护规划》有关要求。</w:t>
            </w:r>
          </w:p>
          <w:p w14:paraId="38D3638E">
            <w:pPr>
              <w:autoSpaceDE w:val="0"/>
              <w:autoSpaceDN w:val="0"/>
              <w:adjustRightInd w:val="0"/>
              <w:snapToGrid w:val="0"/>
              <w:spacing w:line="360" w:lineRule="auto"/>
              <w:ind w:firstLine="482" w:firstLineChars="200"/>
              <w:jc w:val="left"/>
              <w:rPr>
                <w:bCs/>
                <w:kern w:val="0"/>
                <w:sz w:val="24"/>
              </w:rPr>
            </w:pPr>
            <w:r>
              <w:rPr>
                <w:rFonts w:hint="eastAsia"/>
                <w:b/>
                <w:kern w:val="0"/>
                <w:sz w:val="24"/>
              </w:rPr>
              <w:t>7、</w:t>
            </w:r>
            <w:r>
              <w:rPr>
                <w:rFonts w:hint="eastAsia"/>
                <w:b/>
                <w:sz w:val="24"/>
              </w:rPr>
              <w:t>与《衡阳市“十四五”空气质量改善规划》的符合性分析</w:t>
            </w:r>
          </w:p>
          <w:p w14:paraId="491BFEF4">
            <w:pPr>
              <w:autoSpaceDE w:val="0"/>
              <w:autoSpaceDN w:val="0"/>
              <w:adjustRightInd w:val="0"/>
              <w:snapToGrid w:val="0"/>
              <w:spacing w:line="360" w:lineRule="auto"/>
              <w:ind w:firstLine="480" w:firstLineChars="200"/>
              <w:jc w:val="left"/>
              <w:rPr>
                <w:bCs/>
                <w:kern w:val="0"/>
                <w:sz w:val="24"/>
              </w:rPr>
            </w:pPr>
            <w:r>
              <w:rPr>
                <w:rFonts w:hint="eastAsia"/>
                <w:bCs/>
                <w:kern w:val="0"/>
                <w:sz w:val="24"/>
              </w:rPr>
              <w:t>《衡阳市“十四五”空气质量改善规划》指出“</w:t>
            </w:r>
            <w:r>
              <w:rPr>
                <w:rFonts w:hint="eastAsia" w:asciiTheme="majorEastAsia" w:hAnsiTheme="majorEastAsia" w:eastAsiaTheme="majorEastAsia" w:cstheme="majorEastAsia"/>
                <w:bCs/>
                <w:kern w:val="0"/>
                <w:sz w:val="24"/>
              </w:rPr>
              <w:t>.....</w:t>
            </w:r>
            <w:r>
              <w:rPr>
                <w:rFonts w:hint="eastAsia"/>
                <w:bCs/>
                <w:kern w:val="0"/>
                <w:sz w:val="24"/>
              </w:rPr>
              <w:t>生物质锅炉采用专用锅炉，配套布袋等高效除尘设施，禁止掺烧煤炭、垃圾、工业固体废弃物等其他物料；积极推进城市建成区生物质锅炉超低排放改造”。</w:t>
            </w:r>
          </w:p>
          <w:p w14:paraId="4B86AF8E">
            <w:pPr>
              <w:autoSpaceDE w:val="0"/>
              <w:autoSpaceDN w:val="0"/>
              <w:adjustRightInd w:val="0"/>
              <w:snapToGrid w:val="0"/>
              <w:spacing w:line="360" w:lineRule="auto"/>
              <w:ind w:firstLine="480" w:firstLineChars="200"/>
              <w:jc w:val="left"/>
              <w:rPr>
                <w:bCs/>
                <w:kern w:val="0"/>
                <w:sz w:val="24"/>
              </w:rPr>
            </w:pPr>
            <w:r>
              <w:rPr>
                <w:rFonts w:hint="eastAsia"/>
                <w:bCs/>
                <w:kern w:val="0"/>
                <w:sz w:val="24"/>
              </w:rPr>
              <w:t>本项目生物质热风炉使用的燃料为生物质颗粒，属于清洁低碳能源，热风炉烟气经旋风+布袋除尘处理后有组织排放，可达标排放，符合衡阳市“十四五”空气质量改善规划。</w:t>
            </w:r>
          </w:p>
          <w:p w14:paraId="73EDC294">
            <w:pPr>
              <w:autoSpaceDE w:val="0"/>
              <w:autoSpaceDN w:val="0"/>
              <w:adjustRightInd w:val="0"/>
              <w:snapToGrid w:val="0"/>
              <w:spacing w:line="360" w:lineRule="auto"/>
              <w:ind w:firstLine="482" w:firstLineChars="200"/>
              <w:jc w:val="left"/>
              <w:rPr>
                <w:b/>
                <w:bCs/>
                <w:kern w:val="0"/>
                <w:sz w:val="24"/>
              </w:rPr>
            </w:pPr>
            <w:r>
              <w:rPr>
                <w:rFonts w:hint="eastAsia"/>
                <w:b/>
                <w:bCs/>
                <w:kern w:val="0"/>
                <w:sz w:val="24"/>
              </w:rPr>
              <w:t>8、</w:t>
            </w:r>
            <w:r>
              <w:rPr>
                <w:b/>
                <w:bCs/>
                <w:kern w:val="0"/>
                <w:sz w:val="24"/>
              </w:rPr>
              <w:t>与《关于进一步加强高能耗、高排放建设项目生态环境源头防控工作的通知》（湘环发〔2022〕23号）符合性分析</w:t>
            </w:r>
          </w:p>
          <w:p w14:paraId="4C556292">
            <w:pPr>
              <w:autoSpaceDE w:val="0"/>
              <w:autoSpaceDN w:val="0"/>
              <w:adjustRightInd w:val="0"/>
              <w:snapToGrid w:val="0"/>
              <w:spacing w:line="360" w:lineRule="auto"/>
              <w:ind w:firstLine="480" w:firstLineChars="200"/>
              <w:jc w:val="left"/>
              <w:rPr>
                <w:bCs/>
                <w:kern w:val="0"/>
                <w:sz w:val="24"/>
              </w:rPr>
            </w:pPr>
            <w:r>
              <w:rPr>
                <w:bCs/>
                <w:kern w:val="0"/>
                <w:sz w:val="24"/>
              </w:rPr>
              <w:t>《关于进一步加强高能耗、高排放建设项目生态环境源头防控工作的通知》（湘环发〔2022〕23号）中提出：新、改、扩</w:t>
            </w:r>
            <w:r>
              <w:rPr>
                <w:rFonts w:asciiTheme="minorEastAsia" w:hAnsiTheme="minorEastAsia" w:eastAsiaTheme="minorEastAsia"/>
                <w:bCs/>
                <w:kern w:val="0"/>
                <w:sz w:val="24"/>
              </w:rPr>
              <w:t>建“两高”</w:t>
            </w:r>
            <w:r>
              <w:rPr>
                <w:bCs/>
                <w:kern w:val="0"/>
                <w:sz w:val="24"/>
              </w:rPr>
              <w:t>项目审批须符合生态环境保护法律法规和相关规划，满足重点污染物排放总量控制、碳排放达峰目标，产业园区生态环境准入清单和环评文件审批原则等环境管理要求，不得随意简化环评编制内容。</w:t>
            </w:r>
          </w:p>
          <w:p w14:paraId="17D1786A">
            <w:pPr>
              <w:autoSpaceDE w:val="0"/>
              <w:autoSpaceDN w:val="0"/>
              <w:adjustRightInd w:val="0"/>
              <w:snapToGrid w:val="0"/>
              <w:spacing w:line="360" w:lineRule="auto"/>
              <w:ind w:firstLine="480" w:firstLineChars="200"/>
              <w:jc w:val="left"/>
              <w:rPr>
                <w:bCs/>
                <w:kern w:val="0"/>
                <w:sz w:val="24"/>
              </w:rPr>
            </w:pPr>
            <w:r>
              <w:rPr>
                <w:bCs/>
                <w:kern w:val="0"/>
                <w:sz w:val="24"/>
              </w:rPr>
              <w:t>对照《湖南省</w:t>
            </w:r>
            <w:r>
              <w:rPr>
                <w:rFonts w:asciiTheme="majorEastAsia" w:hAnsiTheme="majorEastAsia" w:eastAsiaTheme="majorEastAsia"/>
                <w:bCs/>
                <w:kern w:val="0"/>
                <w:sz w:val="24"/>
              </w:rPr>
              <w:t>“两高”项</w:t>
            </w:r>
            <w:r>
              <w:rPr>
                <w:bCs/>
                <w:kern w:val="0"/>
                <w:sz w:val="24"/>
              </w:rPr>
              <w:t>目管理目录》，本项目不属于两高项目。</w:t>
            </w:r>
          </w:p>
          <w:p w14:paraId="3EDDE888">
            <w:pPr>
              <w:autoSpaceDE w:val="0"/>
              <w:autoSpaceDN w:val="0"/>
              <w:adjustRightInd w:val="0"/>
              <w:snapToGrid w:val="0"/>
              <w:spacing w:line="360" w:lineRule="auto"/>
              <w:ind w:firstLine="480" w:firstLineChars="200"/>
              <w:jc w:val="left"/>
              <w:rPr>
                <w:bCs/>
                <w:kern w:val="0"/>
                <w:sz w:val="24"/>
              </w:rPr>
            </w:pPr>
            <w:r>
              <w:rPr>
                <w:bCs/>
                <w:kern w:val="0"/>
                <w:sz w:val="24"/>
              </w:rPr>
              <w:t>综上，本项目符合《关于进一步加强高能耗、高排放建设项目生态环境源头防控工作的通知》（湘环发〔2022〕23号）中的要求。</w:t>
            </w:r>
          </w:p>
          <w:p w14:paraId="2E4A2C24">
            <w:pPr>
              <w:autoSpaceDE w:val="0"/>
              <w:autoSpaceDN w:val="0"/>
              <w:adjustRightInd w:val="0"/>
              <w:snapToGrid w:val="0"/>
              <w:spacing w:line="360" w:lineRule="auto"/>
              <w:ind w:firstLine="482" w:firstLineChars="200"/>
              <w:jc w:val="left"/>
              <w:rPr>
                <w:b/>
                <w:bCs/>
                <w:kern w:val="0"/>
                <w:sz w:val="24"/>
              </w:rPr>
            </w:pPr>
            <w:bookmarkStart w:id="18" w:name="OLE_LINK28"/>
            <w:r>
              <w:rPr>
                <w:rFonts w:hint="eastAsia"/>
                <w:b/>
                <w:bCs/>
                <w:kern w:val="0"/>
                <w:sz w:val="24"/>
              </w:rPr>
              <w:t>9、</w:t>
            </w:r>
            <w:r>
              <w:rPr>
                <w:b/>
                <w:bCs/>
                <w:kern w:val="0"/>
                <w:sz w:val="24"/>
              </w:rPr>
              <w:t>与《湖南省工业炉窑大气污染综合治理实施方案》符合性分析</w:t>
            </w:r>
          </w:p>
          <w:bookmarkEnd w:id="18"/>
          <w:p w14:paraId="2E04A73B">
            <w:pPr>
              <w:autoSpaceDE w:val="0"/>
              <w:autoSpaceDN w:val="0"/>
              <w:adjustRightInd w:val="0"/>
              <w:snapToGrid w:val="0"/>
              <w:spacing w:line="360" w:lineRule="auto"/>
              <w:ind w:firstLine="480" w:firstLineChars="200"/>
              <w:jc w:val="left"/>
              <w:rPr>
                <w:bCs/>
                <w:kern w:val="0"/>
                <w:sz w:val="24"/>
              </w:rPr>
            </w:pPr>
            <w:r>
              <w:rPr>
                <w:bCs/>
                <w:kern w:val="0"/>
                <w:sz w:val="24"/>
              </w:rPr>
              <w:t>《湖南省工业炉窑大气污染综合治理实施方案》中</w:t>
            </w:r>
            <w:r>
              <w:rPr>
                <w:rFonts w:asciiTheme="minorEastAsia" w:hAnsiTheme="minorEastAsia" w:eastAsiaTheme="minorEastAsia"/>
                <w:bCs/>
                <w:kern w:val="0"/>
                <w:sz w:val="24"/>
              </w:rPr>
              <w:t>“总体要求”指出“</w:t>
            </w:r>
            <w:r>
              <w:rPr>
                <w:rFonts w:hint="eastAsia" w:asciiTheme="minorEastAsia" w:hAnsiTheme="minorEastAsia" w:eastAsiaTheme="minorEastAsia"/>
                <w:bCs/>
                <w:kern w:val="0"/>
                <w:sz w:val="24"/>
              </w:rPr>
              <w:t>工业炉窑包括熔炼炉、熔化炉、焙（煅）烧炉(窑)、加热炉、热处理炉、干燥炉(窑)、焦炉、煤气发生炉等八类，广泛应用于钢铁、焦化、有色、建材、石化、化工、机械制造等行业。大气污染物有组织排放和无组织排放满足以下要求：</w:t>
            </w:r>
            <w:r>
              <w:rPr>
                <w:rFonts w:eastAsiaTheme="minorEastAsia"/>
                <w:bCs/>
                <w:kern w:val="0"/>
                <w:sz w:val="24"/>
              </w:rPr>
              <w:t>1、</w:t>
            </w:r>
            <w:r>
              <w:rPr>
                <w:bCs/>
                <w:kern w:val="0"/>
                <w:sz w:val="24"/>
              </w:rPr>
              <w:t>有组织排放控制要求：现阶段长沙市、株洲市、湘潭市以及常德市、岳阳市、益阳市等传输通道城市按照颗粒物、二氧化硫、氮氧化物排放限值分别不高于30、200、300毫克/立方米实施改造。</w:t>
            </w:r>
            <w:r>
              <w:rPr>
                <w:rFonts w:hint="eastAsia"/>
                <w:bCs/>
                <w:kern w:val="0"/>
                <w:sz w:val="24"/>
              </w:rPr>
              <w:t>2、</w:t>
            </w:r>
            <w:r>
              <w:rPr>
                <w:bCs/>
                <w:kern w:val="0"/>
                <w:sz w:val="24"/>
              </w:rPr>
              <w:t>无组织排放控制要求。严格控制工业炉窑生产过程及相关物料储存、输送等无组织排放，在保障生产安全的前提下，釆取密闭、封闭等有效措施，有效提高废气收集率，产尘点及车间不得有可见烟粉尘外逸。</w:t>
            </w:r>
            <w:r>
              <w:rPr>
                <w:rFonts w:asciiTheme="minorEastAsia" w:hAnsiTheme="minorEastAsia" w:eastAsiaTheme="minorEastAsia"/>
                <w:bCs/>
                <w:kern w:val="0"/>
                <w:sz w:val="24"/>
              </w:rPr>
              <w:t>”；“工作措施”中指出“</w:t>
            </w:r>
            <w:r>
              <w:rPr>
                <w:bCs/>
                <w:kern w:val="0"/>
                <w:sz w:val="24"/>
              </w:rPr>
              <w:t>严格建设项目环境准入，新建涉及工业炉窑的建设项目，原则上要入园区，配套建设高效环保治理设施。</w:t>
            </w:r>
            <w:r>
              <w:rPr>
                <w:rFonts w:asciiTheme="minorEastAsia" w:hAnsiTheme="minorEastAsia" w:eastAsiaTheme="minorEastAsia"/>
                <w:bCs/>
                <w:kern w:val="0"/>
                <w:sz w:val="24"/>
              </w:rPr>
              <w:t>”。</w:t>
            </w:r>
          </w:p>
          <w:p w14:paraId="6E476119">
            <w:pPr>
              <w:autoSpaceDE w:val="0"/>
              <w:autoSpaceDN w:val="0"/>
              <w:adjustRightInd w:val="0"/>
              <w:snapToGrid w:val="0"/>
              <w:spacing w:line="360" w:lineRule="auto"/>
              <w:ind w:firstLine="480" w:firstLineChars="200"/>
              <w:jc w:val="left"/>
              <w:rPr>
                <w:bCs/>
                <w:kern w:val="0"/>
                <w:sz w:val="24"/>
              </w:rPr>
            </w:pPr>
            <w:r>
              <w:rPr>
                <w:bCs/>
                <w:kern w:val="0"/>
                <w:sz w:val="24"/>
              </w:rPr>
              <w:t>本项目属于农产品初加工及谷物仓储，不属于化工、建材、铸造、有色金属冶炼等高污染行业，可不入园</w:t>
            </w:r>
            <w:r>
              <w:rPr>
                <w:rFonts w:hint="eastAsia"/>
                <w:bCs/>
                <w:kern w:val="0"/>
                <w:sz w:val="24"/>
              </w:rPr>
              <w:t>；项目服务于本地稻谷种植产业，若入园会导致稻谷运输距离增加，从产业链完整性看，烘干环节就近布局是农业生产的必要环节；项目烘干采用成型生物质燃料，属于清洁能源，在落实污染防治措施的基础上，对环境的影响较小。</w:t>
            </w:r>
          </w:p>
          <w:p w14:paraId="592B6651">
            <w:pPr>
              <w:autoSpaceDE w:val="0"/>
              <w:autoSpaceDN w:val="0"/>
              <w:adjustRightInd w:val="0"/>
              <w:snapToGrid w:val="0"/>
              <w:spacing w:line="360" w:lineRule="auto"/>
              <w:ind w:firstLine="480" w:firstLineChars="200"/>
              <w:jc w:val="left"/>
              <w:rPr>
                <w:bCs/>
                <w:kern w:val="0"/>
                <w:sz w:val="24"/>
              </w:rPr>
            </w:pPr>
            <w:r>
              <w:rPr>
                <w:rFonts w:hint="eastAsia"/>
                <w:bCs/>
                <w:kern w:val="0"/>
                <w:sz w:val="24"/>
              </w:rPr>
              <w:t>综上，</w:t>
            </w:r>
            <w:r>
              <w:rPr>
                <w:bCs/>
                <w:kern w:val="0"/>
                <w:sz w:val="24"/>
              </w:rPr>
              <w:t>项目建设满足《湖南省工业炉窑大气污染综合治理实施方案》中相关要求。</w:t>
            </w:r>
          </w:p>
          <w:p w14:paraId="654C580B">
            <w:pPr>
              <w:autoSpaceDE w:val="0"/>
              <w:autoSpaceDN w:val="0"/>
              <w:adjustRightInd w:val="0"/>
              <w:snapToGrid w:val="0"/>
              <w:spacing w:line="360" w:lineRule="auto"/>
              <w:ind w:firstLine="482" w:firstLineChars="200"/>
              <w:jc w:val="left"/>
              <w:rPr>
                <w:bCs/>
                <w:kern w:val="0"/>
                <w:sz w:val="24"/>
              </w:rPr>
            </w:pPr>
            <w:r>
              <w:rPr>
                <w:rFonts w:hint="eastAsia"/>
                <w:b/>
                <w:bCs/>
                <w:kern w:val="0"/>
                <w:sz w:val="24"/>
              </w:rPr>
              <w:t>10、与</w:t>
            </w:r>
            <w:r>
              <w:rPr>
                <w:rFonts w:hint="eastAsia"/>
                <w:b/>
                <w:sz w:val="24"/>
                <w:szCs w:val="21"/>
              </w:rPr>
              <w:t>《衡阳市“十四五”农业农村现代化发展规划》相符性分析</w:t>
            </w:r>
          </w:p>
          <w:p w14:paraId="61483DFF">
            <w:pPr>
              <w:autoSpaceDE w:val="0"/>
              <w:autoSpaceDN w:val="0"/>
              <w:adjustRightInd w:val="0"/>
              <w:snapToGrid w:val="0"/>
              <w:spacing w:line="360" w:lineRule="auto"/>
              <w:ind w:firstLine="480" w:firstLineChars="200"/>
              <w:jc w:val="left"/>
              <w:rPr>
                <w:bCs/>
                <w:kern w:val="0"/>
                <w:sz w:val="24"/>
              </w:rPr>
            </w:pPr>
            <w:r>
              <w:rPr>
                <w:bCs/>
                <w:kern w:val="0"/>
                <w:sz w:val="24"/>
              </w:rPr>
              <w:t>规划中指出：</w:t>
            </w:r>
            <w:r>
              <w:rPr>
                <w:rFonts w:hint="eastAsia"/>
                <w:bCs/>
                <w:kern w:val="0"/>
                <w:sz w:val="24"/>
              </w:rPr>
              <w:t>以保障国家粮食安全为底线，进一步发挥优质稻米产业优势。贯彻落实粮食安全党政同责要求，坚决遏制耕地“非农化”，防止“非粮化”，开展粮食节约行动，提升粮食等重要农产品收储调控能力，建设区域性商品粮收储、加工和集散中心。将稻谷作为必保品种，稳定红薯、玉米生产，确保粮食基本自给、口粮绝对安全。</w:t>
            </w:r>
          </w:p>
          <w:p w14:paraId="1550617C">
            <w:pPr>
              <w:autoSpaceDE w:val="0"/>
              <w:autoSpaceDN w:val="0"/>
              <w:adjustRightInd w:val="0"/>
              <w:snapToGrid w:val="0"/>
              <w:spacing w:line="360" w:lineRule="auto"/>
              <w:ind w:firstLine="480" w:firstLineChars="200"/>
              <w:rPr>
                <w:bCs/>
                <w:sz w:val="24"/>
                <w:szCs w:val="21"/>
              </w:rPr>
            </w:pPr>
            <w:r>
              <w:rPr>
                <w:rFonts w:hint="eastAsia"/>
                <w:bCs/>
                <w:sz w:val="24"/>
                <w:szCs w:val="21"/>
              </w:rPr>
              <w:t>本项目为</w:t>
            </w:r>
            <w:r>
              <w:rPr>
                <w:rFonts w:hint="eastAsia" w:cs="宋体"/>
                <w:sz w:val="24"/>
              </w:rPr>
              <w:t>粮食烘干仓储中心建设项目</w:t>
            </w:r>
            <w:r>
              <w:rPr>
                <w:rFonts w:hint="eastAsia"/>
                <w:bCs/>
                <w:sz w:val="24"/>
                <w:szCs w:val="21"/>
              </w:rPr>
              <w:t>，对提高衡阳市衡山县粮食种植、流动、生产，减少粮食储藏过程中的损耗，节约稻谷种植耕地、水资源和农业生产资料的投入，保障农民生产积极性有巨大的促进作用；同时能够完善当地粮食仓储物流体系。</w:t>
            </w:r>
          </w:p>
          <w:p w14:paraId="50209C1B">
            <w:pPr>
              <w:autoSpaceDE w:val="0"/>
              <w:autoSpaceDN w:val="0"/>
              <w:adjustRightInd w:val="0"/>
              <w:snapToGrid w:val="0"/>
              <w:spacing w:line="360" w:lineRule="auto"/>
              <w:ind w:firstLine="480" w:firstLineChars="200"/>
              <w:jc w:val="left"/>
              <w:rPr>
                <w:bCs/>
                <w:kern w:val="0"/>
                <w:sz w:val="24"/>
              </w:rPr>
            </w:pPr>
            <w:r>
              <w:rPr>
                <w:rFonts w:hint="eastAsia"/>
                <w:bCs/>
                <w:sz w:val="24"/>
                <w:szCs w:val="21"/>
              </w:rPr>
              <w:t>综上所述，本项目符合《衡阳市“十四五”农业农村现代化发展规划》要求。</w:t>
            </w:r>
          </w:p>
          <w:p w14:paraId="4F0ED06E">
            <w:pPr>
              <w:autoSpaceDE w:val="0"/>
              <w:autoSpaceDN w:val="0"/>
              <w:adjustRightInd w:val="0"/>
              <w:snapToGrid w:val="0"/>
              <w:spacing w:line="360" w:lineRule="auto"/>
              <w:ind w:firstLine="482" w:firstLineChars="200"/>
              <w:rPr>
                <w:rFonts w:cs="宋体"/>
                <w:b/>
                <w:sz w:val="24"/>
              </w:rPr>
            </w:pPr>
            <w:r>
              <w:rPr>
                <w:rFonts w:hint="eastAsia" w:cs="宋体"/>
                <w:b/>
                <w:sz w:val="24"/>
              </w:rPr>
              <w:t>11、与《衡山县高污染燃料禁燃区划分方案》符合性分析</w:t>
            </w:r>
          </w:p>
          <w:p w14:paraId="7E75E81E">
            <w:pPr>
              <w:autoSpaceDE w:val="0"/>
              <w:autoSpaceDN w:val="0"/>
              <w:adjustRightInd w:val="0"/>
              <w:snapToGrid w:val="0"/>
              <w:spacing w:line="360" w:lineRule="auto"/>
              <w:ind w:firstLine="480" w:firstLineChars="200"/>
              <w:rPr>
                <w:sz w:val="24"/>
              </w:rPr>
            </w:pPr>
            <w:bookmarkStart w:id="19" w:name="OLE_LINK147"/>
            <w:r>
              <w:rPr>
                <w:rFonts w:hint="eastAsia"/>
                <w:sz w:val="24"/>
              </w:rPr>
              <w:t>根据</w:t>
            </w:r>
            <w:bookmarkStart w:id="20" w:name="OLE_LINK148"/>
            <w:bookmarkStart w:id="21" w:name="OLE_LINK149"/>
            <w:r>
              <w:rPr>
                <w:rFonts w:hint="eastAsia"/>
                <w:sz w:val="24"/>
              </w:rPr>
              <w:t>《衡山县高污染燃料禁燃区划分方案》</w:t>
            </w:r>
            <w:bookmarkEnd w:id="19"/>
            <w:bookmarkEnd w:id="20"/>
            <w:bookmarkEnd w:id="21"/>
            <w:r>
              <w:rPr>
                <w:rFonts w:hint="eastAsia"/>
                <w:sz w:val="24"/>
              </w:rPr>
              <w:t>文件可知：高污染燃料禁燃区划定范围以城市建成区为重点，逐步向周边具备条件的乡镇延伸。根据衡山县建成区与天然气铺设区域，结合我县大气污染防治进展情况，划定的高污染燃料禁燃区范围位于衡山县城区域，即：达湘路--黄花路--工业大道--朝阳路青山路外环路坪塘路金龙大道--黄花路衡山大道--白竹路--武广大道--金山东路西侧--紫巾路合围的区域。</w:t>
            </w:r>
          </w:p>
          <w:p w14:paraId="1C1544BC">
            <w:pPr>
              <w:autoSpaceDE w:val="0"/>
              <w:autoSpaceDN w:val="0"/>
              <w:adjustRightInd w:val="0"/>
              <w:snapToGrid w:val="0"/>
              <w:spacing w:line="360" w:lineRule="auto"/>
              <w:ind w:firstLine="480" w:firstLineChars="200"/>
              <w:rPr>
                <w:rFonts w:cs="宋体"/>
                <w:sz w:val="24"/>
              </w:rPr>
            </w:pPr>
            <w:r>
              <w:rPr>
                <w:rFonts w:hint="eastAsia"/>
                <w:sz w:val="24"/>
              </w:rPr>
              <w:t>根据大气环境质量改善和能源消费结构优化等要求，结合衡山县的特点，禁燃区范围内禁止燃用的高污染燃料组合类别选择《高污染燃料目录》中的“I类”。</w:t>
            </w:r>
          </w:p>
          <w:p w14:paraId="617840CB">
            <w:pPr>
              <w:autoSpaceDE w:val="0"/>
              <w:autoSpaceDN w:val="0"/>
              <w:adjustRightInd w:val="0"/>
              <w:snapToGrid w:val="0"/>
              <w:spacing w:line="360" w:lineRule="auto"/>
              <w:ind w:firstLine="480" w:firstLineChars="200"/>
              <w:jc w:val="left"/>
              <w:rPr>
                <w:sz w:val="24"/>
              </w:rPr>
            </w:pPr>
            <w:r>
              <w:rPr>
                <w:bCs/>
                <w:kern w:val="0"/>
                <w:sz w:val="24"/>
              </w:rPr>
              <w:t>本项目位于白果镇岳北村，不属于上述</w:t>
            </w:r>
            <w:r>
              <w:rPr>
                <w:rFonts w:hint="eastAsia"/>
                <w:sz w:val="24"/>
              </w:rPr>
              <w:t>高污染燃料禁燃区划定范围内；同时，项目生物质热风炉配置了高效除尘设施，因此本项目中的生物质成型燃料不属于高污染燃料，且生物质成型燃料中硫、氮和灰分含量较低，可实现清洁高效燃烧，产生的二氧化硫、氮氧化物和烟尘较少。</w:t>
            </w:r>
          </w:p>
          <w:p w14:paraId="24105EA8">
            <w:pPr>
              <w:autoSpaceDE w:val="0"/>
              <w:autoSpaceDN w:val="0"/>
              <w:adjustRightInd w:val="0"/>
              <w:snapToGrid w:val="0"/>
              <w:spacing w:line="360" w:lineRule="auto"/>
              <w:ind w:firstLine="480" w:firstLineChars="200"/>
              <w:jc w:val="left"/>
              <w:rPr>
                <w:sz w:val="24"/>
              </w:rPr>
            </w:pPr>
            <w:r>
              <w:rPr>
                <w:rFonts w:hint="eastAsia"/>
                <w:sz w:val="24"/>
              </w:rPr>
              <w:t>综上，项目与《衡山县高污染燃料禁燃区划分方案》相关要求相符。</w:t>
            </w:r>
          </w:p>
          <w:p w14:paraId="0E1675A6">
            <w:pPr>
              <w:autoSpaceDE w:val="0"/>
              <w:autoSpaceDN w:val="0"/>
              <w:adjustRightInd w:val="0"/>
              <w:snapToGrid w:val="0"/>
              <w:spacing w:line="360" w:lineRule="auto"/>
              <w:ind w:firstLine="482" w:firstLineChars="200"/>
              <w:jc w:val="left"/>
              <w:rPr>
                <w:rFonts w:cs="宋体"/>
                <w:b/>
                <w:sz w:val="24"/>
              </w:rPr>
            </w:pPr>
            <w:r>
              <w:rPr>
                <w:rFonts w:hint="eastAsia"/>
                <w:b/>
                <w:sz w:val="24"/>
              </w:rPr>
              <w:t>12、与《湖南省大气污染防治攻坚三年行动实施方案（2026—2028年）》</w:t>
            </w:r>
            <w:r>
              <w:rPr>
                <w:rFonts w:hint="eastAsia" w:cs="宋体"/>
                <w:b/>
                <w:sz w:val="24"/>
              </w:rPr>
              <w:t>符合性分析</w:t>
            </w:r>
          </w:p>
          <w:p w14:paraId="7BA85883">
            <w:pPr>
              <w:autoSpaceDE w:val="0"/>
              <w:autoSpaceDN w:val="0"/>
              <w:adjustRightInd w:val="0"/>
              <w:snapToGrid w:val="0"/>
              <w:spacing w:line="360" w:lineRule="auto"/>
              <w:ind w:firstLine="480" w:firstLineChars="200"/>
              <w:jc w:val="left"/>
              <w:rPr>
                <w:bCs/>
                <w:kern w:val="0"/>
                <w:sz w:val="24"/>
              </w:rPr>
            </w:pPr>
            <w:r>
              <w:rPr>
                <w:rFonts w:hint="eastAsia"/>
                <w:bCs/>
                <w:kern w:val="0"/>
                <w:sz w:val="24"/>
              </w:rPr>
              <w:t>《湖南省大气污染防治攻坚三年行动实施方案（2026—2028年）》提出：加快炉窑清洁能源替代，原则上不再新建燃用高污染燃料的炉窑。建立非电用煤清洁能源替代任务清单，推进以煤、石油焦、重油等为燃料的炉窑改用工业余热、电、天然气等清洁能源，玻璃、陶瓷、有色、铸造、石化化工、粮食烘干、烤烟等行业积极推广电/氢能源炉窑、电/氢能源加热技术。2028年底前，基本完成粮食烘干和烤烟房散煤替代。</w:t>
            </w:r>
          </w:p>
          <w:p w14:paraId="51931B1A">
            <w:pPr>
              <w:autoSpaceDE w:val="0"/>
              <w:autoSpaceDN w:val="0"/>
              <w:adjustRightInd w:val="0"/>
              <w:snapToGrid w:val="0"/>
              <w:spacing w:line="360" w:lineRule="auto"/>
              <w:ind w:firstLine="480" w:firstLineChars="200"/>
              <w:rPr>
                <w:sz w:val="24"/>
              </w:rPr>
            </w:pPr>
            <w:bookmarkStart w:id="22" w:name="OLE_LINK150"/>
            <w:bookmarkStart w:id="23" w:name="OLE_LINK151"/>
            <w:r>
              <w:rPr>
                <w:rFonts w:hint="eastAsia"/>
                <w:bCs/>
                <w:kern w:val="0"/>
                <w:sz w:val="24"/>
              </w:rPr>
              <w:t>本项目生物质热风炉使用的燃料为生物质颗粒，属于清洁低碳能源</w:t>
            </w:r>
            <w:bookmarkEnd w:id="22"/>
            <w:bookmarkEnd w:id="23"/>
            <w:r>
              <w:rPr>
                <w:rFonts w:hint="eastAsia"/>
                <w:bCs/>
                <w:kern w:val="0"/>
                <w:sz w:val="24"/>
              </w:rPr>
              <w:t>，热风炉烟气经旋风+布袋除尘处理后有组织排放，可达标排放，符合《湖南省大气污染防治攻坚三年行动实施方案（2026—2028年）》相关要求。</w:t>
            </w:r>
          </w:p>
          <w:p w14:paraId="25180C87">
            <w:pPr>
              <w:autoSpaceDE w:val="0"/>
              <w:autoSpaceDN w:val="0"/>
              <w:adjustRightInd w:val="0"/>
              <w:snapToGrid w:val="0"/>
              <w:spacing w:line="360" w:lineRule="auto"/>
              <w:ind w:firstLine="482" w:firstLineChars="200"/>
              <w:jc w:val="left"/>
              <w:rPr>
                <w:rFonts w:cs="宋体"/>
                <w:b/>
                <w:sz w:val="24"/>
              </w:rPr>
            </w:pPr>
            <w:r>
              <w:rPr>
                <w:rFonts w:hint="eastAsia"/>
                <w:b/>
                <w:sz w:val="24"/>
              </w:rPr>
              <w:t>13、与《长江中游城市群大气污染防治攻坚三年行动方案（2026-2028）》</w:t>
            </w:r>
            <w:r>
              <w:rPr>
                <w:rFonts w:hint="eastAsia" w:cs="宋体"/>
                <w:b/>
                <w:sz w:val="24"/>
              </w:rPr>
              <w:t>符合性分析</w:t>
            </w:r>
          </w:p>
          <w:p w14:paraId="5CF674B4">
            <w:pPr>
              <w:pStyle w:val="2"/>
              <w:spacing w:line="360" w:lineRule="auto"/>
              <w:ind w:firstLine="480" w:firstLineChars="200"/>
              <w:jc w:val="both"/>
              <w:rPr>
                <w:rFonts w:ascii="Times New Roman" w:cs="Times New Roman"/>
                <w:bCs/>
                <w:color w:val="auto"/>
                <w:kern w:val="0"/>
              </w:rPr>
            </w:pPr>
            <w:r>
              <w:rPr>
                <w:rFonts w:hint="eastAsia" w:ascii="Times New Roman" w:cs="Times New Roman"/>
                <w:bCs/>
                <w:color w:val="auto"/>
                <w:kern w:val="0"/>
              </w:rPr>
              <w:t>项目与《长江中游城市群大气污染防治攻坚三年行动方案（2026-2028）》相符</w:t>
            </w:r>
            <w:r>
              <w:rPr>
                <w:rFonts w:ascii="Times New Roman" w:cs="Times New Roman"/>
                <w:bCs/>
                <w:color w:val="auto"/>
                <w:kern w:val="0"/>
              </w:rPr>
              <w:t>性分析如下：</w:t>
            </w:r>
          </w:p>
          <w:p w14:paraId="6A37F8ED">
            <w:pPr>
              <w:autoSpaceDE w:val="0"/>
              <w:autoSpaceDN w:val="0"/>
              <w:adjustRightInd w:val="0"/>
              <w:snapToGrid w:val="0"/>
              <w:spacing w:before="120" w:beforeLines="50"/>
              <w:jc w:val="center"/>
              <w:rPr>
                <w:b/>
                <w:bCs/>
              </w:rPr>
            </w:pPr>
            <w:r>
              <w:rPr>
                <w:b/>
              </w:rPr>
              <w:t>表</w:t>
            </w:r>
            <w:r>
              <w:rPr>
                <w:rFonts w:hint="eastAsia"/>
                <w:b/>
              </w:rPr>
              <w:t xml:space="preserve">1-4  </w:t>
            </w:r>
            <w:r>
              <w:rPr>
                <w:rFonts w:hint="eastAsia"/>
                <w:b/>
                <w:bCs/>
              </w:rPr>
              <w:t>与《长江中游城市群大气污染防治攻坚三年行动方案（2026-2028）》相符性分析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7"/>
              <w:gridCol w:w="4678"/>
              <w:gridCol w:w="2920"/>
              <w:gridCol w:w="812"/>
            </w:tblGrid>
            <w:tr w14:paraId="4C6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41097C42">
                  <w:pPr>
                    <w:autoSpaceDE w:val="0"/>
                    <w:autoSpaceDN w:val="0"/>
                    <w:adjustRightInd w:val="0"/>
                    <w:snapToGrid w:val="0"/>
                    <w:jc w:val="center"/>
                    <w:rPr>
                      <w:rFonts w:eastAsiaTheme="minorEastAsia"/>
                      <w:b/>
                      <w:bCs/>
                    </w:rPr>
                  </w:pPr>
                  <w:r>
                    <w:rPr>
                      <w:rFonts w:eastAsiaTheme="minorEastAsia"/>
                      <w:b/>
                      <w:bCs/>
                    </w:rPr>
                    <w:t>序号</w:t>
                  </w:r>
                </w:p>
              </w:tc>
              <w:tc>
                <w:tcPr>
                  <w:tcW w:w="2560" w:type="pct"/>
                  <w:vAlign w:val="center"/>
                </w:tcPr>
                <w:p w14:paraId="4FB94FF0">
                  <w:pPr>
                    <w:autoSpaceDE w:val="0"/>
                    <w:autoSpaceDN w:val="0"/>
                    <w:adjustRightInd w:val="0"/>
                    <w:snapToGrid w:val="0"/>
                    <w:jc w:val="center"/>
                    <w:rPr>
                      <w:rFonts w:eastAsiaTheme="minorEastAsia"/>
                      <w:b/>
                      <w:bCs/>
                    </w:rPr>
                  </w:pPr>
                  <w:r>
                    <w:rPr>
                      <w:rFonts w:hint="eastAsia" w:eastAsiaTheme="minorEastAsia"/>
                      <w:b/>
                      <w:bCs/>
                    </w:rPr>
                    <w:t>《长江中游城市群大气污染防治攻坚三年行动方案（2026-2028）》相关要求</w:t>
                  </w:r>
                </w:p>
              </w:tc>
              <w:tc>
                <w:tcPr>
                  <w:tcW w:w="1598" w:type="pct"/>
                  <w:vAlign w:val="center"/>
                </w:tcPr>
                <w:p w14:paraId="71DD7C3B">
                  <w:pPr>
                    <w:autoSpaceDE w:val="0"/>
                    <w:autoSpaceDN w:val="0"/>
                    <w:adjustRightInd w:val="0"/>
                    <w:snapToGrid w:val="0"/>
                    <w:jc w:val="center"/>
                    <w:rPr>
                      <w:rFonts w:eastAsiaTheme="minorEastAsia"/>
                      <w:b/>
                      <w:bCs/>
                    </w:rPr>
                  </w:pPr>
                  <w:r>
                    <w:rPr>
                      <w:rFonts w:eastAsiaTheme="minorEastAsia"/>
                      <w:b/>
                      <w:bCs/>
                    </w:rPr>
                    <w:t>本项目情况</w:t>
                  </w:r>
                </w:p>
              </w:tc>
              <w:tc>
                <w:tcPr>
                  <w:tcW w:w="444" w:type="pct"/>
                  <w:vAlign w:val="center"/>
                </w:tcPr>
                <w:p w14:paraId="30008F35">
                  <w:pPr>
                    <w:autoSpaceDE w:val="0"/>
                    <w:autoSpaceDN w:val="0"/>
                    <w:adjustRightInd w:val="0"/>
                    <w:snapToGrid w:val="0"/>
                    <w:jc w:val="center"/>
                    <w:rPr>
                      <w:rFonts w:eastAsiaTheme="minorEastAsia"/>
                      <w:b/>
                      <w:bCs/>
                    </w:rPr>
                  </w:pPr>
                  <w:r>
                    <w:rPr>
                      <w:rFonts w:eastAsiaTheme="minorEastAsia"/>
                      <w:b/>
                      <w:bCs/>
                    </w:rPr>
                    <w:t>符合性</w:t>
                  </w:r>
                </w:p>
              </w:tc>
            </w:tr>
            <w:tr w14:paraId="4D548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5AFB1F69">
                  <w:pPr>
                    <w:autoSpaceDE w:val="0"/>
                    <w:autoSpaceDN w:val="0"/>
                    <w:adjustRightInd w:val="0"/>
                    <w:snapToGrid w:val="0"/>
                    <w:jc w:val="center"/>
                    <w:rPr>
                      <w:rFonts w:eastAsiaTheme="minorEastAsia"/>
                      <w:bCs/>
                    </w:rPr>
                  </w:pPr>
                  <w:r>
                    <w:rPr>
                      <w:rFonts w:hint="eastAsia" w:eastAsiaTheme="minorEastAsia"/>
                      <w:bCs/>
                    </w:rPr>
                    <w:t>1</w:t>
                  </w:r>
                </w:p>
              </w:tc>
              <w:tc>
                <w:tcPr>
                  <w:tcW w:w="2560" w:type="pct"/>
                  <w:vAlign w:val="center"/>
                </w:tcPr>
                <w:p w14:paraId="7F6F44AE">
                  <w:pPr>
                    <w:autoSpaceDE w:val="0"/>
                    <w:autoSpaceDN w:val="0"/>
                    <w:adjustRightInd w:val="0"/>
                    <w:snapToGrid w:val="0"/>
                    <w:jc w:val="center"/>
                    <w:rPr>
                      <w:rFonts w:eastAsiaTheme="minorEastAsia"/>
                      <w:bCs/>
                    </w:rPr>
                  </w:pPr>
                  <w:r>
                    <w:rPr>
                      <w:rFonts w:hint="eastAsia" w:eastAsiaTheme="minorEastAsia"/>
                      <w:bCs/>
                    </w:rPr>
                    <w:t>严格“两高”项目准入。落实长江经济带发展战略和生态环境分区管控要求，严守准入门槛，严禁不符合国家产业政策的“两高”项目盲目发展和低水平转入；对整体承接产业转移的工业园区依法开展规划环评。严禁新增钢铁、焦化、水泥熟料、平板玻璃、电解铝、氧化铝、煤化工产能，严控新增炼油、磷铵、铜冶炼、铅锌冶炼产能。推进新改扩建“两高”项目能效达到标杆水平，环保绩效达到A级水平；其他新建项目原则上达到B级及以上绩效水平；涉及含挥发性有机物（VOCs）原辅材料项目，技术可行的应使用低（无）VOCs含量产品。</w:t>
                  </w:r>
                </w:p>
              </w:tc>
              <w:tc>
                <w:tcPr>
                  <w:tcW w:w="1598" w:type="pct"/>
                  <w:vAlign w:val="center"/>
                </w:tcPr>
                <w:p w14:paraId="7D415B79">
                  <w:pPr>
                    <w:autoSpaceDE w:val="0"/>
                    <w:autoSpaceDN w:val="0"/>
                    <w:adjustRightInd w:val="0"/>
                    <w:snapToGrid w:val="0"/>
                    <w:jc w:val="center"/>
                    <w:rPr>
                      <w:rFonts w:eastAsiaTheme="minorEastAsia"/>
                      <w:bCs/>
                    </w:rPr>
                  </w:pPr>
                  <w:r>
                    <w:rPr>
                      <w:rFonts w:hint="eastAsia" w:eastAsiaTheme="minorEastAsia"/>
                      <w:bCs/>
                    </w:rPr>
                    <w:t>本项目属于电力、热力生产和供应业、热力生产和供应工程，对照《湖南省“两高”项目管理目录》，本项目不属于两高项目；本项目不涉及含挥发性有机物（VOCs）原辅材料项目</w:t>
                  </w:r>
                </w:p>
              </w:tc>
              <w:tc>
                <w:tcPr>
                  <w:tcW w:w="444" w:type="pct"/>
                  <w:vAlign w:val="center"/>
                </w:tcPr>
                <w:p w14:paraId="2CAC30E0">
                  <w:pPr>
                    <w:autoSpaceDE w:val="0"/>
                    <w:autoSpaceDN w:val="0"/>
                    <w:adjustRightInd w:val="0"/>
                    <w:snapToGrid w:val="0"/>
                    <w:jc w:val="center"/>
                    <w:rPr>
                      <w:rFonts w:eastAsiaTheme="minorEastAsia"/>
                      <w:bCs/>
                    </w:rPr>
                  </w:pPr>
                  <w:r>
                    <w:rPr>
                      <w:rFonts w:eastAsiaTheme="minorEastAsia"/>
                      <w:bCs/>
                    </w:rPr>
                    <w:t>符合</w:t>
                  </w:r>
                </w:p>
              </w:tc>
            </w:tr>
            <w:tr w14:paraId="7D325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8" w:type="pct"/>
                  <w:vAlign w:val="center"/>
                </w:tcPr>
                <w:p w14:paraId="3173517A">
                  <w:pPr>
                    <w:autoSpaceDE w:val="0"/>
                    <w:autoSpaceDN w:val="0"/>
                    <w:adjustRightInd w:val="0"/>
                    <w:snapToGrid w:val="0"/>
                    <w:jc w:val="center"/>
                    <w:rPr>
                      <w:rFonts w:eastAsiaTheme="minorEastAsia"/>
                      <w:bCs/>
                    </w:rPr>
                  </w:pPr>
                  <w:r>
                    <w:rPr>
                      <w:rFonts w:hint="eastAsia" w:eastAsiaTheme="minorEastAsia"/>
                      <w:bCs/>
                    </w:rPr>
                    <w:t>2</w:t>
                  </w:r>
                </w:p>
              </w:tc>
              <w:tc>
                <w:tcPr>
                  <w:tcW w:w="2560" w:type="pct"/>
                  <w:vAlign w:val="center"/>
                </w:tcPr>
                <w:p w14:paraId="776B0E08">
                  <w:pPr>
                    <w:autoSpaceDE w:val="0"/>
                    <w:autoSpaceDN w:val="0"/>
                    <w:adjustRightInd w:val="0"/>
                    <w:snapToGrid w:val="0"/>
                    <w:jc w:val="center"/>
                    <w:rPr>
                      <w:rFonts w:eastAsiaTheme="minorEastAsia"/>
                      <w:bCs/>
                    </w:rPr>
                  </w:pPr>
                  <w:r>
                    <w:rPr>
                      <w:rFonts w:hint="eastAsia" w:eastAsiaTheme="minorEastAsia"/>
                      <w:bCs/>
                    </w:rPr>
                    <w:t>加快工业炉窑清洁能源替代。重点城市原则上不再新建燃用高污染燃料的工业炉窑。推进以煤、石油焦、重油等为燃料的工业炉窑改用工业余热、电、天然气等清洁能源。玻璃、陶瓷、有色、铸造、石化化工等行业积极推广电炉窑、电加热技术。到2028年，平板玻璃1.3亿重量箱产能、重点城市87台燃料类煤气发生炉基本完成清洁能源替代</w:t>
                  </w:r>
                </w:p>
              </w:tc>
              <w:tc>
                <w:tcPr>
                  <w:tcW w:w="1598" w:type="pct"/>
                  <w:vAlign w:val="center"/>
                </w:tcPr>
                <w:p w14:paraId="100B7141">
                  <w:pPr>
                    <w:autoSpaceDE w:val="0"/>
                    <w:autoSpaceDN w:val="0"/>
                    <w:adjustRightInd w:val="0"/>
                    <w:snapToGrid w:val="0"/>
                    <w:jc w:val="center"/>
                    <w:rPr>
                      <w:rFonts w:eastAsiaTheme="minorEastAsia"/>
                      <w:bCs/>
                    </w:rPr>
                  </w:pPr>
                  <w:r>
                    <w:rPr>
                      <w:rFonts w:hint="eastAsia" w:eastAsiaTheme="minorEastAsia"/>
                      <w:bCs/>
                    </w:rPr>
                    <w:t>项目生物质热风炉使用的燃料为生物质颗粒，属于清洁低碳能源，热风炉烟气经旋风+布袋除尘处理后有组织排放，可达标排放</w:t>
                  </w:r>
                </w:p>
              </w:tc>
              <w:tc>
                <w:tcPr>
                  <w:tcW w:w="444" w:type="pct"/>
                  <w:vAlign w:val="center"/>
                </w:tcPr>
                <w:p w14:paraId="70AA9108">
                  <w:pPr>
                    <w:autoSpaceDE w:val="0"/>
                    <w:autoSpaceDN w:val="0"/>
                    <w:adjustRightInd w:val="0"/>
                    <w:snapToGrid w:val="0"/>
                    <w:jc w:val="center"/>
                    <w:rPr>
                      <w:rFonts w:eastAsiaTheme="minorEastAsia"/>
                      <w:bCs/>
                    </w:rPr>
                  </w:pPr>
                  <w:r>
                    <w:rPr>
                      <w:rFonts w:eastAsiaTheme="minorEastAsia"/>
                      <w:bCs/>
                    </w:rPr>
                    <w:t>符合</w:t>
                  </w:r>
                </w:p>
              </w:tc>
            </w:tr>
          </w:tbl>
          <w:p w14:paraId="4023B1A7">
            <w:pPr>
              <w:autoSpaceDE w:val="0"/>
              <w:autoSpaceDN w:val="0"/>
              <w:adjustRightInd w:val="0"/>
              <w:snapToGrid w:val="0"/>
              <w:spacing w:line="360" w:lineRule="auto"/>
              <w:ind w:firstLine="480" w:firstLineChars="200"/>
              <w:jc w:val="left"/>
              <w:rPr>
                <w:b/>
                <w:kern w:val="0"/>
                <w:sz w:val="24"/>
              </w:rPr>
            </w:pPr>
            <w:r>
              <w:rPr>
                <w:rFonts w:hint="eastAsia"/>
                <w:bCs/>
                <w:kern w:val="0"/>
                <w:sz w:val="24"/>
              </w:rPr>
              <w:t>综上，项目符合与《长江中游城市群大气污染防治攻坚三年行动方案（2026-2028）》中相关要求。</w:t>
            </w:r>
          </w:p>
          <w:p w14:paraId="4BDC23CA">
            <w:pPr>
              <w:autoSpaceDE w:val="0"/>
              <w:autoSpaceDN w:val="0"/>
              <w:adjustRightInd w:val="0"/>
              <w:snapToGrid w:val="0"/>
              <w:spacing w:line="360" w:lineRule="auto"/>
              <w:ind w:firstLine="482" w:firstLineChars="200"/>
              <w:rPr>
                <w:sz w:val="24"/>
              </w:rPr>
            </w:pPr>
            <w:r>
              <w:rPr>
                <w:rFonts w:hint="eastAsia"/>
                <w:b/>
                <w:sz w:val="24"/>
              </w:rPr>
              <w:t>14、与《粮油仓储管理办法》相符性分析</w:t>
            </w:r>
          </w:p>
          <w:p w14:paraId="2AF839F6">
            <w:pPr>
              <w:autoSpaceDE w:val="0"/>
              <w:autoSpaceDN w:val="0"/>
              <w:adjustRightInd w:val="0"/>
              <w:snapToGrid w:val="0"/>
              <w:spacing w:line="360" w:lineRule="auto"/>
              <w:ind w:firstLine="480" w:firstLineChars="200"/>
              <w:rPr>
                <w:sz w:val="24"/>
              </w:rPr>
            </w:pPr>
            <w:r>
              <w:rPr>
                <w:rFonts w:hint="eastAsia"/>
                <w:sz w:val="24"/>
              </w:rPr>
              <w:t>本项目与《粮油仓储管理办法》相符性分析：根据《粮油仓储管理办法》中关于污染源、危险源安全距离的规定，粮油仓储单位的固定经营场地至污染源、危险源的距离应当满足以下要求：距有害元素的矿山、炼焦、炼油、煤气、化工（包括有毒化合物的生产）、塑料、橡胶制品及加工、人造纤维、油漆、农药、化肥等排放有毒气体的生产 单位，不小于1000米；距屠宰场、集中垃圾堆场、污水处理站等单位，不小于500m；距砖瓦厂、混凝土及石膏制品厂等粉尘污染源，不小于100m。</w:t>
            </w:r>
          </w:p>
          <w:p w14:paraId="2494A300">
            <w:pPr>
              <w:autoSpaceDE w:val="0"/>
              <w:autoSpaceDN w:val="0"/>
              <w:adjustRightInd w:val="0"/>
              <w:snapToGrid w:val="0"/>
              <w:spacing w:line="360" w:lineRule="auto"/>
              <w:ind w:firstLine="480" w:firstLineChars="200"/>
              <w:rPr>
                <w:sz w:val="24"/>
              </w:rPr>
            </w:pPr>
            <w:r>
              <w:rPr>
                <w:rFonts w:hint="eastAsia"/>
                <w:sz w:val="24"/>
              </w:rPr>
              <w:t>本项目东侧隔S331为居民、西侧为山体，南侧为衡山县兆鑫工艺品有限公司（已关停），北侧为居民；周围无上述污染源，满足《粮油仓储管理办法》（国家发改委2009年第5号）的要求。</w:t>
            </w:r>
          </w:p>
          <w:p w14:paraId="224C22BF">
            <w:pPr>
              <w:autoSpaceDE w:val="0"/>
              <w:autoSpaceDN w:val="0"/>
              <w:adjustRightInd w:val="0"/>
              <w:snapToGrid w:val="0"/>
              <w:spacing w:line="360" w:lineRule="auto"/>
              <w:ind w:firstLine="480" w:firstLineChars="200"/>
              <w:rPr>
                <w:sz w:val="24"/>
              </w:rPr>
            </w:pPr>
          </w:p>
          <w:p w14:paraId="28153F9C">
            <w:pPr>
              <w:pStyle w:val="2"/>
              <w:rPr>
                <w:color w:val="auto"/>
              </w:rPr>
            </w:pPr>
          </w:p>
          <w:p w14:paraId="65D6DE19">
            <w:pPr>
              <w:pStyle w:val="4"/>
            </w:pPr>
          </w:p>
          <w:p w14:paraId="5E831B0F"/>
          <w:p w14:paraId="411E4A88">
            <w:pPr>
              <w:pStyle w:val="2"/>
              <w:rPr>
                <w:color w:val="auto"/>
              </w:rPr>
            </w:pPr>
          </w:p>
          <w:p w14:paraId="2A194A21">
            <w:pPr>
              <w:pStyle w:val="4"/>
            </w:pPr>
          </w:p>
          <w:p w14:paraId="3841E0D7"/>
          <w:p w14:paraId="14EA39AD">
            <w:pPr>
              <w:pStyle w:val="2"/>
              <w:rPr>
                <w:color w:val="auto"/>
              </w:rPr>
            </w:pPr>
          </w:p>
          <w:p w14:paraId="24E3C9B6">
            <w:pPr>
              <w:pStyle w:val="4"/>
            </w:pPr>
          </w:p>
          <w:p w14:paraId="68249335"/>
          <w:p w14:paraId="4AA616D3">
            <w:pPr>
              <w:pStyle w:val="2"/>
              <w:rPr>
                <w:color w:val="auto"/>
              </w:rPr>
            </w:pPr>
          </w:p>
          <w:p w14:paraId="722C8D2F">
            <w:pPr>
              <w:pStyle w:val="4"/>
            </w:pPr>
          </w:p>
          <w:p w14:paraId="23C295D0"/>
          <w:p w14:paraId="03F4EAAC">
            <w:pPr>
              <w:pStyle w:val="2"/>
              <w:rPr>
                <w:color w:val="auto"/>
              </w:rPr>
            </w:pPr>
          </w:p>
          <w:p w14:paraId="20561EC5">
            <w:pPr>
              <w:pStyle w:val="4"/>
            </w:pPr>
          </w:p>
          <w:p w14:paraId="0353E677"/>
          <w:p w14:paraId="08F0966D">
            <w:pPr>
              <w:pStyle w:val="2"/>
              <w:rPr>
                <w:color w:val="auto"/>
              </w:rPr>
            </w:pPr>
          </w:p>
          <w:p w14:paraId="52D65C6D">
            <w:pPr>
              <w:pStyle w:val="4"/>
            </w:pPr>
          </w:p>
          <w:p w14:paraId="65651C68"/>
          <w:p w14:paraId="45067742">
            <w:pPr>
              <w:pStyle w:val="2"/>
              <w:rPr>
                <w:color w:val="auto"/>
              </w:rPr>
            </w:pPr>
          </w:p>
          <w:p w14:paraId="3568FE9C">
            <w:pPr>
              <w:pStyle w:val="4"/>
            </w:pPr>
          </w:p>
          <w:p w14:paraId="4B5ECB51"/>
          <w:p w14:paraId="22459D63">
            <w:pPr>
              <w:pStyle w:val="2"/>
              <w:rPr>
                <w:color w:val="auto"/>
              </w:rPr>
            </w:pPr>
          </w:p>
          <w:p w14:paraId="20216B60">
            <w:pPr>
              <w:pStyle w:val="4"/>
            </w:pPr>
          </w:p>
          <w:p w14:paraId="2F802D3A"/>
          <w:p w14:paraId="0C6FD10C">
            <w:pPr>
              <w:pStyle w:val="2"/>
              <w:rPr>
                <w:color w:val="auto"/>
              </w:rPr>
            </w:pPr>
          </w:p>
          <w:p w14:paraId="444BCF7E">
            <w:pPr>
              <w:pStyle w:val="4"/>
            </w:pPr>
          </w:p>
          <w:p w14:paraId="6A58FE0C"/>
          <w:p w14:paraId="06507022">
            <w:pPr>
              <w:pStyle w:val="2"/>
              <w:rPr>
                <w:color w:val="auto"/>
              </w:rPr>
            </w:pPr>
          </w:p>
          <w:p w14:paraId="36A2BE99">
            <w:pPr>
              <w:pStyle w:val="4"/>
            </w:pPr>
          </w:p>
          <w:p w14:paraId="54BA00B8"/>
          <w:p w14:paraId="46EF4FBD">
            <w:pPr>
              <w:pStyle w:val="2"/>
              <w:rPr>
                <w:color w:val="auto"/>
              </w:rPr>
            </w:pPr>
          </w:p>
          <w:p w14:paraId="0650952E">
            <w:pPr>
              <w:pStyle w:val="4"/>
            </w:pPr>
          </w:p>
          <w:p w14:paraId="192F1FD2"/>
          <w:p w14:paraId="3EFD021A">
            <w:pPr>
              <w:pStyle w:val="2"/>
              <w:rPr>
                <w:color w:val="auto"/>
              </w:rPr>
            </w:pPr>
          </w:p>
          <w:p w14:paraId="7195F3DC">
            <w:pPr>
              <w:pStyle w:val="4"/>
            </w:pPr>
          </w:p>
          <w:p w14:paraId="33E97216">
            <w:pPr>
              <w:pStyle w:val="2"/>
              <w:rPr>
                <w:color w:val="auto"/>
              </w:rPr>
            </w:pPr>
          </w:p>
          <w:p w14:paraId="17B7B739">
            <w:pPr>
              <w:pStyle w:val="4"/>
            </w:pPr>
          </w:p>
          <w:p w14:paraId="62BDBAD4"/>
          <w:p w14:paraId="13C0A5FB">
            <w:pPr>
              <w:pStyle w:val="4"/>
              <w:ind w:left="0" w:leftChars="0" w:firstLine="0" w:firstLineChars="0"/>
            </w:pPr>
          </w:p>
        </w:tc>
      </w:tr>
    </w:tbl>
    <w:p w14:paraId="30F466CD">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p w14:paraId="4189354A">
      <w:pPr>
        <w:pStyle w:val="25"/>
        <w:jc w:val="center"/>
        <w:outlineLvl w:val="0"/>
        <w:rPr>
          <w:rFonts w:ascii="黑体" w:hAnsi="黑体" w:eastAsia="黑体"/>
          <w:snapToGrid w:val="0"/>
          <w:sz w:val="30"/>
          <w:szCs w:val="30"/>
        </w:rPr>
      </w:pPr>
      <w:bookmarkStart w:id="24" w:name="_Toc111712327"/>
      <w:r>
        <w:rPr>
          <w:rFonts w:hint="eastAsia" w:ascii="黑体" w:hAnsi="黑体" w:eastAsia="黑体"/>
          <w:snapToGrid w:val="0"/>
          <w:sz w:val="30"/>
          <w:szCs w:val="30"/>
        </w:rPr>
        <w:t>二、建设项目工程分析</w:t>
      </w:r>
      <w:bookmarkEnd w:id="24"/>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9484"/>
      </w:tblGrid>
      <w:tr w14:paraId="7C98C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vAlign w:val="center"/>
          </w:tcPr>
          <w:p w14:paraId="1C3207D8">
            <w:pPr>
              <w:pStyle w:val="25"/>
              <w:adjustRightInd w:val="0"/>
              <w:snapToGrid w:val="0"/>
              <w:spacing w:before="0" w:beforeAutospacing="0" w:after="0" w:afterAutospacing="0"/>
              <w:jc w:val="center"/>
              <w:rPr>
                <w:rFonts w:cs="宋体"/>
                <w:b/>
                <w:szCs w:val="24"/>
              </w:rPr>
            </w:pPr>
            <w:r>
              <w:rPr>
                <w:rFonts w:hint="eastAsia" w:cs="宋体"/>
                <w:b/>
                <w:szCs w:val="24"/>
              </w:rPr>
              <w:t>建设内容</w:t>
            </w:r>
          </w:p>
        </w:tc>
        <w:tc>
          <w:tcPr>
            <w:tcW w:w="8957" w:type="dxa"/>
          </w:tcPr>
          <w:p w14:paraId="250A7AF3">
            <w:pPr>
              <w:adjustRightInd w:val="0"/>
              <w:snapToGrid w:val="0"/>
              <w:spacing w:line="360" w:lineRule="auto"/>
              <w:ind w:firstLine="482" w:firstLineChars="200"/>
              <w:rPr>
                <w:b/>
                <w:bCs/>
                <w:sz w:val="24"/>
              </w:rPr>
            </w:pPr>
            <w:r>
              <w:rPr>
                <w:b/>
                <w:bCs/>
                <w:sz w:val="24"/>
              </w:rPr>
              <w:t>1、项目由来</w:t>
            </w:r>
          </w:p>
          <w:p w14:paraId="0D4E37DC">
            <w:pPr>
              <w:pStyle w:val="52"/>
              <w:spacing w:line="360" w:lineRule="auto"/>
              <w:ind w:firstLine="480" w:firstLineChars="200"/>
              <w:rPr>
                <w:rFonts w:eastAsia="宋体"/>
                <w:color w:val="auto"/>
                <w:szCs w:val="24"/>
              </w:rPr>
            </w:pPr>
            <w:r>
              <w:rPr>
                <w:rFonts w:hint="eastAsia" w:eastAsia="宋体"/>
                <w:color w:val="auto"/>
                <w:szCs w:val="24"/>
              </w:rPr>
              <w:t>衡山岳北粮食收储有限公司现有粮仓始建于2016年，位于衡山县白果镇岳北村。</w:t>
            </w:r>
            <w:bookmarkStart w:id="25" w:name="OLE_LINK130"/>
            <w:bookmarkStart w:id="26" w:name="OLE_LINK131"/>
            <w:r>
              <w:rPr>
                <w:rFonts w:hint="eastAsia" w:eastAsia="宋体"/>
                <w:color w:val="auto"/>
                <w:szCs w:val="24"/>
              </w:rPr>
              <w:t>衡山岳北粮食收储有限公司</w:t>
            </w:r>
            <w:bookmarkEnd w:id="25"/>
            <w:bookmarkEnd w:id="26"/>
            <w:r>
              <w:rPr>
                <w:rFonts w:hint="eastAsia" w:eastAsia="宋体"/>
                <w:color w:val="auto"/>
                <w:szCs w:val="24"/>
              </w:rPr>
              <w:t>于2014年9月委托衡阳市环境科学研究所编制了《岳北粮食仓储与物流项目环境影响报告表》并取得批复（衡环评[2014]075号），并于2018年10月17日通过了环保竣工验收。2026年4月14号，重新申请了排污许可等登记管理（登记编号91430423663981380J001X）。环评及其批复建设内容包括5栋平房仓、1栋服务中心、1栋烘干房、1栋大米加工车间、1栋成品库、</w:t>
            </w:r>
            <w:bookmarkStart w:id="27" w:name="OLE_LINK12"/>
            <w:r>
              <w:rPr>
                <w:rFonts w:hint="eastAsia" w:eastAsia="宋体"/>
                <w:color w:val="auto"/>
                <w:szCs w:val="24"/>
              </w:rPr>
              <w:t>1栋综合楼、1栋食堂及消防、环保等配套设施</w:t>
            </w:r>
            <w:bookmarkEnd w:id="27"/>
            <w:r>
              <w:rPr>
                <w:rFonts w:hint="eastAsia" w:eastAsia="宋体"/>
                <w:color w:val="auto"/>
                <w:szCs w:val="24"/>
              </w:rPr>
              <w:t>，实际仅建设2栋平房仓、</w:t>
            </w:r>
            <w:bookmarkStart w:id="28" w:name="OLE_LINK112"/>
            <w:bookmarkStart w:id="29" w:name="OLE_LINK121"/>
            <w:r>
              <w:rPr>
                <w:rFonts w:hint="eastAsia" w:eastAsia="宋体"/>
                <w:color w:val="auto"/>
                <w:szCs w:val="24"/>
              </w:rPr>
              <w:t>1栋服务中心、1栋综合楼</w:t>
            </w:r>
            <w:bookmarkEnd w:id="28"/>
            <w:bookmarkEnd w:id="29"/>
            <w:r>
              <w:rPr>
                <w:rFonts w:hint="eastAsia" w:eastAsia="宋体"/>
                <w:color w:val="auto"/>
                <w:szCs w:val="24"/>
              </w:rPr>
              <w:t>及消防、环保等配套设施。</w:t>
            </w:r>
          </w:p>
          <w:p w14:paraId="6D9BF473">
            <w:pPr>
              <w:pStyle w:val="52"/>
              <w:spacing w:line="360" w:lineRule="auto"/>
              <w:ind w:firstLine="480" w:firstLineChars="200"/>
              <w:rPr>
                <w:rFonts w:eastAsia="宋体"/>
                <w:color w:val="auto"/>
                <w:szCs w:val="24"/>
              </w:rPr>
            </w:pPr>
            <w:r>
              <w:rPr>
                <w:rFonts w:hint="eastAsia" w:eastAsia="宋体"/>
                <w:color w:val="auto"/>
                <w:szCs w:val="24"/>
              </w:rPr>
              <w:t>近年来，随着全球对粮食安全和可持续发展的高度重视，现代化、智能化的粮食仓储成为必然趋势。高标准粮仓不仅能够精准控制仓储环境，降低粮食损耗，还能提升粮食存储的安全性和管理效率。现状粮仓老旧仓库存在结构老化、设施陈旧等问题，难以适应现代化粮食储备的要求，制约了区域粮食产业的发展。在此背景下，衡山岳北粮食收储有限公司拟投资8646万元在衡山岳北粮食收储有限公司现有厂区的基础上，保留现有建筑物，新建4座智能化浅圆仓、1座提升塔、1栋烘干车间及改造现有平房仓等，建设衡山县岳北现代粮食仓储建设项目。项目建成后，总库容达4.68万吨（新建库容3万吨，提质改造库容1.68万吨），年烘干湿谷7.5万吨。该项目旨在摒弃传统落后的仓储模式，打造规模化、现代化、智能化的高标准粮仓体系。通过引入先进的仓储技术和设备，提升粮食仓储的整体技术水平，建立健全粮食质量安全保障体系。项目建成后，将有效改善粮食仓储环境，大幅降低粮食损耗，确保粮食在存储过程中的质量安全。</w:t>
            </w:r>
          </w:p>
          <w:p w14:paraId="5868D766">
            <w:pPr>
              <w:adjustRightInd w:val="0"/>
              <w:snapToGrid w:val="0"/>
              <w:spacing w:line="360" w:lineRule="auto"/>
              <w:ind w:firstLine="480" w:firstLineChars="200"/>
              <w:rPr>
                <w:sz w:val="24"/>
              </w:rPr>
            </w:pPr>
            <w:r>
              <w:rPr>
                <w:rFonts w:hint="eastAsia"/>
                <w:sz w:val="24"/>
              </w:rPr>
              <w:t>项目在建设期、营运期将会产生一定的环境污染，根据《中华人民共和国环境保护法》以及国务院令682号文《建设项目环境保护管理条例》、《中华人民共和国环境影响评价法》及《建设项目环境影响评价分类管理名录（2021年版）》（生态环境部令第16号，2021年1月1日）的有关规定，本项目属于“四十一、电力、热力生产和供应业——91热力生产和供应工程（包括建设单位自建自用的供热工程）——使用其他高污染燃料的（高污染燃料指国环规大气〔2017〕2号《高污染燃料目录》中规定的燃料）”，</w:t>
            </w:r>
            <w:r>
              <w:rPr>
                <w:sz w:val="24"/>
              </w:rPr>
              <w:t>应编制环境影响报告表</w:t>
            </w:r>
            <w:r>
              <w:rPr>
                <w:rFonts w:hint="eastAsia"/>
                <w:sz w:val="24"/>
              </w:rPr>
              <w:t>。据此，建设单位委托湖南绿鸿环境科技有限责任公司进行环境影响报告表的编制工作。我公司接受委托后，在现场踏勘、资料收集的基础上，根据相关技术导则和规范编制完成了该项目环境影响报告表。</w:t>
            </w:r>
          </w:p>
          <w:p w14:paraId="32A4B051">
            <w:pPr>
              <w:adjustRightInd w:val="0"/>
              <w:snapToGrid w:val="0"/>
              <w:spacing w:line="360" w:lineRule="auto"/>
              <w:ind w:firstLine="482" w:firstLineChars="200"/>
              <w:rPr>
                <w:b/>
                <w:bCs/>
                <w:sz w:val="24"/>
              </w:rPr>
            </w:pPr>
            <w:r>
              <w:rPr>
                <w:rFonts w:hint="eastAsia"/>
                <w:b/>
                <w:bCs/>
                <w:sz w:val="24"/>
              </w:rPr>
              <w:t>2、项目概况</w:t>
            </w:r>
          </w:p>
          <w:p w14:paraId="0C52B2D2">
            <w:pPr>
              <w:adjustRightInd w:val="0"/>
              <w:snapToGrid w:val="0"/>
              <w:spacing w:line="360" w:lineRule="auto"/>
              <w:ind w:firstLine="480" w:firstLineChars="200"/>
              <w:rPr>
                <w:bCs/>
                <w:sz w:val="24"/>
              </w:rPr>
            </w:pPr>
            <w:r>
              <w:rPr>
                <w:rFonts w:hint="eastAsia"/>
                <w:bCs/>
                <w:sz w:val="24"/>
              </w:rPr>
              <w:t>本项目利用现有厂区进行改扩建，不新增占地，总用地面积21919.31m</w:t>
            </w:r>
            <w:r>
              <w:rPr>
                <w:rFonts w:hint="eastAsia"/>
                <w:bCs/>
                <w:sz w:val="24"/>
                <w:vertAlign w:val="superscript"/>
              </w:rPr>
              <w:t>2</w:t>
            </w:r>
            <w:r>
              <w:rPr>
                <w:rFonts w:hint="eastAsia"/>
                <w:bCs/>
                <w:sz w:val="24"/>
              </w:rPr>
              <w:t>，新增建筑面积约2540m</w:t>
            </w:r>
            <w:r>
              <w:rPr>
                <w:rFonts w:hint="eastAsia"/>
                <w:bCs/>
                <w:sz w:val="24"/>
                <w:vertAlign w:val="superscript"/>
              </w:rPr>
              <w:t>2</w:t>
            </w:r>
            <w:r>
              <w:rPr>
                <w:rFonts w:hint="eastAsia"/>
                <w:bCs/>
                <w:sz w:val="24"/>
              </w:rPr>
              <w:t>，改造建筑面积约3400m</w:t>
            </w:r>
            <w:r>
              <w:rPr>
                <w:rFonts w:hint="eastAsia"/>
                <w:bCs/>
                <w:sz w:val="24"/>
                <w:vertAlign w:val="superscript"/>
              </w:rPr>
              <w:t>2</w:t>
            </w:r>
            <w:r>
              <w:rPr>
                <w:rFonts w:hint="eastAsia"/>
                <w:bCs/>
                <w:sz w:val="24"/>
              </w:rPr>
              <w:t>，主要建设内容包括：</w:t>
            </w:r>
          </w:p>
          <w:p w14:paraId="62F76A82">
            <w:pPr>
              <w:adjustRightInd w:val="0"/>
              <w:snapToGrid w:val="0"/>
              <w:spacing w:line="360" w:lineRule="auto"/>
              <w:ind w:firstLine="480" w:firstLineChars="200"/>
              <w:rPr>
                <w:bCs/>
                <w:sz w:val="24"/>
              </w:rPr>
            </w:pPr>
            <w:r>
              <w:rPr>
                <w:rFonts w:hint="eastAsia"/>
                <w:bCs/>
                <w:sz w:val="24"/>
              </w:rPr>
              <w:t>（1）新建4座7500吨智能化浅圆仓，总库容3.0万吨；</w:t>
            </w:r>
          </w:p>
          <w:p w14:paraId="0096301B">
            <w:pPr>
              <w:adjustRightInd w:val="0"/>
              <w:snapToGrid w:val="0"/>
              <w:spacing w:line="360" w:lineRule="auto"/>
              <w:ind w:firstLine="480" w:firstLineChars="200"/>
              <w:rPr>
                <w:bCs/>
                <w:sz w:val="24"/>
              </w:rPr>
            </w:pPr>
            <w:r>
              <w:rPr>
                <w:rFonts w:hint="eastAsia"/>
                <w:bCs/>
                <w:sz w:val="24"/>
              </w:rPr>
              <w:t>（2）新建粮食清理烘干储存一站式服务中心，日烘干能力300吨生产线一条，清理设备1套；</w:t>
            </w:r>
          </w:p>
          <w:p w14:paraId="4DB5D17C">
            <w:pPr>
              <w:adjustRightInd w:val="0"/>
              <w:snapToGrid w:val="0"/>
              <w:spacing w:line="360" w:lineRule="auto"/>
              <w:ind w:firstLine="480" w:firstLineChars="200"/>
              <w:rPr>
                <w:bCs/>
                <w:sz w:val="24"/>
              </w:rPr>
            </w:pPr>
            <w:r>
              <w:rPr>
                <w:rFonts w:hint="eastAsia"/>
                <w:bCs/>
                <w:sz w:val="24"/>
              </w:rPr>
              <w:t>（3）新建消防水池、水泵房1座，建筑面积约108m</w:t>
            </w:r>
            <w:r>
              <w:rPr>
                <w:rFonts w:hint="eastAsia"/>
                <w:bCs/>
                <w:sz w:val="24"/>
                <w:vertAlign w:val="superscript"/>
              </w:rPr>
              <w:t>2</w:t>
            </w:r>
            <w:r>
              <w:rPr>
                <w:rFonts w:hint="eastAsia"/>
                <w:bCs/>
                <w:sz w:val="24"/>
              </w:rPr>
              <w:t>；</w:t>
            </w:r>
          </w:p>
          <w:p w14:paraId="7AA898CF">
            <w:pPr>
              <w:adjustRightInd w:val="0"/>
              <w:snapToGrid w:val="0"/>
              <w:spacing w:line="360" w:lineRule="auto"/>
              <w:ind w:firstLine="480" w:firstLineChars="200"/>
              <w:rPr>
                <w:bCs/>
                <w:sz w:val="24"/>
              </w:rPr>
            </w:pPr>
            <w:r>
              <w:rPr>
                <w:rFonts w:hint="eastAsia"/>
                <w:bCs/>
                <w:sz w:val="24"/>
              </w:rPr>
              <w:t>（4）新建400KVA箱变1座；</w:t>
            </w:r>
          </w:p>
          <w:p w14:paraId="104B8B8D">
            <w:pPr>
              <w:adjustRightInd w:val="0"/>
              <w:snapToGrid w:val="0"/>
              <w:spacing w:line="360" w:lineRule="auto"/>
              <w:ind w:firstLine="480" w:firstLineChars="200"/>
              <w:rPr>
                <w:rFonts w:eastAsiaTheme="minorEastAsia"/>
                <w:spacing w:val="-2"/>
                <w:sz w:val="24"/>
              </w:rPr>
            </w:pPr>
            <w:r>
              <w:rPr>
                <w:rFonts w:hint="eastAsia"/>
                <w:bCs/>
                <w:sz w:val="24"/>
              </w:rPr>
              <w:t>（5）改造原有仓库3400m</w:t>
            </w:r>
            <w:r>
              <w:rPr>
                <w:rFonts w:hint="eastAsia"/>
                <w:bCs/>
                <w:sz w:val="24"/>
                <w:vertAlign w:val="superscript"/>
              </w:rPr>
              <w:t>2</w:t>
            </w:r>
            <w:r>
              <w:rPr>
                <w:rFonts w:hint="eastAsia"/>
                <w:bCs/>
                <w:sz w:val="24"/>
              </w:rPr>
              <w:t>，完善并提升智能化粮库系统，打造粮食线上收购、储存、加工、销售管理平台</w:t>
            </w:r>
            <w:r>
              <w:rPr>
                <w:rFonts w:hint="eastAsia" w:eastAsiaTheme="minorEastAsia"/>
                <w:spacing w:val="-2"/>
                <w:sz w:val="24"/>
              </w:rPr>
              <w:t>。</w:t>
            </w:r>
          </w:p>
          <w:p w14:paraId="2E4FDDBE">
            <w:pPr>
              <w:adjustRightInd w:val="0"/>
              <w:snapToGrid w:val="0"/>
              <w:spacing w:line="360" w:lineRule="auto"/>
              <w:ind w:firstLine="480" w:firstLineChars="200"/>
              <w:rPr>
                <w:bCs/>
                <w:sz w:val="24"/>
              </w:rPr>
            </w:pPr>
            <w:r>
              <w:rPr>
                <w:rFonts w:hint="eastAsia"/>
                <w:bCs/>
                <w:sz w:val="24"/>
              </w:rPr>
              <w:t>改扩建完成后，项目具备总仓容4.68万吨（平房仓1.68万吨，浅圆仓3万吨），年</w:t>
            </w:r>
            <w:r>
              <w:rPr>
                <w:bCs/>
                <w:sz w:val="24"/>
              </w:rPr>
              <w:t>烘干</w:t>
            </w:r>
            <w:r>
              <w:rPr>
                <w:rFonts w:hint="eastAsia"/>
                <w:bCs/>
                <w:sz w:val="24"/>
              </w:rPr>
              <w:t>湿</w:t>
            </w:r>
            <w:r>
              <w:rPr>
                <w:bCs/>
                <w:sz w:val="24"/>
              </w:rPr>
              <w:t>稻谷</w:t>
            </w:r>
            <w:r>
              <w:rPr>
                <w:rFonts w:hint="eastAsia"/>
                <w:bCs/>
                <w:sz w:val="24"/>
              </w:rPr>
              <w:t>7.5万吨的生产能力。</w:t>
            </w:r>
          </w:p>
          <w:p w14:paraId="750102A9">
            <w:pPr>
              <w:adjustRightInd w:val="0"/>
              <w:snapToGrid w:val="0"/>
              <w:spacing w:line="360" w:lineRule="auto"/>
              <w:ind w:firstLine="480" w:firstLineChars="200"/>
              <w:rPr>
                <w:bCs/>
                <w:sz w:val="24"/>
              </w:rPr>
            </w:pPr>
            <w:r>
              <w:rPr>
                <w:rFonts w:hint="eastAsia"/>
                <w:bCs/>
                <w:sz w:val="24"/>
              </w:rPr>
              <w:t>项目主要建设内容见表</w:t>
            </w:r>
            <w:r>
              <w:rPr>
                <w:rFonts w:hint="eastAsia"/>
                <w:sz w:val="24"/>
              </w:rPr>
              <w:t>2-1，主要经济技术指标见表2-2。</w:t>
            </w:r>
          </w:p>
          <w:p w14:paraId="2C1C739A">
            <w:pPr>
              <w:autoSpaceDE w:val="0"/>
              <w:autoSpaceDN w:val="0"/>
              <w:adjustRightInd w:val="0"/>
              <w:spacing w:before="120" w:beforeLines="50"/>
              <w:jc w:val="center"/>
              <w:rPr>
                <w:b/>
                <w:kern w:val="0"/>
                <w:szCs w:val="21"/>
              </w:rPr>
            </w:pPr>
            <w:r>
              <w:rPr>
                <w:b/>
                <w:kern w:val="0"/>
                <w:szCs w:val="21"/>
              </w:rPr>
              <w:t>表2-1  项目主要建设内容一览表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1229"/>
              <w:gridCol w:w="5245"/>
              <w:gridCol w:w="1888"/>
            </w:tblGrid>
            <w:tr w14:paraId="5412B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Align w:val="center"/>
                </w:tcPr>
                <w:p w14:paraId="283A9BC1">
                  <w:pPr>
                    <w:pStyle w:val="61"/>
                    <w:rPr>
                      <w:b/>
                      <w:sz w:val="21"/>
                    </w:rPr>
                  </w:pPr>
                  <w:r>
                    <w:rPr>
                      <w:b/>
                      <w:sz w:val="21"/>
                    </w:rPr>
                    <w:t>工程</w:t>
                  </w:r>
                </w:p>
                <w:p w14:paraId="2C851D54">
                  <w:pPr>
                    <w:pStyle w:val="61"/>
                    <w:rPr>
                      <w:b/>
                      <w:sz w:val="21"/>
                    </w:rPr>
                  </w:pPr>
                  <w:r>
                    <w:rPr>
                      <w:b/>
                      <w:sz w:val="21"/>
                    </w:rPr>
                    <w:t>类别</w:t>
                  </w:r>
                </w:p>
              </w:tc>
              <w:tc>
                <w:tcPr>
                  <w:tcW w:w="665" w:type="pct"/>
                  <w:vAlign w:val="center"/>
                </w:tcPr>
                <w:p w14:paraId="60F5E2FF">
                  <w:pPr>
                    <w:pStyle w:val="61"/>
                    <w:rPr>
                      <w:b/>
                      <w:sz w:val="21"/>
                    </w:rPr>
                  </w:pPr>
                  <w:r>
                    <w:rPr>
                      <w:b/>
                      <w:sz w:val="21"/>
                    </w:rPr>
                    <w:t>工程名称</w:t>
                  </w:r>
                </w:p>
              </w:tc>
              <w:tc>
                <w:tcPr>
                  <w:tcW w:w="2839" w:type="pct"/>
                  <w:vAlign w:val="center"/>
                </w:tcPr>
                <w:p w14:paraId="044FDF01">
                  <w:pPr>
                    <w:pStyle w:val="61"/>
                    <w:rPr>
                      <w:b/>
                      <w:sz w:val="21"/>
                    </w:rPr>
                  </w:pPr>
                  <w:r>
                    <w:rPr>
                      <w:b/>
                      <w:sz w:val="21"/>
                    </w:rPr>
                    <w:t>建设内容</w:t>
                  </w:r>
                  <w:r>
                    <w:rPr>
                      <w:rFonts w:hint="eastAsia"/>
                      <w:b/>
                      <w:sz w:val="21"/>
                    </w:rPr>
                    <w:t>和规模</w:t>
                  </w:r>
                </w:p>
              </w:tc>
              <w:tc>
                <w:tcPr>
                  <w:tcW w:w="1022" w:type="pct"/>
                  <w:vAlign w:val="center"/>
                </w:tcPr>
                <w:p w14:paraId="447DD0F1">
                  <w:pPr>
                    <w:pStyle w:val="61"/>
                    <w:rPr>
                      <w:b/>
                      <w:sz w:val="21"/>
                    </w:rPr>
                  </w:pPr>
                  <w:r>
                    <w:rPr>
                      <w:rFonts w:hint="eastAsia"/>
                      <w:b/>
                      <w:sz w:val="21"/>
                    </w:rPr>
                    <w:t>备注</w:t>
                  </w:r>
                </w:p>
              </w:tc>
            </w:tr>
            <w:tr w14:paraId="562C8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restart"/>
                  <w:vAlign w:val="center"/>
                </w:tcPr>
                <w:p w14:paraId="6F25E4D9">
                  <w:pPr>
                    <w:pStyle w:val="61"/>
                    <w:rPr>
                      <w:sz w:val="21"/>
                    </w:rPr>
                  </w:pPr>
                  <w:r>
                    <w:rPr>
                      <w:sz w:val="21"/>
                    </w:rPr>
                    <w:t>主体</w:t>
                  </w:r>
                </w:p>
                <w:p w14:paraId="09B65069">
                  <w:pPr>
                    <w:pStyle w:val="61"/>
                    <w:rPr>
                      <w:sz w:val="21"/>
                    </w:rPr>
                  </w:pPr>
                  <w:r>
                    <w:rPr>
                      <w:sz w:val="21"/>
                    </w:rPr>
                    <w:t>工程</w:t>
                  </w:r>
                </w:p>
              </w:tc>
              <w:tc>
                <w:tcPr>
                  <w:tcW w:w="665" w:type="pct"/>
                  <w:vAlign w:val="center"/>
                </w:tcPr>
                <w:p w14:paraId="37161F7C">
                  <w:pPr>
                    <w:pStyle w:val="61"/>
                    <w:rPr>
                      <w:sz w:val="21"/>
                    </w:rPr>
                  </w:pPr>
                  <w:r>
                    <w:rPr>
                      <w:sz w:val="21"/>
                    </w:rPr>
                    <w:t>平房仓</w:t>
                  </w:r>
                  <w:r>
                    <w:rPr>
                      <w:rFonts w:hint="eastAsia"/>
                      <w:sz w:val="21"/>
                    </w:rPr>
                    <w:t>1</w:t>
                  </w:r>
                </w:p>
              </w:tc>
              <w:tc>
                <w:tcPr>
                  <w:tcW w:w="2839" w:type="pct"/>
                  <w:vAlign w:val="center"/>
                </w:tcPr>
                <w:p w14:paraId="5B99D140">
                  <w:pPr>
                    <w:jc w:val="center"/>
                    <w:rPr>
                      <w:szCs w:val="21"/>
                    </w:rPr>
                  </w:pPr>
                  <w:r>
                    <w:rPr>
                      <w:rFonts w:hint="eastAsia"/>
                      <w:szCs w:val="21"/>
                    </w:rPr>
                    <w:t>1间，</w:t>
                  </w:r>
                  <w:r>
                    <w:rPr>
                      <w:szCs w:val="21"/>
                    </w:rPr>
                    <w:t>占地面积</w:t>
                  </w:r>
                  <w:r>
                    <w:rPr>
                      <w:rFonts w:hint="eastAsia"/>
                      <w:szCs w:val="21"/>
                    </w:rPr>
                    <w:t>1687.75</w:t>
                  </w:r>
                  <w:r>
                    <w:rPr>
                      <w:szCs w:val="21"/>
                    </w:rPr>
                    <w:t>m</w:t>
                  </w:r>
                  <w:r>
                    <w:rPr>
                      <w:szCs w:val="21"/>
                      <w:vertAlign w:val="superscript"/>
                    </w:rPr>
                    <w:t>2</w:t>
                  </w:r>
                  <w:r>
                    <w:rPr>
                      <w:szCs w:val="21"/>
                    </w:rPr>
                    <w:t>，建筑面积</w:t>
                  </w:r>
                  <w:r>
                    <w:rPr>
                      <w:rFonts w:hint="eastAsia"/>
                      <w:szCs w:val="21"/>
                    </w:rPr>
                    <w:t>约1687.75</w:t>
                  </w:r>
                  <w:r>
                    <w:rPr>
                      <w:szCs w:val="21"/>
                    </w:rPr>
                    <w:t>m</w:t>
                  </w:r>
                  <w:r>
                    <w:rPr>
                      <w:szCs w:val="21"/>
                      <w:vertAlign w:val="superscript"/>
                    </w:rPr>
                    <w:t>2</w:t>
                  </w:r>
                  <w:r>
                    <w:rPr>
                      <w:szCs w:val="21"/>
                    </w:rPr>
                    <w:t>，</w:t>
                  </w:r>
                  <w:r>
                    <w:rPr>
                      <w:rFonts w:hint="eastAsia"/>
                      <w:szCs w:val="21"/>
                    </w:rPr>
                    <w:t>H=11.4m，</w:t>
                  </w:r>
                  <w:r>
                    <w:rPr>
                      <w:szCs w:val="21"/>
                    </w:rPr>
                    <w:t>用于干稻谷的</w:t>
                  </w:r>
                  <w:r>
                    <w:rPr>
                      <w:rFonts w:hint="eastAsia"/>
                      <w:szCs w:val="21"/>
                    </w:rPr>
                    <w:t>储存</w:t>
                  </w:r>
                  <w:r>
                    <w:rPr>
                      <w:szCs w:val="21"/>
                    </w:rPr>
                    <w:t>，全封闭厂房，堆粮高度7.</w:t>
                  </w:r>
                  <w:r>
                    <w:rPr>
                      <w:rFonts w:hint="eastAsia"/>
                      <w:szCs w:val="21"/>
                    </w:rPr>
                    <w:t>2</w:t>
                  </w:r>
                  <w:r>
                    <w:rPr>
                      <w:szCs w:val="21"/>
                    </w:rPr>
                    <w:t>m，</w:t>
                  </w:r>
                  <w:r>
                    <w:rPr>
                      <w:rFonts w:hint="eastAsia"/>
                      <w:szCs w:val="21"/>
                    </w:rPr>
                    <w:t>2个傲间，</w:t>
                  </w:r>
                  <w:r>
                    <w:rPr>
                      <w:szCs w:val="21"/>
                    </w:rPr>
                    <w:t>最大仓容提升至</w:t>
                  </w:r>
                  <w:r>
                    <w:rPr>
                      <w:rFonts w:hint="eastAsia"/>
                      <w:szCs w:val="21"/>
                    </w:rPr>
                    <w:t>8400吨（按小麦）</w:t>
                  </w:r>
                </w:p>
              </w:tc>
              <w:tc>
                <w:tcPr>
                  <w:tcW w:w="1022" w:type="pct"/>
                  <w:vAlign w:val="center"/>
                </w:tcPr>
                <w:p w14:paraId="347A4908">
                  <w:pPr>
                    <w:jc w:val="center"/>
                    <w:rPr>
                      <w:szCs w:val="21"/>
                    </w:rPr>
                  </w:pPr>
                  <w:r>
                    <w:rPr>
                      <w:rFonts w:hint="eastAsia"/>
                      <w:szCs w:val="21"/>
                    </w:rPr>
                    <w:t>改建，完善并提升智能化粮库系统，打造粮食线上收购、储存、加工、销售管理平台</w:t>
                  </w:r>
                </w:p>
              </w:tc>
            </w:tr>
            <w:tr w14:paraId="497B0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506A1EAA">
                  <w:pPr>
                    <w:pStyle w:val="61"/>
                    <w:rPr>
                      <w:sz w:val="21"/>
                    </w:rPr>
                  </w:pPr>
                </w:p>
              </w:tc>
              <w:tc>
                <w:tcPr>
                  <w:tcW w:w="665" w:type="pct"/>
                  <w:vAlign w:val="center"/>
                </w:tcPr>
                <w:p w14:paraId="73E374A0">
                  <w:pPr>
                    <w:pStyle w:val="61"/>
                    <w:rPr>
                      <w:sz w:val="21"/>
                    </w:rPr>
                  </w:pPr>
                  <w:r>
                    <w:rPr>
                      <w:sz w:val="21"/>
                    </w:rPr>
                    <w:t>平房仓</w:t>
                  </w:r>
                  <w:r>
                    <w:rPr>
                      <w:rFonts w:hint="eastAsia"/>
                      <w:sz w:val="21"/>
                    </w:rPr>
                    <w:t>2</w:t>
                  </w:r>
                </w:p>
              </w:tc>
              <w:tc>
                <w:tcPr>
                  <w:tcW w:w="2839" w:type="pct"/>
                  <w:vAlign w:val="center"/>
                </w:tcPr>
                <w:p w14:paraId="2A6A1B04">
                  <w:pPr>
                    <w:jc w:val="center"/>
                    <w:rPr>
                      <w:szCs w:val="21"/>
                    </w:rPr>
                  </w:pPr>
                  <w:r>
                    <w:rPr>
                      <w:rFonts w:hint="eastAsia"/>
                      <w:szCs w:val="21"/>
                    </w:rPr>
                    <w:t>1间，</w:t>
                  </w:r>
                  <w:r>
                    <w:rPr>
                      <w:szCs w:val="21"/>
                    </w:rPr>
                    <w:t>占地面积</w:t>
                  </w:r>
                  <w:r>
                    <w:rPr>
                      <w:rFonts w:hint="eastAsia"/>
                      <w:szCs w:val="21"/>
                    </w:rPr>
                    <w:t>1687.75</w:t>
                  </w:r>
                  <w:r>
                    <w:rPr>
                      <w:szCs w:val="21"/>
                    </w:rPr>
                    <w:t>m</w:t>
                  </w:r>
                  <w:r>
                    <w:rPr>
                      <w:szCs w:val="21"/>
                      <w:vertAlign w:val="superscript"/>
                    </w:rPr>
                    <w:t>2</w:t>
                  </w:r>
                  <w:r>
                    <w:rPr>
                      <w:szCs w:val="21"/>
                    </w:rPr>
                    <w:t>，建筑面积</w:t>
                  </w:r>
                  <w:r>
                    <w:rPr>
                      <w:rFonts w:hint="eastAsia"/>
                      <w:szCs w:val="21"/>
                    </w:rPr>
                    <w:t>约1687.75</w:t>
                  </w:r>
                  <w:r>
                    <w:rPr>
                      <w:szCs w:val="21"/>
                    </w:rPr>
                    <w:t>m</w:t>
                  </w:r>
                  <w:r>
                    <w:rPr>
                      <w:szCs w:val="21"/>
                      <w:vertAlign w:val="superscript"/>
                    </w:rPr>
                    <w:t>2</w:t>
                  </w:r>
                  <w:r>
                    <w:rPr>
                      <w:szCs w:val="21"/>
                    </w:rPr>
                    <w:t>，</w:t>
                  </w:r>
                  <w:r>
                    <w:rPr>
                      <w:rFonts w:hint="eastAsia"/>
                      <w:szCs w:val="21"/>
                    </w:rPr>
                    <w:t>H=11.4m，</w:t>
                  </w:r>
                  <w:r>
                    <w:rPr>
                      <w:szCs w:val="21"/>
                    </w:rPr>
                    <w:t>用于干稻谷的</w:t>
                  </w:r>
                  <w:r>
                    <w:rPr>
                      <w:rFonts w:hint="eastAsia"/>
                      <w:szCs w:val="21"/>
                    </w:rPr>
                    <w:t>储存</w:t>
                  </w:r>
                  <w:r>
                    <w:rPr>
                      <w:szCs w:val="21"/>
                    </w:rPr>
                    <w:t>，全封闭厂房，堆粮高度7.</w:t>
                  </w:r>
                  <w:r>
                    <w:rPr>
                      <w:rFonts w:hint="eastAsia"/>
                      <w:szCs w:val="21"/>
                    </w:rPr>
                    <w:t>2</w:t>
                  </w:r>
                  <w:r>
                    <w:rPr>
                      <w:szCs w:val="21"/>
                    </w:rPr>
                    <w:t>m，</w:t>
                  </w:r>
                  <w:r>
                    <w:rPr>
                      <w:rFonts w:hint="eastAsia"/>
                      <w:szCs w:val="21"/>
                    </w:rPr>
                    <w:t>2个傲间，</w:t>
                  </w:r>
                  <w:r>
                    <w:rPr>
                      <w:szCs w:val="21"/>
                    </w:rPr>
                    <w:t>最大仓容提升至</w:t>
                  </w:r>
                  <w:r>
                    <w:rPr>
                      <w:rFonts w:hint="eastAsia"/>
                      <w:szCs w:val="21"/>
                    </w:rPr>
                    <w:t>8400吨（按小麦）</w:t>
                  </w:r>
                </w:p>
              </w:tc>
              <w:tc>
                <w:tcPr>
                  <w:tcW w:w="1022" w:type="pct"/>
                  <w:vAlign w:val="center"/>
                </w:tcPr>
                <w:p w14:paraId="56ACAA8C">
                  <w:pPr>
                    <w:jc w:val="center"/>
                    <w:rPr>
                      <w:szCs w:val="21"/>
                    </w:rPr>
                  </w:pPr>
                  <w:r>
                    <w:rPr>
                      <w:rFonts w:hint="eastAsia"/>
                      <w:szCs w:val="21"/>
                    </w:rPr>
                    <w:t>改建，完善并提升智能化粮库系统，打造粮食线上收购、储存、加工、销售管理平台</w:t>
                  </w:r>
                </w:p>
              </w:tc>
            </w:tr>
            <w:tr w14:paraId="444B3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D56B952">
                  <w:pPr>
                    <w:pStyle w:val="61"/>
                    <w:rPr>
                      <w:sz w:val="21"/>
                    </w:rPr>
                  </w:pPr>
                </w:p>
              </w:tc>
              <w:tc>
                <w:tcPr>
                  <w:tcW w:w="665" w:type="pct"/>
                  <w:vAlign w:val="center"/>
                </w:tcPr>
                <w:p w14:paraId="33F7A4E5">
                  <w:pPr>
                    <w:pStyle w:val="61"/>
                    <w:rPr>
                      <w:sz w:val="21"/>
                    </w:rPr>
                  </w:pPr>
                  <w:r>
                    <w:rPr>
                      <w:sz w:val="21"/>
                    </w:rPr>
                    <w:t>仓间罩棚</w:t>
                  </w:r>
                </w:p>
              </w:tc>
              <w:tc>
                <w:tcPr>
                  <w:tcW w:w="2839" w:type="pct"/>
                  <w:vAlign w:val="center"/>
                </w:tcPr>
                <w:p w14:paraId="5653E23E">
                  <w:pPr>
                    <w:jc w:val="center"/>
                    <w:rPr>
                      <w:szCs w:val="21"/>
                    </w:rPr>
                  </w:pPr>
                  <w:r>
                    <w:rPr>
                      <w:rFonts w:hint="eastAsia"/>
                      <w:szCs w:val="21"/>
                    </w:rPr>
                    <w:t>1F，轻钢结构，</w:t>
                  </w:r>
                  <w:r>
                    <w:rPr>
                      <w:szCs w:val="21"/>
                    </w:rPr>
                    <w:t>占地面积约</w:t>
                  </w:r>
                  <w:r>
                    <w:rPr>
                      <w:rFonts w:hint="eastAsia"/>
                      <w:szCs w:val="21"/>
                    </w:rPr>
                    <w:t>1134</w:t>
                  </w:r>
                  <w:r>
                    <w:rPr>
                      <w:szCs w:val="21"/>
                    </w:rPr>
                    <w:t>m</w:t>
                  </w:r>
                  <w:r>
                    <w:rPr>
                      <w:szCs w:val="21"/>
                      <w:vertAlign w:val="superscript"/>
                    </w:rPr>
                    <w:t>2</w:t>
                  </w:r>
                  <w:r>
                    <w:rPr>
                      <w:szCs w:val="21"/>
                    </w:rPr>
                    <w:t>，建筑面积</w:t>
                  </w:r>
                  <w:r>
                    <w:rPr>
                      <w:rFonts w:hint="eastAsia"/>
                      <w:szCs w:val="21"/>
                    </w:rPr>
                    <w:t>约1134</w:t>
                  </w:r>
                  <w:r>
                    <w:rPr>
                      <w:szCs w:val="21"/>
                    </w:rPr>
                    <w:t>m</w:t>
                  </w:r>
                  <w:r>
                    <w:rPr>
                      <w:szCs w:val="21"/>
                      <w:vertAlign w:val="superscript"/>
                    </w:rPr>
                    <w:t>2</w:t>
                  </w:r>
                  <w:r>
                    <w:rPr>
                      <w:rFonts w:hint="eastAsia"/>
                      <w:szCs w:val="21"/>
                    </w:rPr>
                    <w:t xml:space="preserve"> H=11.4m</w:t>
                  </w:r>
                </w:p>
              </w:tc>
              <w:tc>
                <w:tcPr>
                  <w:tcW w:w="1022" w:type="pct"/>
                  <w:vAlign w:val="center"/>
                </w:tcPr>
                <w:p w14:paraId="0884BFCC">
                  <w:pPr>
                    <w:jc w:val="center"/>
                    <w:rPr>
                      <w:szCs w:val="21"/>
                    </w:rPr>
                  </w:pPr>
                  <w:r>
                    <w:rPr>
                      <w:rFonts w:hint="eastAsia"/>
                      <w:szCs w:val="21"/>
                    </w:rPr>
                    <w:t>依托现有</w:t>
                  </w:r>
                </w:p>
              </w:tc>
            </w:tr>
            <w:tr w14:paraId="6D197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0F79914A">
                  <w:pPr>
                    <w:pStyle w:val="61"/>
                    <w:rPr>
                      <w:sz w:val="21"/>
                    </w:rPr>
                  </w:pPr>
                </w:p>
              </w:tc>
              <w:tc>
                <w:tcPr>
                  <w:tcW w:w="665" w:type="pct"/>
                  <w:vAlign w:val="center"/>
                </w:tcPr>
                <w:p w14:paraId="57AB57DD">
                  <w:pPr>
                    <w:pStyle w:val="61"/>
                    <w:rPr>
                      <w:sz w:val="21"/>
                    </w:rPr>
                  </w:pPr>
                  <w:r>
                    <w:rPr>
                      <w:sz w:val="21"/>
                    </w:rPr>
                    <w:t>浅圆仓</w:t>
                  </w:r>
                </w:p>
              </w:tc>
              <w:tc>
                <w:tcPr>
                  <w:tcW w:w="2839" w:type="pct"/>
                  <w:vAlign w:val="center"/>
                </w:tcPr>
                <w:p w14:paraId="32550EEA">
                  <w:pPr>
                    <w:jc w:val="center"/>
                    <w:rPr>
                      <w:szCs w:val="21"/>
                    </w:rPr>
                  </w:pPr>
                  <w:r>
                    <w:rPr>
                      <w:rFonts w:hint="eastAsia"/>
                      <w:szCs w:val="21"/>
                    </w:rPr>
                    <w:t>4座，</w:t>
                  </w:r>
                  <w:r>
                    <w:rPr>
                      <w:szCs w:val="21"/>
                    </w:rPr>
                    <w:t>占地面积</w:t>
                  </w:r>
                  <w:r>
                    <w:rPr>
                      <w:rFonts w:hint="eastAsia"/>
                      <w:szCs w:val="21"/>
                    </w:rPr>
                    <w:t>1598.92</w:t>
                  </w:r>
                  <w:r>
                    <w:rPr>
                      <w:szCs w:val="21"/>
                    </w:rPr>
                    <w:t>m</w:t>
                  </w:r>
                  <w:r>
                    <w:rPr>
                      <w:szCs w:val="21"/>
                      <w:vertAlign w:val="superscript"/>
                    </w:rPr>
                    <w:t>2</w:t>
                  </w:r>
                  <w:r>
                    <w:rPr>
                      <w:szCs w:val="21"/>
                    </w:rPr>
                    <w:t>，建筑面积</w:t>
                  </w:r>
                  <w:r>
                    <w:rPr>
                      <w:rFonts w:hint="eastAsia"/>
                      <w:szCs w:val="21"/>
                    </w:rPr>
                    <w:t>约1598.92</w:t>
                  </w:r>
                  <w:r>
                    <w:rPr>
                      <w:szCs w:val="21"/>
                    </w:rPr>
                    <w:t>m</w:t>
                  </w:r>
                  <w:r>
                    <w:rPr>
                      <w:szCs w:val="21"/>
                      <w:vertAlign w:val="superscript"/>
                    </w:rPr>
                    <w:t>2</w:t>
                  </w:r>
                  <w:r>
                    <w:rPr>
                      <w:szCs w:val="21"/>
                    </w:rPr>
                    <w:t>，</w:t>
                  </w:r>
                  <w:r>
                    <w:rPr>
                      <w:rFonts w:hint="eastAsia"/>
                      <w:szCs w:val="21"/>
                    </w:rPr>
                    <w:t>H=27.0m，</w:t>
                  </w:r>
                  <w:r>
                    <w:rPr>
                      <w:szCs w:val="21"/>
                    </w:rPr>
                    <w:t>用于干稻谷的</w:t>
                  </w:r>
                  <w:r>
                    <w:rPr>
                      <w:rFonts w:hint="eastAsia"/>
                      <w:szCs w:val="21"/>
                    </w:rPr>
                    <w:t>储存</w:t>
                  </w:r>
                  <w:r>
                    <w:rPr>
                      <w:szCs w:val="21"/>
                    </w:rPr>
                    <w:t>，单座仓容</w:t>
                  </w:r>
                  <w:r>
                    <w:rPr>
                      <w:rFonts w:hint="eastAsia"/>
                      <w:szCs w:val="21"/>
                    </w:rPr>
                    <w:t>7500吨（按小麦），总仓容30000吨</w:t>
                  </w:r>
                </w:p>
              </w:tc>
              <w:tc>
                <w:tcPr>
                  <w:tcW w:w="1022" w:type="pct"/>
                  <w:vAlign w:val="center"/>
                </w:tcPr>
                <w:p w14:paraId="7B60C8D9">
                  <w:pPr>
                    <w:jc w:val="center"/>
                    <w:rPr>
                      <w:szCs w:val="21"/>
                    </w:rPr>
                  </w:pPr>
                  <w:r>
                    <w:rPr>
                      <w:rFonts w:hint="eastAsia"/>
                      <w:szCs w:val="21"/>
                    </w:rPr>
                    <w:t>新建</w:t>
                  </w:r>
                </w:p>
              </w:tc>
            </w:tr>
            <w:tr w14:paraId="794FEF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A7C2EA2">
                  <w:pPr>
                    <w:pStyle w:val="61"/>
                    <w:rPr>
                      <w:sz w:val="21"/>
                    </w:rPr>
                  </w:pPr>
                </w:p>
              </w:tc>
              <w:tc>
                <w:tcPr>
                  <w:tcW w:w="665" w:type="pct"/>
                  <w:vAlign w:val="center"/>
                </w:tcPr>
                <w:p w14:paraId="595CF5C7">
                  <w:pPr>
                    <w:pStyle w:val="61"/>
                    <w:rPr>
                      <w:sz w:val="21"/>
                    </w:rPr>
                  </w:pPr>
                  <w:r>
                    <w:rPr>
                      <w:sz w:val="21"/>
                    </w:rPr>
                    <w:t>烘干车间</w:t>
                  </w:r>
                </w:p>
              </w:tc>
              <w:tc>
                <w:tcPr>
                  <w:tcW w:w="2839" w:type="pct"/>
                  <w:vAlign w:val="center"/>
                </w:tcPr>
                <w:p w14:paraId="4B075751">
                  <w:pPr>
                    <w:jc w:val="center"/>
                    <w:rPr>
                      <w:szCs w:val="21"/>
                    </w:rPr>
                  </w:pPr>
                  <w:r>
                    <w:rPr>
                      <w:rFonts w:hint="eastAsia"/>
                      <w:szCs w:val="21"/>
                    </w:rPr>
                    <w:t>1间</w:t>
                  </w:r>
                  <w:r>
                    <w:rPr>
                      <w:szCs w:val="21"/>
                    </w:rPr>
                    <w:t>，</w:t>
                  </w:r>
                  <w:bookmarkStart w:id="30" w:name="OLE_LINK1"/>
                  <w:r>
                    <w:rPr>
                      <w:szCs w:val="21"/>
                    </w:rPr>
                    <w:t>占地面积</w:t>
                  </w:r>
                  <w:r>
                    <w:rPr>
                      <w:rFonts w:hint="eastAsia"/>
                      <w:szCs w:val="21"/>
                    </w:rPr>
                    <w:t>589.87</w:t>
                  </w:r>
                  <w:r>
                    <w:rPr>
                      <w:szCs w:val="21"/>
                    </w:rPr>
                    <w:t>m</w:t>
                  </w:r>
                  <w:r>
                    <w:rPr>
                      <w:szCs w:val="21"/>
                      <w:vertAlign w:val="superscript"/>
                    </w:rPr>
                    <w:t>2</w:t>
                  </w:r>
                  <w:r>
                    <w:rPr>
                      <w:szCs w:val="21"/>
                    </w:rPr>
                    <w:t>，建筑面积</w:t>
                  </w:r>
                  <w:r>
                    <w:rPr>
                      <w:rFonts w:hint="eastAsia"/>
                      <w:szCs w:val="21"/>
                    </w:rPr>
                    <w:t>约589.87</w:t>
                  </w:r>
                  <w:r>
                    <w:rPr>
                      <w:szCs w:val="21"/>
                    </w:rPr>
                    <w:t>m</w:t>
                  </w:r>
                  <w:r>
                    <w:rPr>
                      <w:szCs w:val="21"/>
                      <w:vertAlign w:val="superscript"/>
                    </w:rPr>
                    <w:t>2</w:t>
                  </w:r>
                  <w:r>
                    <w:rPr>
                      <w:szCs w:val="21"/>
                    </w:rPr>
                    <w:t>，</w:t>
                  </w:r>
                  <w:bookmarkEnd w:id="30"/>
                  <w:r>
                    <w:rPr>
                      <w:rFonts w:hint="eastAsia"/>
                      <w:szCs w:val="21"/>
                    </w:rPr>
                    <w:t>H=16.3m，</w:t>
                  </w:r>
                  <w:r>
                    <w:rPr>
                      <w:szCs w:val="21"/>
                    </w:rPr>
                    <w:t>用于稻谷的烘干，</w:t>
                  </w:r>
                  <w:r>
                    <w:rPr>
                      <w:rFonts w:hint="eastAsia"/>
                      <w:szCs w:val="21"/>
                    </w:rPr>
                    <w:t>内部设置谷物烘干塔、生物质热风炉、圆筒筛、提升机等，日烘干能力300t</w:t>
                  </w:r>
                </w:p>
              </w:tc>
              <w:tc>
                <w:tcPr>
                  <w:tcW w:w="1022" w:type="pct"/>
                  <w:vAlign w:val="center"/>
                </w:tcPr>
                <w:p w14:paraId="797B6E71">
                  <w:pPr>
                    <w:jc w:val="center"/>
                    <w:rPr>
                      <w:szCs w:val="21"/>
                    </w:rPr>
                  </w:pPr>
                  <w:r>
                    <w:rPr>
                      <w:rFonts w:hint="eastAsia"/>
                      <w:szCs w:val="21"/>
                    </w:rPr>
                    <w:t>新建</w:t>
                  </w:r>
                </w:p>
              </w:tc>
            </w:tr>
            <w:tr w14:paraId="1C96B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restart"/>
                  <w:vAlign w:val="center"/>
                </w:tcPr>
                <w:p w14:paraId="7E16A5E3">
                  <w:pPr>
                    <w:pStyle w:val="61"/>
                    <w:rPr>
                      <w:sz w:val="21"/>
                    </w:rPr>
                  </w:pPr>
                  <w:r>
                    <w:rPr>
                      <w:sz w:val="21"/>
                    </w:rPr>
                    <w:t>辅助</w:t>
                  </w:r>
                </w:p>
                <w:p w14:paraId="361AE0F4">
                  <w:pPr>
                    <w:pStyle w:val="61"/>
                    <w:rPr>
                      <w:sz w:val="21"/>
                    </w:rPr>
                  </w:pPr>
                  <w:r>
                    <w:rPr>
                      <w:sz w:val="21"/>
                    </w:rPr>
                    <w:t>工程</w:t>
                  </w:r>
                </w:p>
              </w:tc>
              <w:tc>
                <w:tcPr>
                  <w:tcW w:w="665" w:type="pct"/>
                  <w:vAlign w:val="center"/>
                </w:tcPr>
                <w:p w14:paraId="2CA67614">
                  <w:pPr>
                    <w:pStyle w:val="61"/>
                    <w:rPr>
                      <w:sz w:val="21"/>
                    </w:rPr>
                  </w:pPr>
                  <w:r>
                    <w:rPr>
                      <w:sz w:val="21"/>
                    </w:rPr>
                    <w:t>提升塔</w:t>
                  </w:r>
                </w:p>
              </w:tc>
              <w:tc>
                <w:tcPr>
                  <w:tcW w:w="2839" w:type="pct"/>
                  <w:vAlign w:val="center"/>
                </w:tcPr>
                <w:p w14:paraId="043947FC">
                  <w:pPr>
                    <w:jc w:val="center"/>
                    <w:rPr>
                      <w:szCs w:val="21"/>
                    </w:rPr>
                  </w:pPr>
                  <w:r>
                    <w:rPr>
                      <w:rFonts w:hint="eastAsia"/>
                      <w:szCs w:val="21"/>
                    </w:rPr>
                    <w:t>1座，位于浅圆仓西北角，</w:t>
                  </w:r>
                  <w:r>
                    <w:rPr>
                      <w:szCs w:val="21"/>
                    </w:rPr>
                    <w:t>占地面积</w:t>
                  </w:r>
                  <w:r>
                    <w:rPr>
                      <w:rFonts w:hint="eastAsia"/>
                      <w:szCs w:val="21"/>
                    </w:rPr>
                    <w:t>82.62</w:t>
                  </w:r>
                  <w:r>
                    <w:rPr>
                      <w:szCs w:val="21"/>
                    </w:rPr>
                    <w:t>m</w:t>
                  </w:r>
                  <w:r>
                    <w:rPr>
                      <w:szCs w:val="21"/>
                      <w:vertAlign w:val="superscript"/>
                    </w:rPr>
                    <w:t>2</w:t>
                  </w:r>
                  <w:r>
                    <w:rPr>
                      <w:szCs w:val="21"/>
                    </w:rPr>
                    <w:t>，建筑面积</w:t>
                  </w:r>
                  <w:r>
                    <w:rPr>
                      <w:rFonts w:hint="eastAsia"/>
                      <w:szCs w:val="21"/>
                    </w:rPr>
                    <w:t>约317.94</w:t>
                  </w:r>
                  <w:r>
                    <w:rPr>
                      <w:szCs w:val="21"/>
                    </w:rPr>
                    <w:t>m</w:t>
                  </w:r>
                  <w:r>
                    <w:rPr>
                      <w:szCs w:val="21"/>
                      <w:vertAlign w:val="superscript"/>
                    </w:rPr>
                    <w:t>2</w:t>
                  </w:r>
                  <w:r>
                    <w:rPr>
                      <w:szCs w:val="21"/>
                    </w:rPr>
                    <w:t>，</w:t>
                  </w:r>
                  <w:r>
                    <w:rPr>
                      <w:rFonts w:hint="eastAsia"/>
                      <w:szCs w:val="21"/>
                    </w:rPr>
                    <w:t>H=41.1m，</w:t>
                  </w:r>
                  <w:r>
                    <w:t>塔架构筑物</w:t>
                  </w:r>
                </w:p>
              </w:tc>
              <w:tc>
                <w:tcPr>
                  <w:tcW w:w="1022" w:type="pct"/>
                  <w:vAlign w:val="center"/>
                </w:tcPr>
                <w:p w14:paraId="48E0BAAC">
                  <w:pPr>
                    <w:jc w:val="center"/>
                    <w:rPr>
                      <w:szCs w:val="21"/>
                    </w:rPr>
                  </w:pPr>
                  <w:r>
                    <w:rPr>
                      <w:rFonts w:hint="eastAsia"/>
                      <w:szCs w:val="21"/>
                    </w:rPr>
                    <w:t>新建</w:t>
                  </w:r>
                </w:p>
              </w:tc>
            </w:tr>
            <w:tr w14:paraId="709AC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7EA5F100">
                  <w:pPr>
                    <w:pStyle w:val="61"/>
                    <w:rPr>
                      <w:sz w:val="21"/>
                    </w:rPr>
                  </w:pPr>
                </w:p>
              </w:tc>
              <w:tc>
                <w:tcPr>
                  <w:tcW w:w="665" w:type="pct"/>
                  <w:vAlign w:val="center"/>
                </w:tcPr>
                <w:p w14:paraId="14858D3D">
                  <w:pPr>
                    <w:pStyle w:val="61"/>
                    <w:rPr>
                      <w:sz w:val="21"/>
                    </w:rPr>
                  </w:pPr>
                  <w:r>
                    <w:rPr>
                      <w:sz w:val="21"/>
                    </w:rPr>
                    <w:t>综合楼</w:t>
                  </w:r>
                </w:p>
              </w:tc>
              <w:tc>
                <w:tcPr>
                  <w:tcW w:w="2839" w:type="pct"/>
                  <w:vAlign w:val="center"/>
                </w:tcPr>
                <w:p w14:paraId="2833760C">
                  <w:pPr>
                    <w:jc w:val="center"/>
                    <w:rPr>
                      <w:szCs w:val="21"/>
                    </w:rPr>
                  </w:pPr>
                  <w:r>
                    <w:rPr>
                      <w:rFonts w:hint="eastAsia"/>
                      <w:szCs w:val="21"/>
                    </w:rPr>
                    <w:t>5F，</w:t>
                  </w:r>
                  <w:r>
                    <w:rPr>
                      <w:szCs w:val="21"/>
                    </w:rPr>
                    <w:t>占地面积</w:t>
                  </w:r>
                  <w:r>
                    <w:rPr>
                      <w:rFonts w:hint="eastAsia"/>
                      <w:szCs w:val="21"/>
                    </w:rPr>
                    <w:t>626.21</w:t>
                  </w:r>
                  <w:r>
                    <w:rPr>
                      <w:szCs w:val="21"/>
                    </w:rPr>
                    <w:t>m</w:t>
                  </w:r>
                  <w:r>
                    <w:rPr>
                      <w:szCs w:val="21"/>
                      <w:vertAlign w:val="superscript"/>
                    </w:rPr>
                    <w:t>2</w:t>
                  </w:r>
                  <w:r>
                    <w:rPr>
                      <w:szCs w:val="21"/>
                    </w:rPr>
                    <w:t>，建筑面积</w:t>
                  </w:r>
                  <w:r>
                    <w:rPr>
                      <w:rFonts w:hint="eastAsia"/>
                      <w:szCs w:val="21"/>
                    </w:rPr>
                    <w:t>约2973.40</w:t>
                  </w:r>
                  <w:r>
                    <w:rPr>
                      <w:szCs w:val="21"/>
                    </w:rPr>
                    <w:t>m</w:t>
                  </w:r>
                  <w:r>
                    <w:rPr>
                      <w:szCs w:val="21"/>
                      <w:vertAlign w:val="superscript"/>
                    </w:rPr>
                    <w:t>2</w:t>
                  </w:r>
                  <w:r>
                    <w:rPr>
                      <w:szCs w:val="21"/>
                    </w:rPr>
                    <w:t>，</w:t>
                  </w:r>
                  <w:r>
                    <w:rPr>
                      <w:rFonts w:hint="eastAsia"/>
                      <w:szCs w:val="21"/>
                    </w:rPr>
                    <w:t>用于</w:t>
                  </w:r>
                  <w:r>
                    <w:rPr>
                      <w:szCs w:val="21"/>
                    </w:rPr>
                    <w:t>职工办公</w:t>
                  </w:r>
                </w:p>
              </w:tc>
              <w:tc>
                <w:tcPr>
                  <w:tcW w:w="1022" w:type="pct"/>
                  <w:vAlign w:val="center"/>
                </w:tcPr>
                <w:p w14:paraId="7A8D760A">
                  <w:pPr>
                    <w:jc w:val="center"/>
                    <w:rPr>
                      <w:szCs w:val="21"/>
                    </w:rPr>
                  </w:pPr>
                  <w:r>
                    <w:rPr>
                      <w:rFonts w:hint="eastAsia"/>
                      <w:szCs w:val="21"/>
                    </w:rPr>
                    <w:t>依托现有</w:t>
                  </w:r>
                </w:p>
              </w:tc>
            </w:tr>
            <w:tr w14:paraId="2753E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5AF90A9">
                  <w:pPr>
                    <w:pStyle w:val="61"/>
                    <w:rPr>
                      <w:sz w:val="21"/>
                    </w:rPr>
                  </w:pPr>
                </w:p>
              </w:tc>
              <w:tc>
                <w:tcPr>
                  <w:tcW w:w="665" w:type="pct"/>
                  <w:vAlign w:val="center"/>
                </w:tcPr>
                <w:p w14:paraId="4366D38A">
                  <w:pPr>
                    <w:pStyle w:val="61"/>
                    <w:rPr>
                      <w:sz w:val="21"/>
                    </w:rPr>
                  </w:pPr>
                  <w:r>
                    <w:rPr>
                      <w:sz w:val="21"/>
                    </w:rPr>
                    <w:t>一站式服务中心</w:t>
                  </w:r>
                </w:p>
              </w:tc>
              <w:tc>
                <w:tcPr>
                  <w:tcW w:w="2839" w:type="pct"/>
                  <w:vAlign w:val="center"/>
                </w:tcPr>
                <w:p w14:paraId="587525B4">
                  <w:pPr>
                    <w:jc w:val="center"/>
                    <w:rPr>
                      <w:szCs w:val="21"/>
                    </w:rPr>
                  </w:pPr>
                  <w:r>
                    <w:rPr>
                      <w:rFonts w:hint="eastAsia"/>
                      <w:szCs w:val="21"/>
                    </w:rPr>
                    <w:t>2F，</w:t>
                  </w:r>
                  <w:r>
                    <w:rPr>
                      <w:szCs w:val="21"/>
                    </w:rPr>
                    <w:t>占地面积</w:t>
                  </w:r>
                  <w:r>
                    <w:rPr>
                      <w:rFonts w:hint="eastAsia"/>
                      <w:szCs w:val="21"/>
                    </w:rPr>
                    <w:t>101.43</w:t>
                  </w:r>
                  <w:r>
                    <w:rPr>
                      <w:szCs w:val="21"/>
                    </w:rPr>
                    <w:t>m</w:t>
                  </w:r>
                  <w:r>
                    <w:rPr>
                      <w:szCs w:val="21"/>
                      <w:vertAlign w:val="superscript"/>
                    </w:rPr>
                    <w:t>2</w:t>
                  </w:r>
                  <w:r>
                    <w:rPr>
                      <w:szCs w:val="21"/>
                    </w:rPr>
                    <w:t>，建筑面积</w:t>
                  </w:r>
                  <w:r>
                    <w:rPr>
                      <w:rFonts w:hint="eastAsia"/>
                      <w:szCs w:val="21"/>
                    </w:rPr>
                    <w:t>约202.86</w:t>
                  </w:r>
                  <w:r>
                    <w:rPr>
                      <w:szCs w:val="21"/>
                    </w:rPr>
                    <w:t>m</w:t>
                  </w:r>
                  <w:r>
                    <w:rPr>
                      <w:szCs w:val="21"/>
                      <w:vertAlign w:val="superscript"/>
                    </w:rPr>
                    <w:t>2</w:t>
                  </w:r>
                  <w:r>
                    <w:rPr>
                      <w:szCs w:val="21"/>
                    </w:rPr>
                    <w:t>，</w:t>
                  </w:r>
                  <w:r>
                    <w:rPr>
                      <w:rFonts w:hint="eastAsia"/>
                      <w:szCs w:val="21"/>
                    </w:rPr>
                    <w:t>用于</w:t>
                  </w:r>
                  <w:r>
                    <w:rPr>
                      <w:szCs w:val="21"/>
                    </w:rPr>
                    <w:t>职工办公，</w:t>
                  </w:r>
                  <w:r>
                    <w:rPr>
                      <w:rFonts w:hint="eastAsia"/>
                      <w:szCs w:val="21"/>
                    </w:rPr>
                    <w:t>一层设地磅房、结算室、初检室等功能单位，二层为倒班宿舍</w:t>
                  </w:r>
                </w:p>
              </w:tc>
              <w:tc>
                <w:tcPr>
                  <w:tcW w:w="1022" w:type="pct"/>
                  <w:vAlign w:val="center"/>
                </w:tcPr>
                <w:p w14:paraId="044F8DD6">
                  <w:pPr>
                    <w:jc w:val="center"/>
                    <w:rPr>
                      <w:szCs w:val="21"/>
                    </w:rPr>
                  </w:pPr>
                  <w:r>
                    <w:rPr>
                      <w:rFonts w:hint="eastAsia"/>
                      <w:szCs w:val="21"/>
                    </w:rPr>
                    <w:t>依托现有</w:t>
                  </w:r>
                </w:p>
              </w:tc>
            </w:tr>
            <w:tr w14:paraId="7DBF8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14C8764B">
                  <w:pPr>
                    <w:pStyle w:val="61"/>
                    <w:rPr>
                      <w:sz w:val="21"/>
                    </w:rPr>
                  </w:pPr>
                </w:p>
              </w:tc>
              <w:tc>
                <w:tcPr>
                  <w:tcW w:w="665" w:type="pct"/>
                  <w:vAlign w:val="center"/>
                </w:tcPr>
                <w:p w14:paraId="2DB71A34">
                  <w:pPr>
                    <w:pStyle w:val="61"/>
                    <w:rPr>
                      <w:sz w:val="21"/>
                    </w:rPr>
                  </w:pPr>
                  <w:r>
                    <w:rPr>
                      <w:sz w:val="21"/>
                    </w:rPr>
                    <w:t>设备房</w:t>
                  </w:r>
                </w:p>
              </w:tc>
              <w:tc>
                <w:tcPr>
                  <w:tcW w:w="2839" w:type="pct"/>
                  <w:vAlign w:val="center"/>
                </w:tcPr>
                <w:p w14:paraId="7F0BE30A">
                  <w:pPr>
                    <w:jc w:val="center"/>
                    <w:rPr>
                      <w:szCs w:val="21"/>
                    </w:rPr>
                  </w:pPr>
                  <w:r>
                    <w:rPr>
                      <w:rFonts w:hint="eastAsia"/>
                      <w:szCs w:val="21"/>
                    </w:rPr>
                    <w:t>1F，</w:t>
                  </w:r>
                  <w:r>
                    <w:rPr>
                      <w:szCs w:val="21"/>
                    </w:rPr>
                    <w:t>占地面积</w:t>
                  </w:r>
                  <w:r>
                    <w:rPr>
                      <w:rFonts w:hint="eastAsia"/>
                      <w:szCs w:val="21"/>
                    </w:rPr>
                    <w:t>55.58</w:t>
                  </w:r>
                  <w:r>
                    <w:rPr>
                      <w:szCs w:val="21"/>
                    </w:rPr>
                    <w:t>m</w:t>
                  </w:r>
                  <w:r>
                    <w:rPr>
                      <w:szCs w:val="21"/>
                      <w:vertAlign w:val="superscript"/>
                    </w:rPr>
                    <w:t>2</w:t>
                  </w:r>
                  <w:r>
                    <w:rPr>
                      <w:szCs w:val="21"/>
                    </w:rPr>
                    <w:t>，建筑面积</w:t>
                  </w:r>
                  <w:r>
                    <w:rPr>
                      <w:rFonts w:hint="eastAsia"/>
                      <w:szCs w:val="21"/>
                    </w:rPr>
                    <w:t>约55.58</w:t>
                  </w:r>
                  <w:r>
                    <w:rPr>
                      <w:szCs w:val="21"/>
                    </w:rPr>
                    <w:t>m</w:t>
                  </w:r>
                  <w:r>
                    <w:rPr>
                      <w:szCs w:val="21"/>
                      <w:vertAlign w:val="superscript"/>
                    </w:rPr>
                    <w:t>2</w:t>
                  </w:r>
                </w:p>
              </w:tc>
              <w:tc>
                <w:tcPr>
                  <w:tcW w:w="1022" w:type="pct"/>
                  <w:vAlign w:val="center"/>
                </w:tcPr>
                <w:p w14:paraId="668B2D95">
                  <w:pPr>
                    <w:jc w:val="center"/>
                    <w:rPr>
                      <w:szCs w:val="21"/>
                    </w:rPr>
                  </w:pPr>
                  <w:r>
                    <w:rPr>
                      <w:rFonts w:hint="eastAsia"/>
                      <w:szCs w:val="21"/>
                    </w:rPr>
                    <w:t>依托现有</w:t>
                  </w:r>
                </w:p>
              </w:tc>
            </w:tr>
            <w:tr w14:paraId="0D691B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0577D6C7">
                  <w:pPr>
                    <w:pStyle w:val="61"/>
                    <w:rPr>
                      <w:sz w:val="21"/>
                    </w:rPr>
                  </w:pPr>
                </w:p>
              </w:tc>
              <w:tc>
                <w:tcPr>
                  <w:tcW w:w="665" w:type="pct"/>
                  <w:vAlign w:val="center"/>
                </w:tcPr>
                <w:p w14:paraId="0449FBD2">
                  <w:pPr>
                    <w:pStyle w:val="61"/>
                    <w:rPr>
                      <w:sz w:val="21"/>
                    </w:rPr>
                  </w:pPr>
                  <w:r>
                    <w:rPr>
                      <w:sz w:val="21"/>
                    </w:rPr>
                    <w:t>工具房</w:t>
                  </w:r>
                </w:p>
              </w:tc>
              <w:tc>
                <w:tcPr>
                  <w:tcW w:w="2839" w:type="pct"/>
                  <w:vAlign w:val="center"/>
                </w:tcPr>
                <w:p w14:paraId="3D427D60">
                  <w:pPr>
                    <w:jc w:val="center"/>
                    <w:rPr>
                      <w:szCs w:val="21"/>
                    </w:rPr>
                  </w:pPr>
                  <w:r>
                    <w:rPr>
                      <w:rFonts w:hint="eastAsia"/>
                      <w:szCs w:val="21"/>
                    </w:rPr>
                    <w:t>1F，</w:t>
                  </w:r>
                  <w:r>
                    <w:rPr>
                      <w:szCs w:val="21"/>
                    </w:rPr>
                    <w:t>占地面积</w:t>
                  </w:r>
                  <w:r>
                    <w:rPr>
                      <w:rFonts w:hint="eastAsia"/>
                      <w:szCs w:val="21"/>
                    </w:rPr>
                    <w:t>13.07</w:t>
                  </w:r>
                  <w:r>
                    <w:rPr>
                      <w:szCs w:val="21"/>
                    </w:rPr>
                    <w:t>m</w:t>
                  </w:r>
                  <w:r>
                    <w:rPr>
                      <w:szCs w:val="21"/>
                      <w:vertAlign w:val="superscript"/>
                    </w:rPr>
                    <w:t>2</w:t>
                  </w:r>
                  <w:r>
                    <w:rPr>
                      <w:szCs w:val="21"/>
                    </w:rPr>
                    <w:t>，建筑面积</w:t>
                  </w:r>
                  <w:r>
                    <w:rPr>
                      <w:rFonts w:hint="eastAsia"/>
                      <w:szCs w:val="21"/>
                    </w:rPr>
                    <w:t>约13.07</w:t>
                  </w:r>
                  <w:r>
                    <w:rPr>
                      <w:szCs w:val="21"/>
                    </w:rPr>
                    <w:t>m</w:t>
                  </w:r>
                  <w:r>
                    <w:rPr>
                      <w:szCs w:val="21"/>
                      <w:vertAlign w:val="superscript"/>
                    </w:rPr>
                    <w:t>2</w:t>
                  </w:r>
                </w:p>
              </w:tc>
              <w:tc>
                <w:tcPr>
                  <w:tcW w:w="1022" w:type="pct"/>
                  <w:vAlign w:val="center"/>
                </w:tcPr>
                <w:p w14:paraId="1738FBF3">
                  <w:pPr>
                    <w:jc w:val="center"/>
                    <w:rPr>
                      <w:szCs w:val="21"/>
                    </w:rPr>
                  </w:pPr>
                  <w:r>
                    <w:rPr>
                      <w:rFonts w:hint="eastAsia"/>
                      <w:szCs w:val="21"/>
                    </w:rPr>
                    <w:t>依托现有</w:t>
                  </w:r>
                </w:p>
              </w:tc>
            </w:tr>
            <w:tr w14:paraId="4DF5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AB2E282">
                  <w:pPr>
                    <w:pStyle w:val="61"/>
                    <w:rPr>
                      <w:sz w:val="21"/>
                    </w:rPr>
                  </w:pPr>
                </w:p>
              </w:tc>
              <w:tc>
                <w:tcPr>
                  <w:tcW w:w="665" w:type="pct"/>
                  <w:vAlign w:val="center"/>
                </w:tcPr>
                <w:p w14:paraId="7F8DD02D">
                  <w:pPr>
                    <w:pStyle w:val="61"/>
                    <w:rPr>
                      <w:sz w:val="21"/>
                    </w:rPr>
                  </w:pPr>
                  <w:r>
                    <w:rPr>
                      <w:sz w:val="21"/>
                    </w:rPr>
                    <w:t>门卫室</w:t>
                  </w:r>
                </w:p>
              </w:tc>
              <w:tc>
                <w:tcPr>
                  <w:tcW w:w="2839" w:type="pct"/>
                  <w:vAlign w:val="center"/>
                </w:tcPr>
                <w:p w14:paraId="1ADE9ABF">
                  <w:pPr>
                    <w:jc w:val="center"/>
                    <w:rPr>
                      <w:szCs w:val="21"/>
                    </w:rPr>
                  </w:pPr>
                  <w:r>
                    <w:rPr>
                      <w:rFonts w:hint="eastAsia"/>
                      <w:szCs w:val="21"/>
                    </w:rPr>
                    <w:t>1F，</w:t>
                  </w:r>
                  <w:r>
                    <w:rPr>
                      <w:szCs w:val="21"/>
                    </w:rPr>
                    <w:t>占地面积</w:t>
                  </w:r>
                  <w:r>
                    <w:rPr>
                      <w:rFonts w:hint="eastAsia"/>
                      <w:szCs w:val="21"/>
                    </w:rPr>
                    <w:t>29.92</w:t>
                  </w:r>
                  <w:r>
                    <w:rPr>
                      <w:szCs w:val="21"/>
                    </w:rPr>
                    <w:t>m</w:t>
                  </w:r>
                  <w:r>
                    <w:rPr>
                      <w:szCs w:val="21"/>
                      <w:vertAlign w:val="superscript"/>
                    </w:rPr>
                    <w:t>2</w:t>
                  </w:r>
                  <w:r>
                    <w:rPr>
                      <w:szCs w:val="21"/>
                    </w:rPr>
                    <w:t>，建筑面积</w:t>
                  </w:r>
                  <w:r>
                    <w:rPr>
                      <w:rFonts w:hint="eastAsia"/>
                      <w:szCs w:val="21"/>
                    </w:rPr>
                    <w:t>约29.92</w:t>
                  </w:r>
                  <w:r>
                    <w:rPr>
                      <w:szCs w:val="21"/>
                    </w:rPr>
                    <w:t>m</w:t>
                  </w:r>
                  <w:r>
                    <w:rPr>
                      <w:szCs w:val="21"/>
                      <w:vertAlign w:val="superscript"/>
                    </w:rPr>
                    <w:t>2</w:t>
                  </w:r>
                </w:p>
              </w:tc>
              <w:tc>
                <w:tcPr>
                  <w:tcW w:w="1022" w:type="pct"/>
                  <w:vAlign w:val="center"/>
                </w:tcPr>
                <w:p w14:paraId="5465C43F">
                  <w:pPr>
                    <w:jc w:val="center"/>
                    <w:rPr>
                      <w:szCs w:val="21"/>
                    </w:rPr>
                  </w:pPr>
                  <w:r>
                    <w:rPr>
                      <w:rFonts w:hint="eastAsia"/>
                      <w:szCs w:val="21"/>
                    </w:rPr>
                    <w:t>依托现有</w:t>
                  </w:r>
                </w:p>
              </w:tc>
            </w:tr>
            <w:tr w14:paraId="3C018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26D59E8">
                  <w:pPr>
                    <w:pStyle w:val="61"/>
                    <w:rPr>
                      <w:sz w:val="21"/>
                    </w:rPr>
                  </w:pPr>
                </w:p>
              </w:tc>
              <w:tc>
                <w:tcPr>
                  <w:tcW w:w="665" w:type="pct"/>
                  <w:vAlign w:val="center"/>
                </w:tcPr>
                <w:p w14:paraId="13C7C95B">
                  <w:pPr>
                    <w:pStyle w:val="61"/>
                    <w:rPr>
                      <w:sz w:val="21"/>
                    </w:rPr>
                  </w:pPr>
                  <w:r>
                    <w:rPr>
                      <w:sz w:val="21"/>
                    </w:rPr>
                    <w:t>水泵房</w:t>
                  </w:r>
                </w:p>
              </w:tc>
              <w:tc>
                <w:tcPr>
                  <w:tcW w:w="2839" w:type="pct"/>
                  <w:vAlign w:val="center"/>
                </w:tcPr>
                <w:p w14:paraId="58CB431E">
                  <w:pPr>
                    <w:jc w:val="center"/>
                    <w:rPr>
                      <w:szCs w:val="21"/>
                    </w:rPr>
                  </w:pPr>
                  <w:r>
                    <w:rPr>
                      <w:rFonts w:hint="eastAsia"/>
                      <w:szCs w:val="21"/>
                    </w:rPr>
                    <w:t>1F，占地面积108</w:t>
                  </w:r>
                  <w:r>
                    <w:rPr>
                      <w:szCs w:val="21"/>
                    </w:rPr>
                    <w:t>m</w:t>
                  </w:r>
                  <w:r>
                    <w:rPr>
                      <w:szCs w:val="21"/>
                      <w:vertAlign w:val="superscript"/>
                    </w:rPr>
                    <w:t>2</w:t>
                  </w:r>
                  <w:r>
                    <w:rPr>
                      <w:szCs w:val="21"/>
                    </w:rPr>
                    <w:t>，建筑面积</w:t>
                  </w:r>
                  <w:r>
                    <w:rPr>
                      <w:rFonts w:hint="eastAsia"/>
                      <w:szCs w:val="21"/>
                    </w:rPr>
                    <w:t>约108</w:t>
                  </w:r>
                  <w:r>
                    <w:rPr>
                      <w:szCs w:val="21"/>
                    </w:rPr>
                    <w:t>m</w:t>
                  </w:r>
                  <w:r>
                    <w:rPr>
                      <w:szCs w:val="21"/>
                      <w:vertAlign w:val="superscript"/>
                    </w:rPr>
                    <w:t>2</w:t>
                  </w:r>
                </w:p>
              </w:tc>
              <w:tc>
                <w:tcPr>
                  <w:tcW w:w="1022" w:type="pct"/>
                  <w:vAlign w:val="center"/>
                </w:tcPr>
                <w:p w14:paraId="7790480F">
                  <w:pPr>
                    <w:jc w:val="center"/>
                    <w:rPr>
                      <w:szCs w:val="21"/>
                    </w:rPr>
                  </w:pPr>
                  <w:r>
                    <w:rPr>
                      <w:rFonts w:hint="eastAsia"/>
                      <w:szCs w:val="21"/>
                    </w:rPr>
                    <w:t>新建</w:t>
                  </w:r>
                </w:p>
              </w:tc>
            </w:tr>
            <w:tr w14:paraId="62E90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497CBE79">
                  <w:pPr>
                    <w:pStyle w:val="61"/>
                    <w:rPr>
                      <w:sz w:val="21"/>
                    </w:rPr>
                  </w:pPr>
                </w:p>
              </w:tc>
              <w:tc>
                <w:tcPr>
                  <w:tcW w:w="665" w:type="pct"/>
                  <w:vAlign w:val="center"/>
                </w:tcPr>
                <w:p w14:paraId="41AD60CF">
                  <w:pPr>
                    <w:pStyle w:val="61"/>
                    <w:rPr>
                      <w:sz w:val="21"/>
                    </w:rPr>
                  </w:pPr>
                  <w:r>
                    <w:rPr>
                      <w:sz w:val="21"/>
                    </w:rPr>
                    <w:t>箱变</w:t>
                  </w:r>
                </w:p>
              </w:tc>
              <w:tc>
                <w:tcPr>
                  <w:tcW w:w="2839" w:type="pct"/>
                  <w:vAlign w:val="center"/>
                </w:tcPr>
                <w:p w14:paraId="7AD04FC6">
                  <w:pPr>
                    <w:jc w:val="center"/>
                    <w:rPr>
                      <w:szCs w:val="21"/>
                    </w:rPr>
                  </w:pPr>
                  <w:r>
                    <w:rPr>
                      <w:rFonts w:hint="eastAsia"/>
                      <w:szCs w:val="21"/>
                    </w:rPr>
                    <w:t>1座，400KVA</w:t>
                  </w:r>
                </w:p>
              </w:tc>
              <w:tc>
                <w:tcPr>
                  <w:tcW w:w="1022" w:type="pct"/>
                  <w:vAlign w:val="center"/>
                </w:tcPr>
                <w:p w14:paraId="433A0245">
                  <w:pPr>
                    <w:jc w:val="center"/>
                    <w:rPr>
                      <w:szCs w:val="21"/>
                    </w:rPr>
                  </w:pPr>
                  <w:r>
                    <w:rPr>
                      <w:rFonts w:hint="eastAsia"/>
                      <w:szCs w:val="21"/>
                    </w:rPr>
                    <w:t>新建</w:t>
                  </w:r>
                </w:p>
              </w:tc>
            </w:tr>
            <w:tr w14:paraId="307B4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restart"/>
                  <w:vAlign w:val="center"/>
                </w:tcPr>
                <w:p w14:paraId="29F89AC2">
                  <w:pPr>
                    <w:pStyle w:val="61"/>
                    <w:rPr>
                      <w:sz w:val="21"/>
                    </w:rPr>
                  </w:pPr>
                  <w:r>
                    <w:rPr>
                      <w:sz w:val="21"/>
                    </w:rPr>
                    <w:t>公用</w:t>
                  </w:r>
                </w:p>
                <w:p w14:paraId="750B218B">
                  <w:pPr>
                    <w:pStyle w:val="61"/>
                    <w:rPr>
                      <w:sz w:val="21"/>
                    </w:rPr>
                  </w:pPr>
                  <w:r>
                    <w:rPr>
                      <w:sz w:val="21"/>
                    </w:rPr>
                    <w:t>工程</w:t>
                  </w:r>
                </w:p>
              </w:tc>
              <w:tc>
                <w:tcPr>
                  <w:tcW w:w="665" w:type="pct"/>
                  <w:vAlign w:val="center"/>
                </w:tcPr>
                <w:p w14:paraId="446C3381">
                  <w:pPr>
                    <w:jc w:val="center"/>
                    <w:rPr>
                      <w:szCs w:val="21"/>
                    </w:rPr>
                  </w:pPr>
                  <w:r>
                    <w:rPr>
                      <w:szCs w:val="21"/>
                    </w:rPr>
                    <w:t>供水</w:t>
                  </w:r>
                </w:p>
              </w:tc>
              <w:tc>
                <w:tcPr>
                  <w:tcW w:w="2839" w:type="pct"/>
                  <w:vAlign w:val="center"/>
                </w:tcPr>
                <w:p w14:paraId="0F3D0FFC">
                  <w:pPr>
                    <w:jc w:val="center"/>
                    <w:rPr>
                      <w:szCs w:val="21"/>
                    </w:rPr>
                  </w:pPr>
                  <w:r>
                    <w:rPr>
                      <w:rFonts w:hint="eastAsia"/>
                      <w:szCs w:val="21"/>
                    </w:rPr>
                    <w:t>市政</w:t>
                  </w:r>
                  <w:r>
                    <w:rPr>
                      <w:szCs w:val="21"/>
                    </w:rPr>
                    <w:t>供水管网</w:t>
                  </w:r>
                </w:p>
              </w:tc>
              <w:tc>
                <w:tcPr>
                  <w:tcW w:w="1022" w:type="pct"/>
                  <w:vAlign w:val="center"/>
                </w:tcPr>
                <w:p w14:paraId="5691C313">
                  <w:pPr>
                    <w:jc w:val="center"/>
                    <w:rPr>
                      <w:szCs w:val="21"/>
                    </w:rPr>
                  </w:pPr>
                  <w:r>
                    <w:rPr>
                      <w:rFonts w:hint="eastAsia"/>
                      <w:szCs w:val="21"/>
                    </w:rPr>
                    <w:t>依托现有</w:t>
                  </w:r>
                </w:p>
              </w:tc>
            </w:tr>
            <w:tr w14:paraId="2222F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0702ED4A">
                  <w:pPr>
                    <w:pStyle w:val="61"/>
                    <w:rPr>
                      <w:sz w:val="21"/>
                    </w:rPr>
                  </w:pPr>
                </w:p>
              </w:tc>
              <w:tc>
                <w:tcPr>
                  <w:tcW w:w="665" w:type="pct"/>
                  <w:vAlign w:val="center"/>
                </w:tcPr>
                <w:p w14:paraId="682D7E25">
                  <w:pPr>
                    <w:jc w:val="center"/>
                    <w:rPr>
                      <w:szCs w:val="21"/>
                    </w:rPr>
                  </w:pPr>
                  <w:r>
                    <w:rPr>
                      <w:szCs w:val="21"/>
                    </w:rPr>
                    <w:t>供电</w:t>
                  </w:r>
                </w:p>
              </w:tc>
              <w:tc>
                <w:tcPr>
                  <w:tcW w:w="2839" w:type="pct"/>
                  <w:vAlign w:val="center"/>
                </w:tcPr>
                <w:p w14:paraId="4F4E6090">
                  <w:pPr>
                    <w:jc w:val="center"/>
                    <w:rPr>
                      <w:szCs w:val="21"/>
                    </w:rPr>
                  </w:pPr>
                  <w:r>
                    <w:rPr>
                      <w:rFonts w:hint="eastAsia"/>
                      <w:szCs w:val="21"/>
                    </w:rPr>
                    <w:t>市政供电部门供应</w:t>
                  </w:r>
                </w:p>
              </w:tc>
              <w:tc>
                <w:tcPr>
                  <w:tcW w:w="1022" w:type="pct"/>
                  <w:vAlign w:val="center"/>
                </w:tcPr>
                <w:p w14:paraId="25770C2A">
                  <w:pPr>
                    <w:jc w:val="center"/>
                    <w:rPr>
                      <w:szCs w:val="21"/>
                    </w:rPr>
                  </w:pPr>
                  <w:r>
                    <w:rPr>
                      <w:rFonts w:hint="eastAsia"/>
                      <w:szCs w:val="21"/>
                    </w:rPr>
                    <w:t>依托现有</w:t>
                  </w:r>
                </w:p>
              </w:tc>
            </w:tr>
            <w:tr w14:paraId="2A961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44448EC">
                  <w:pPr>
                    <w:pStyle w:val="61"/>
                    <w:rPr>
                      <w:sz w:val="21"/>
                    </w:rPr>
                  </w:pPr>
                </w:p>
              </w:tc>
              <w:tc>
                <w:tcPr>
                  <w:tcW w:w="665" w:type="pct"/>
                  <w:vAlign w:val="center"/>
                </w:tcPr>
                <w:p w14:paraId="7DE5B52F">
                  <w:pPr>
                    <w:jc w:val="center"/>
                    <w:rPr>
                      <w:szCs w:val="21"/>
                    </w:rPr>
                  </w:pPr>
                  <w:r>
                    <w:rPr>
                      <w:szCs w:val="21"/>
                    </w:rPr>
                    <w:t>排水</w:t>
                  </w:r>
                </w:p>
              </w:tc>
              <w:tc>
                <w:tcPr>
                  <w:tcW w:w="2839" w:type="pct"/>
                  <w:vAlign w:val="center"/>
                </w:tcPr>
                <w:p w14:paraId="00B968F5">
                  <w:pPr>
                    <w:jc w:val="center"/>
                    <w:rPr>
                      <w:kern w:val="0"/>
                      <w:szCs w:val="21"/>
                    </w:rPr>
                  </w:pPr>
                  <w:r>
                    <w:rPr>
                      <w:spacing w:val="-12"/>
                      <w:szCs w:val="21"/>
                    </w:rPr>
                    <w:t>雨污分流制，生活污水</w:t>
                  </w:r>
                  <w:r>
                    <w:rPr>
                      <w:rFonts w:hint="eastAsia"/>
                      <w:spacing w:val="-12"/>
                      <w:szCs w:val="21"/>
                    </w:rPr>
                    <w:t>依托</w:t>
                  </w:r>
                  <w:r>
                    <w:rPr>
                      <w:spacing w:val="-12"/>
                      <w:szCs w:val="21"/>
                    </w:rPr>
                    <w:t>现有化粪池处理后排入市政污水管网，纳入白果镇污水处理厂深度处理后排入涓水</w:t>
                  </w:r>
                </w:p>
              </w:tc>
              <w:tc>
                <w:tcPr>
                  <w:tcW w:w="1022" w:type="pct"/>
                  <w:vAlign w:val="center"/>
                </w:tcPr>
                <w:p w14:paraId="3BC9F8A1">
                  <w:pPr>
                    <w:jc w:val="center"/>
                    <w:rPr>
                      <w:spacing w:val="-12"/>
                      <w:szCs w:val="21"/>
                    </w:rPr>
                  </w:pPr>
                  <w:r>
                    <w:rPr>
                      <w:rFonts w:hint="eastAsia"/>
                      <w:szCs w:val="21"/>
                    </w:rPr>
                    <w:t>依托现有</w:t>
                  </w:r>
                </w:p>
              </w:tc>
            </w:tr>
            <w:tr w14:paraId="14FB5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restart"/>
                  <w:vAlign w:val="center"/>
                </w:tcPr>
                <w:p w14:paraId="20E8CD56">
                  <w:pPr>
                    <w:pStyle w:val="61"/>
                    <w:rPr>
                      <w:sz w:val="21"/>
                    </w:rPr>
                  </w:pPr>
                  <w:r>
                    <w:rPr>
                      <w:sz w:val="21"/>
                    </w:rPr>
                    <w:t>环保</w:t>
                  </w:r>
                </w:p>
                <w:p w14:paraId="666805FB">
                  <w:pPr>
                    <w:pStyle w:val="61"/>
                    <w:rPr>
                      <w:sz w:val="21"/>
                    </w:rPr>
                  </w:pPr>
                  <w:r>
                    <w:rPr>
                      <w:sz w:val="21"/>
                    </w:rPr>
                    <w:t>工程</w:t>
                  </w:r>
                </w:p>
              </w:tc>
              <w:tc>
                <w:tcPr>
                  <w:tcW w:w="665" w:type="pct"/>
                  <w:vMerge w:val="restart"/>
                  <w:vAlign w:val="center"/>
                </w:tcPr>
                <w:p w14:paraId="2ADC03B7">
                  <w:pPr>
                    <w:pStyle w:val="61"/>
                    <w:rPr>
                      <w:sz w:val="21"/>
                    </w:rPr>
                  </w:pPr>
                  <w:r>
                    <w:rPr>
                      <w:sz w:val="21"/>
                    </w:rPr>
                    <w:t>废气治理</w:t>
                  </w:r>
                </w:p>
              </w:tc>
              <w:tc>
                <w:tcPr>
                  <w:tcW w:w="2839" w:type="pct"/>
                  <w:vAlign w:val="center"/>
                </w:tcPr>
                <w:p w14:paraId="53E348A0">
                  <w:pPr>
                    <w:pStyle w:val="61"/>
                    <w:tabs>
                      <w:tab w:val="left" w:pos="3360"/>
                    </w:tabs>
                    <w:rPr>
                      <w:sz w:val="21"/>
                    </w:rPr>
                  </w:pPr>
                  <w:r>
                    <w:rPr>
                      <w:rFonts w:hint="eastAsia"/>
                      <w:sz w:val="21"/>
                    </w:rPr>
                    <w:t>装卸、输送及清筛粉尘：封闭式库房，及时清扫、降低装卸落差、控制输送速度、密闭输送、封闭式清筛设备</w:t>
                  </w:r>
                </w:p>
              </w:tc>
              <w:tc>
                <w:tcPr>
                  <w:tcW w:w="1022" w:type="pct"/>
                  <w:vAlign w:val="center"/>
                </w:tcPr>
                <w:p w14:paraId="61B19070">
                  <w:pPr>
                    <w:pStyle w:val="61"/>
                    <w:tabs>
                      <w:tab w:val="left" w:pos="3360"/>
                    </w:tabs>
                    <w:rPr>
                      <w:sz w:val="21"/>
                    </w:rPr>
                  </w:pPr>
                  <w:r>
                    <w:rPr>
                      <w:rFonts w:hint="eastAsia"/>
                      <w:sz w:val="21"/>
                    </w:rPr>
                    <w:t>依托现有并新建</w:t>
                  </w:r>
                </w:p>
              </w:tc>
            </w:tr>
            <w:tr w14:paraId="12124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1D06E0D">
                  <w:pPr>
                    <w:pStyle w:val="61"/>
                    <w:rPr>
                      <w:sz w:val="21"/>
                    </w:rPr>
                  </w:pPr>
                </w:p>
              </w:tc>
              <w:tc>
                <w:tcPr>
                  <w:tcW w:w="665" w:type="pct"/>
                  <w:vMerge w:val="continue"/>
                  <w:vAlign w:val="center"/>
                </w:tcPr>
                <w:p w14:paraId="613D190D">
                  <w:pPr>
                    <w:pStyle w:val="61"/>
                    <w:rPr>
                      <w:sz w:val="21"/>
                    </w:rPr>
                  </w:pPr>
                </w:p>
              </w:tc>
              <w:tc>
                <w:tcPr>
                  <w:tcW w:w="2839" w:type="pct"/>
                  <w:vAlign w:val="center"/>
                </w:tcPr>
                <w:p w14:paraId="023196C1">
                  <w:pPr>
                    <w:pStyle w:val="61"/>
                    <w:tabs>
                      <w:tab w:val="left" w:pos="3360"/>
                    </w:tabs>
                    <w:rPr>
                      <w:sz w:val="21"/>
                    </w:rPr>
                  </w:pPr>
                  <w:r>
                    <w:rPr>
                      <w:rFonts w:hint="eastAsia"/>
                      <w:sz w:val="21"/>
                    </w:rPr>
                    <w:t>热风炉烟气：经旋风+布袋除尘器处理后通过一根20m排气筒排放</w:t>
                  </w:r>
                </w:p>
              </w:tc>
              <w:tc>
                <w:tcPr>
                  <w:tcW w:w="1022" w:type="pct"/>
                  <w:vAlign w:val="center"/>
                </w:tcPr>
                <w:p w14:paraId="727E7B8B">
                  <w:pPr>
                    <w:pStyle w:val="61"/>
                    <w:tabs>
                      <w:tab w:val="left" w:pos="3360"/>
                    </w:tabs>
                    <w:rPr>
                      <w:sz w:val="21"/>
                    </w:rPr>
                  </w:pPr>
                  <w:r>
                    <w:rPr>
                      <w:rFonts w:hint="eastAsia"/>
                      <w:sz w:val="21"/>
                    </w:rPr>
                    <w:t>新建</w:t>
                  </w:r>
                </w:p>
              </w:tc>
            </w:tr>
            <w:tr w14:paraId="37D69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63E3B3C6">
                  <w:pPr>
                    <w:pStyle w:val="61"/>
                    <w:rPr>
                      <w:sz w:val="21"/>
                    </w:rPr>
                  </w:pPr>
                </w:p>
              </w:tc>
              <w:tc>
                <w:tcPr>
                  <w:tcW w:w="665" w:type="pct"/>
                  <w:vMerge w:val="continue"/>
                  <w:vAlign w:val="center"/>
                </w:tcPr>
                <w:p w14:paraId="7C3891ED">
                  <w:pPr>
                    <w:pStyle w:val="61"/>
                    <w:rPr>
                      <w:sz w:val="21"/>
                    </w:rPr>
                  </w:pPr>
                </w:p>
              </w:tc>
              <w:tc>
                <w:tcPr>
                  <w:tcW w:w="2839" w:type="pct"/>
                  <w:vAlign w:val="center"/>
                </w:tcPr>
                <w:p w14:paraId="14A6CCDA">
                  <w:pPr>
                    <w:pStyle w:val="61"/>
                    <w:tabs>
                      <w:tab w:val="left" w:pos="3360"/>
                    </w:tabs>
                    <w:rPr>
                      <w:sz w:val="21"/>
                    </w:rPr>
                  </w:pPr>
                  <w:r>
                    <w:rPr>
                      <w:rFonts w:hint="eastAsia"/>
                      <w:sz w:val="21"/>
                    </w:rPr>
                    <w:t>烘干废气：经沉降室+布袋除尘器处理后无组织排放</w:t>
                  </w:r>
                </w:p>
              </w:tc>
              <w:tc>
                <w:tcPr>
                  <w:tcW w:w="1022" w:type="pct"/>
                  <w:vAlign w:val="center"/>
                </w:tcPr>
                <w:p w14:paraId="2BCC743F">
                  <w:pPr>
                    <w:pStyle w:val="61"/>
                    <w:tabs>
                      <w:tab w:val="left" w:pos="3360"/>
                    </w:tabs>
                    <w:rPr>
                      <w:sz w:val="21"/>
                    </w:rPr>
                  </w:pPr>
                  <w:r>
                    <w:rPr>
                      <w:rFonts w:hint="eastAsia"/>
                      <w:sz w:val="21"/>
                    </w:rPr>
                    <w:t>新建</w:t>
                  </w:r>
                </w:p>
              </w:tc>
            </w:tr>
            <w:tr w14:paraId="051F0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42B5F5A">
                  <w:pPr>
                    <w:pStyle w:val="61"/>
                    <w:rPr>
                      <w:sz w:val="21"/>
                    </w:rPr>
                  </w:pPr>
                </w:p>
              </w:tc>
              <w:tc>
                <w:tcPr>
                  <w:tcW w:w="665" w:type="pct"/>
                  <w:vMerge w:val="continue"/>
                  <w:vAlign w:val="center"/>
                </w:tcPr>
                <w:p w14:paraId="3DB89D4B">
                  <w:pPr>
                    <w:pStyle w:val="61"/>
                    <w:rPr>
                      <w:sz w:val="21"/>
                    </w:rPr>
                  </w:pPr>
                </w:p>
              </w:tc>
              <w:tc>
                <w:tcPr>
                  <w:tcW w:w="2839" w:type="pct"/>
                  <w:vAlign w:val="center"/>
                </w:tcPr>
                <w:p w14:paraId="1B0931F2">
                  <w:pPr>
                    <w:pStyle w:val="61"/>
                    <w:tabs>
                      <w:tab w:val="left" w:pos="3360"/>
                    </w:tabs>
                    <w:rPr>
                      <w:sz w:val="21"/>
                    </w:rPr>
                  </w:pPr>
                  <w:r>
                    <w:rPr>
                      <w:sz w:val="21"/>
                    </w:rPr>
                    <w:t>道路扬尘：</w:t>
                  </w:r>
                  <w:r>
                    <w:rPr>
                      <w:rFonts w:hint="eastAsia"/>
                      <w:sz w:val="21"/>
                    </w:rPr>
                    <w:t>地面硬化、控制车速、及时清扫、定期洒水</w:t>
                  </w:r>
                </w:p>
              </w:tc>
              <w:tc>
                <w:tcPr>
                  <w:tcW w:w="1022" w:type="pct"/>
                  <w:vAlign w:val="center"/>
                </w:tcPr>
                <w:p w14:paraId="494BFB4E">
                  <w:pPr>
                    <w:pStyle w:val="61"/>
                    <w:tabs>
                      <w:tab w:val="left" w:pos="3360"/>
                    </w:tabs>
                    <w:rPr>
                      <w:sz w:val="21"/>
                    </w:rPr>
                  </w:pPr>
                  <w:r>
                    <w:rPr>
                      <w:rFonts w:hint="eastAsia"/>
                      <w:sz w:val="21"/>
                    </w:rPr>
                    <w:t>依托现有</w:t>
                  </w:r>
                </w:p>
              </w:tc>
            </w:tr>
            <w:tr w14:paraId="12D85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3378BE3">
                  <w:pPr>
                    <w:pStyle w:val="61"/>
                    <w:rPr>
                      <w:sz w:val="21"/>
                    </w:rPr>
                  </w:pPr>
                </w:p>
              </w:tc>
              <w:tc>
                <w:tcPr>
                  <w:tcW w:w="665" w:type="pct"/>
                  <w:vMerge w:val="continue"/>
                  <w:vAlign w:val="center"/>
                </w:tcPr>
                <w:p w14:paraId="66295E77">
                  <w:pPr>
                    <w:pStyle w:val="61"/>
                    <w:rPr>
                      <w:sz w:val="21"/>
                    </w:rPr>
                  </w:pPr>
                </w:p>
              </w:tc>
              <w:tc>
                <w:tcPr>
                  <w:tcW w:w="2839" w:type="pct"/>
                  <w:vAlign w:val="center"/>
                </w:tcPr>
                <w:p w14:paraId="71513A0C">
                  <w:pPr>
                    <w:pStyle w:val="61"/>
                    <w:tabs>
                      <w:tab w:val="left" w:pos="3360"/>
                    </w:tabs>
                    <w:rPr>
                      <w:sz w:val="21"/>
                    </w:rPr>
                  </w:pPr>
                  <w:r>
                    <w:rPr>
                      <w:sz w:val="21"/>
                    </w:rPr>
                    <w:t>汽车尾气：</w:t>
                  </w:r>
                  <w:r>
                    <w:rPr>
                      <w:rFonts w:hint="eastAsia"/>
                      <w:sz w:val="21"/>
                    </w:rPr>
                    <w:t>大气扩散</w:t>
                  </w:r>
                </w:p>
              </w:tc>
              <w:tc>
                <w:tcPr>
                  <w:tcW w:w="1022" w:type="pct"/>
                  <w:vAlign w:val="center"/>
                </w:tcPr>
                <w:p w14:paraId="0245F55E">
                  <w:pPr>
                    <w:pStyle w:val="61"/>
                    <w:tabs>
                      <w:tab w:val="left" w:pos="3360"/>
                    </w:tabs>
                    <w:rPr>
                      <w:sz w:val="21"/>
                    </w:rPr>
                  </w:pPr>
                  <w:r>
                    <w:rPr>
                      <w:rFonts w:hint="eastAsia"/>
                      <w:sz w:val="21"/>
                    </w:rPr>
                    <w:t>依托现有</w:t>
                  </w:r>
                </w:p>
              </w:tc>
            </w:tr>
            <w:tr w14:paraId="7A9D1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6ECEED6A">
                  <w:pPr>
                    <w:pStyle w:val="61"/>
                    <w:rPr>
                      <w:sz w:val="21"/>
                    </w:rPr>
                  </w:pPr>
                </w:p>
              </w:tc>
              <w:tc>
                <w:tcPr>
                  <w:tcW w:w="665" w:type="pct"/>
                  <w:vMerge w:val="continue"/>
                  <w:vAlign w:val="center"/>
                </w:tcPr>
                <w:p w14:paraId="6CF70D86">
                  <w:pPr>
                    <w:pStyle w:val="61"/>
                    <w:rPr>
                      <w:sz w:val="21"/>
                    </w:rPr>
                  </w:pPr>
                </w:p>
              </w:tc>
              <w:tc>
                <w:tcPr>
                  <w:tcW w:w="2839" w:type="pct"/>
                  <w:vAlign w:val="center"/>
                </w:tcPr>
                <w:p w14:paraId="33A28D5C">
                  <w:pPr>
                    <w:pStyle w:val="61"/>
                    <w:tabs>
                      <w:tab w:val="left" w:pos="3360"/>
                    </w:tabs>
                    <w:rPr>
                      <w:sz w:val="21"/>
                    </w:rPr>
                  </w:pPr>
                  <w:r>
                    <w:rPr>
                      <w:sz w:val="21"/>
                    </w:rPr>
                    <w:t>备用柴油发电机废气：</w:t>
                  </w:r>
                  <w:r>
                    <w:rPr>
                      <w:rFonts w:hint="eastAsia"/>
                      <w:sz w:val="21"/>
                    </w:rPr>
                    <w:t>自带的烟气净化处理装置处理后排放</w:t>
                  </w:r>
                </w:p>
              </w:tc>
              <w:tc>
                <w:tcPr>
                  <w:tcW w:w="1022" w:type="pct"/>
                  <w:vAlign w:val="center"/>
                </w:tcPr>
                <w:p w14:paraId="1DD2CE39">
                  <w:pPr>
                    <w:pStyle w:val="61"/>
                    <w:tabs>
                      <w:tab w:val="left" w:pos="3360"/>
                    </w:tabs>
                    <w:rPr>
                      <w:sz w:val="21"/>
                    </w:rPr>
                  </w:pPr>
                  <w:r>
                    <w:rPr>
                      <w:rFonts w:hint="eastAsia"/>
                      <w:sz w:val="21"/>
                    </w:rPr>
                    <w:t>依托现有</w:t>
                  </w:r>
                </w:p>
              </w:tc>
            </w:tr>
            <w:tr w14:paraId="7D995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5AA24E4">
                  <w:pPr>
                    <w:pStyle w:val="61"/>
                    <w:rPr>
                      <w:sz w:val="21"/>
                    </w:rPr>
                  </w:pPr>
                </w:p>
              </w:tc>
              <w:tc>
                <w:tcPr>
                  <w:tcW w:w="665" w:type="pct"/>
                  <w:vAlign w:val="center"/>
                </w:tcPr>
                <w:p w14:paraId="69352A4D">
                  <w:pPr>
                    <w:pStyle w:val="61"/>
                    <w:rPr>
                      <w:sz w:val="21"/>
                    </w:rPr>
                  </w:pPr>
                  <w:r>
                    <w:rPr>
                      <w:sz w:val="21"/>
                    </w:rPr>
                    <w:t>废水治理</w:t>
                  </w:r>
                </w:p>
              </w:tc>
              <w:tc>
                <w:tcPr>
                  <w:tcW w:w="2839" w:type="pct"/>
                  <w:vAlign w:val="center"/>
                </w:tcPr>
                <w:p w14:paraId="58078CC6">
                  <w:pPr>
                    <w:pStyle w:val="61"/>
                    <w:tabs>
                      <w:tab w:val="left" w:pos="3360"/>
                    </w:tabs>
                    <w:rPr>
                      <w:sz w:val="21"/>
                    </w:rPr>
                  </w:pPr>
                  <w:r>
                    <w:rPr>
                      <w:rFonts w:hint="eastAsia"/>
                      <w:sz w:val="21"/>
                    </w:rPr>
                    <w:t>生活污水：依托现有化粪池处理后排入市政污水管网，纳入白果镇污水处理厂深度处理后排入涓水</w:t>
                  </w:r>
                </w:p>
              </w:tc>
              <w:tc>
                <w:tcPr>
                  <w:tcW w:w="1022" w:type="pct"/>
                  <w:vAlign w:val="center"/>
                </w:tcPr>
                <w:p w14:paraId="42892508">
                  <w:pPr>
                    <w:pStyle w:val="61"/>
                    <w:tabs>
                      <w:tab w:val="left" w:pos="3360"/>
                    </w:tabs>
                    <w:rPr>
                      <w:sz w:val="21"/>
                    </w:rPr>
                  </w:pPr>
                  <w:r>
                    <w:rPr>
                      <w:rFonts w:hint="eastAsia"/>
                      <w:sz w:val="21"/>
                    </w:rPr>
                    <w:t>依托现有</w:t>
                  </w:r>
                </w:p>
              </w:tc>
            </w:tr>
            <w:tr w14:paraId="249F3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961FC04">
                  <w:pPr>
                    <w:pStyle w:val="61"/>
                    <w:rPr>
                      <w:sz w:val="21"/>
                    </w:rPr>
                  </w:pPr>
                </w:p>
              </w:tc>
              <w:tc>
                <w:tcPr>
                  <w:tcW w:w="665" w:type="pct"/>
                  <w:vAlign w:val="center"/>
                </w:tcPr>
                <w:p w14:paraId="0F1EC1F1">
                  <w:pPr>
                    <w:pStyle w:val="61"/>
                    <w:rPr>
                      <w:sz w:val="21"/>
                    </w:rPr>
                  </w:pPr>
                  <w:r>
                    <w:rPr>
                      <w:sz w:val="21"/>
                    </w:rPr>
                    <w:t>噪声治理</w:t>
                  </w:r>
                </w:p>
              </w:tc>
              <w:tc>
                <w:tcPr>
                  <w:tcW w:w="2839" w:type="pct"/>
                  <w:vAlign w:val="center"/>
                </w:tcPr>
                <w:p w14:paraId="66207331">
                  <w:pPr>
                    <w:pStyle w:val="61"/>
                    <w:tabs>
                      <w:tab w:val="left" w:pos="3360"/>
                    </w:tabs>
                    <w:rPr>
                      <w:sz w:val="21"/>
                    </w:rPr>
                  </w:pPr>
                  <w:r>
                    <w:rPr>
                      <w:sz w:val="21"/>
                    </w:rPr>
                    <w:t>选用低噪声设备、基础减振，建筑隔声</w:t>
                  </w:r>
                </w:p>
              </w:tc>
              <w:tc>
                <w:tcPr>
                  <w:tcW w:w="1022" w:type="pct"/>
                  <w:vAlign w:val="center"/>
                </w:tcPr>
                <w:p w14:paraId="26D264B0">
                  <w:pPr>
                    <w:pStyle w:val="61"/>
                    <w:tabs>
                      <w:tab w:val="left" w:pos="3360"/>
                    </w:tabs>
                    <w:rPr>
                      <w:sz w:val="21"/>
                    </w:rPr>
                  </w:pPr>
                  <w:r>
                    <w:rPr>
                      <w:rFonts w:hint="eastAsia"/>
                      <w:sz w:val="21"/>
                    </w:rPr>
                    <w:t>依托现有并新建</w:t>
                  </w:r>
                </w:p>
              </w:tc>
            </w:tr>
            <w:tr w14:paraId="0A24C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79D5D0F2">
                  <w:pPr>
                    <w:pStyle w:val="61"/>
                    <w:rPr>
                      <w:sz w:val="21"/>
                    </w:rPr>
                  </w:pPr>
                </w:p>
              </w:tc>
              <w:tc>
                <w:tcPr>
                  <w:tcW w:w="665" w:type="pct"/>
                  <w:vMerge w:val="restart"/>
                  <w:vAlign w:val="center"/>
                </w:tcPr>
                <w:p w14:paraId="7090C4FE">
                  <w:pPr>
                    <w:pStyle w:val="61"/>
                    <w:rPr>
                      <w:sz w:val="21"/>
                    </w:rPr>
                  </w:pPr>
                  <w:r>
                    <w:rPr>
                      <w:sz w:val="21"/>
                    </w:rPr>
                    <w:t>固废治理</w:t>
                  </w:r>
                </w:p>
              </w:tc>
              <w:tc>
                <w:tcPr>
                  <w:tcW w:w="2839" w:type="pct"/>
                  <w:vAlign w:val="center"/>
                </w:tcPr>
                <w:p w14:paraId="0628D142">
                  <w:pPr>
                    <w:pStyle w:val="5"/>
                    <w:spacing w:after="0"/>
                    <w:ind w:left="0" w:leftChars="0"/>
                    <w:jc w:val="center"/>
                    <w:rPr>
                      <w:sz w:val="21"/>
                      <w:szCs w:val="21"/>
                    </w:rPr>
                  </w:pPr>
                  <w:r>
                    <w:rPr>
                      <w:rFonts w:hint="eastAsia"/>
                      <w:sz w:val="21"/>
                      <w:szCs w:val="21"/>
                    </w:rPr>
                    <w:t>除尘器收集尘、沉降尘</w:t>
                  </w:r>
                  <w:r>
                    <w:rPr>
                      <w:sz w:val="21"/>
                      <w:szCs w:val="21"/>
                    </w:rPr>
                    <w:t>：</w:t>
                  </w:r>
                  <w:r>
                    <w:rPr>
                      <w:rFonts w:hint="eastAsia"/>
                      <w:sz w:val="21"/>
                      <w:szCs w:val="21"/>
                    </w:rPr>
                    <w:t>外售综合利用</w:t>
                  </w:r>
                </w:p>
              </w:tc>
              <w:tc>
                <w:tcPr>
                  <w:tcW w:w="1022" w:type="pct"/>
                  <w:vAlign w:val="center"/>
                </w:tcPr>
                <w:p w14:paraId="5B0245C1">
                  <w:pPr>
                    <w:pStyle w:val="5"/>
                    <w:spacing w:after="0"/>
                    <w:ind w:left="0" w:leftChars="0"/>
                    <w:jc w:val="center"/>
                    <w:rPr>
                      <w:sz w:val="21"/>
                      <w:szCs w:val="21"/>
                    </w:rPr>
                  </w:pPr>
                  <w:r>
                    <w:rPr>
                      <w:rFonts w:hint="eastAsia"/>
                      <w:sz w:val="21"/>
                    </w:rPr>
                    <w:t>依托现有</w:t>
                  </w:r>
                </w:p>
              </w:tc>
            </w:tr>
            <w:tr w14:paraId="7B25C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A72FC21">
                  <w:pPr>
                    <w:pStyle w:val="61"/>
                    <w:rPr>
                      <w:sz w:val="21"/>
                    </w:rPr>
                  </w:pPr>
                </w:p>
              </w:tc>
              <w:tc>
                <w:tcPr>
                  <w:tcW w:w="665" w:type="pct"/>
                  <w:vMerge w:val="continue"/>
                  <w:vAlign w:val="center"/>
                </w:tcPr>
                <w:p w14:paraId="499182C3">
                  <w:pPr>
                    <w:pStyle w:val="61"/>
                    <w:rPr>
                      <w:sz w:val="21"/>
                    </w:rPr>
                  </w:pPr>
                </w:p>
              </w:tc>
              <w:tc>
                <w:tcPr>
                  <w:tcW w:w="2839" w:type="pct"/>
                  <w:vAlign w:val="center"/>
                </w:tcPr>
                <w:p w14:paraId="584D505C">
                  <w:pPr>
                    <w:pStyle w:val="5"/>
                    <w:spacing w:after="0"/>
                    <w:ind w:left="0" w:leftChars="0"/>
                    <w:jc w:val="center"/>
                    <w:rPr>
                      <w:sz w:val="21"/>
                      <w:szCs w:val="21"/>
                    </w:rPr>
                  </w:pPr>
                  <w:r>
                    <w:rPr>
                      <w:rFonts w:hint="eastAsia"/>
                      <w:sz w:val="21"/>
                      <w:szCs w:val="21"/>
                    </w:rPr>
                    <w:t>清筛杂质</w:t>
                  </w:r>
                  <w:r>
                    <w:rPr>
                      <w:sz w:val="21"/>
                      <w:szCs w:val="21"/>
                    </w:rPr>
                    <w:t>：</w:t>
                  </w:r>
                  <w:r>
                    <w:rPr>
                      <w:rFonts w:hint="eastAsia"/>
                      <w:sz w:val="21"/>
                      <w:szCs w:val="21"/>
                    </w:rPr>
                    <w:t>收集后交环卫部门统一清运处理</w:t>
                  </w:r>
                </w:p>
              </w:tc>
              <w:tc>
                <w:tcPr>
                  <w:tcW w:w="1022" w:type="pct"/>
                  <w:vAlign w:val="center"/>
                </w:tcPr>
                <w:p w14:paraId="6D77D94B">
                  <w:pPr>
                    <w:pStyle w:val="5"/>
                    <w:spacing w:after="0"/>
                    <w:ind w:left="0" w:leftChars="0"/>
                    <w:jc w:val="center"/>
                    <w:rPr>
                      <w:sz w:val="21"/>
                      <w:szCs w:val="21"/>
                    </w:rPr>
                  </w:pPr>
                  <w:r>
                    <w:rPr>
                      <w:rFonts w:hint="eastAsia"/>
                      <w:sz w:val="21"/>
                    </w:rPr>
                    <w:t>依托现有</w:t>
                  </w:r>
                </w:p>
              </w:tc>
            </w:tr>
            <w:tr w14:paraId="2D0E1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39FDB636">
                  <w:pPr>
                    <w:pStyle w:val="61"/>
                    <w:rPr>
                      <w:sz w:val="21"/>
                    </w:rPr>
                  </w:pPr>
                </w:p>
              </w:tc>
              <w:tc>
                <w:tcPr>
                  <w:tcW w:w="665" w:type="pct"/>
                  <w:vMerge w:val="continue"/>
                  <w:vAlign w:val="center"/>
                </w:tcPr>
                <w:p w14:paraId="10E311D9">
                  <w:pPr>
                    <w:pStyle w:val="61"/>
                    <w:rPr>
                      <w:sz w:val="21"/>
                    </w:rPr>
                  </w:pPr>
                </w:p>
              </w:tc>
              <w:tc>
                <w:tcPr>
                  <w:tcW w:w="2839" w:type="pct"/>
                  <w:vAlign w:val="center"/>
                </w:tcPr>
                <w:p w14:paraId="2D9D9693">
                  <w:pPr>
                    <w:pStyle w:val="5"/>
                    <w:spacing w:after="0"/>
                    <w:ind w:left="0" w:leftChars="0"/>
                    <w:jc w:val="center"/>
                    <w:rPr>
                      <w:sz w:val="21"/>
                      <w:szCs w:val="21"/>
                    </w:rPr>
                  </w:pPr>
                  <w:r>
                    <w:rPr>
                      <w:rFonts w:hint="eastAsia"/>
                      <w:sz w:val="21"/>
                      <w:szCs w:val="21"/>
                    </w:rPr>
                    <w:t>炉渣</w:t>
                  </w:r>
                  <w:r>
                    <w:rPr>
                      <w:sz w:val="21"/>
                      <w:szCs w:val="21"/>
                    </w:rPr>
                    <w:t>：</w:t>
                  </w:r>
                  <w:r>
                    <w:rPr>
                      <w:rFonts w:hint="eastAsia"/>
                      <w:sz w:val="21"/>
                      <w:szCs w:val="21"/>
                    </w:rPr>
                    <w:t>收集后由周边农户拉走用作农肥</w:t>
                  </w:r>
                </w:p>
              </w:tc>
              <w:tc>
                <w:tcPr>
                  <w:tcW w:w="1022" w:type="pct"/>
                  <w:vAlign w:val="center"/>
                </w:tcPr>
                <w:p w14:paraId="59DF8BBB">
                  <w:pPr>
                    <w:pStyle w:val="5"/>
                    <w:spacing w:after="0"/>
                    <w:ind w:left="0" w:leftChars="0"/>
                    <w:jc w:val="center"/>
                    <w:rPr>
                      <w:sz w:val="21"/>
                      <w:szCs w:val="21"/>
                    </w:rPr>
                  </w:pPr>
                  <w:r>
                    <w:rPr>
                      <w:rFonts w:hint="eastAsia"/>
                      <w:sz w:val="21"/>
                    </w:rPr>
                    <w:t>新建</w:t>
                  </w:r>
                </w:p>
              </w:tc>
            </w:tr>
            <w:tr w14:paraId="4BCA8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0EFA217B">
                  <w:pPr>
                    <w:pStyle w:val="61"/>
                    <w:rPr>
                      <w:sz w:val="21"/>
                    </w:rPr>
                  </w:pPr>
                </w:p>
              </w:tc>
              <w:tc>
                <w:tcPr>
                  <w:tcW w:w="665" w:type="pct"/>
                  <w:vMerge w:val="continue"/>
                  <w:vAlign w:val="center"/>
                </w:tcPr>
                <w:p w14:paraId="45548074">
                  <w:pPr>
                    <w:pStyle w:val="61"/>
                    <w:rPr>
                      <w:sz w:val="21"/>
                    </w:rPr>
                  </w:pPr>
                </w:p>
              </w:tc>
              <w:tc>
                <w:tcPr>
                  <w:tcW w:w="2839" w:type="pct"/>
                  <w:vAlign w:val="center"/>
                </w:tcPr>
                <w:p w14:paraId="49EA1430">
                  <w:pPr>
                    <w:pStyle w:val="5"/>
                    <w:spacing w:after="0"/>
                    <w:ind w:left="0" w:leftChars="0"/>
                    <w:jc w:val="center"/>
                    <w:rPr>
                      <w:sz w:val="21"/>
                      <w:szCs w:val="21"/>
                    </w:rPr>
                  </w:pPr>
                  <w:r>
                    <w:rPr>
                      <w:rFonts w:hint="eastAsia"/>
                      <w:sz w:val="21"/>
                      <w:szCs w:val="21"/>
                    </w:rPr>
                    <w:t>废旧布袋</w:t>
                  </w:r>
                  <w:r>
                    <w:rPr>
                      <w:sz w:val="21"/>
                      <w:szCs w:val="21"/>
                    </w:rPr>
                    <w:t>：</w:t>
                  </w:r>
                  <w:r>
                    <w:rPr>
                      <w:rFonts w:hint="eastAsia"/>
                      <w:sz w:val="21"/>
                      <w:szCs w:val="21"/>
                    </w:rPr>
                    <w:t>交由厂家回收处理</w:t>
                  </w:r>
                </w:p>
              </w:tc>
              <w:tc>
                <w:tcPr>
                  <w:tcW w:w="1022" w:type="pct"/>
                  <w:vAlign w:val="center"/>
                </w:tcPr>
                <w:p w14:paraId="33BF912E">
                  <w:pPr>
                    <w:pStyle w:val="5"/>
                    <w:spacing w:after="0"/>
                    <w:ind w:left="0" w:leftChars="0"/>
                    <w:jc w:val="center"/>
                    <w:rPr>
                      <w:sz w:val="21"/>
                      <w:szCs w:val="21"/>
                    </w:rPr>
                  </w:pPr>
                  <w:r>
                    <w:rPr>
                      <w:rFonts w:hint="eastAsia"/>
                      <w:sz w:val="21"/>
                    </w:rPr>
                    <w:t>依托现有</w:t>
                  </w:r>
                </w:p>
              </w:tc>
            </w:tr>
            <w:tr w14:paraId="2747B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BAE1A8F">
                  <w:pPr>
                    <w:pStyle w:val="61"/>
                    <w:rPr>
                      <w:sz w:val="21"/>
                    </w:rPr>
                  </w:pPr>
                </w:p>
              </w:tc>
              <w:tc>
                <w:tcPr>
                  <w:tcW w:w="665" w:type="pct"/>
                  <w:vMerge w:val="continue"/>
                  <w:vAlign w:val="center"/>
                </w:tcPr>
                <w:p w14:paraId="50DBCB0D">
                  <w:pPr>
                    <w:pStyle w:val="61"/>
                    <w:rPr>
                      <w:sz w:val="21"/>
                    </w:rPr>
                  </w:pPr>
                </w:p>
              </w:tc>
              <w:tc>
                <w:tcPr>
                  <w:tcW w:w="2839" w:type="pct"/>
                  <w:vAlign w:val="center"/>
                </w:tcPr>
                <w:p w14:paraId="3A2AD51F">
                  <w:pPr>
                    <w:pStyle w:val="5"/>
                    <w:spacing w:after="0"/>
                    <w:ind w:left="0" w:leftChars="0"/>
                    <w:jc w:val="center"/>
                    <w:rPr>
                      <w:sz w:val="21"/>
                      <w:szCs w:val="21"/>
                    </w:rPr>
                  </w:pPr>
                  <w:r>
                    <w:rPr>
                      <w:rFonts w:hint="eastAsia"/>
                      <w:sz w:val="21"/>
                      <w:szCs w:val="21"/>
                    </w:rPr>
                    <w:t>废试剂瓶等实验用品、实验废液、熏蒸药剂使用后的残渣、废矿物油和废油桶、废含油抹布手套及抹布等危险废物</w:t>
                  </w:r>
                  <w:r>
                    <w:rPr>
                      <w:sz w:val="21"/>
                      <w:szCs w:val="21"/>
                    </w:rPr>
                    <w:t>：经收集后暂存于危废暂存间</w:t>
                  </w:r>
                  <w:r>
                    <w:rPr>
                      <w:rFonts w:hint="eastAsia"/>
                      <w:sz w:val="21"/>
                      <w:szCs w:val="21"/>
                    </w:rPr>
                    <w:t>，</w:t>
                  </w:r>
                  <w:r>
                    <w:rPr>
                      <w:sz w:val="21"/>
                      <w:szCs w:val="21"/>
                    </w:rPr>
                    <w:t>交由有</w:t>
                  </w:r>
                  <w:r>
                    <w:rPr>
                      <w:rFonts w:hint="eastAsia"/>
                      <w:sz w:val="21"/>
                      <w:szCs w:val="21"/>
                    </w:rPr>
                    <w:t>危废</w:t>
                  </w:r>
                  <w:r>
                    <w:rPr>
                      <w:sz w:val="21"/>
                      <w:szCs w:val="21"/>
                    </w:rPr>
                    <w:t>资质的单位</w:t>
                  </w:r>
                  <w:r>
                    <w:rPr>
                      <w:rFonts w:hint="eastAsia"/>
                      <w:sz w:val="21"/>
                      <w:szCs w:val="21"/>
                    </w:rPr>
                    <w:t>代为</w:t>
                  </w:r>
                  <w:r>
                    <w:rPr>
                      <w:sz w:val="21"/>
                      <w:szCs w:val="21"/>
                    </w:rPr>
                    <w:t>处置</w:t>
                  </w:r>
                </w:p>
              </w:tc>
              <w:tc>
                <w:tcPr>
                  <w:tcW w:w="1022" w:type="pct"/>
                  <w:vAlign w:val="center"/>
                </w:tcPr>
                <w:p w14:paraId="34E16497">
                  <w:pPr>
                    <w:pStyle w:val="5"/>
                    <w:spacing w:after="0"/>
                    <w:ind w:left="0" w:leftChars="0"/>
                    <w:jc w:val="center"/>
                    <w:rPr>
                      <w:sz w:val="21"/>
                      <w:szCs w:val="21"/>
                    </w:rPr>
                  </w:pPr>
                  <w:r>
                    <w:rPr>
                      <w:rFonts w:hint="eastAsia"/>
                      <w:sz w:val="21"/>
                      <w:szCs w:val="21"/>
                    </w:rPr>
                    <w:t>新建一座危废暂存间</w:t>
                  </w:r>
                </w:p>
              </w:tc>
            </w:tr>
            <w:tr w14:paraId="748B8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4" w:type="pct"/>
                  <w:vMerge w:val="continue"/>
                  <w:vAlign w:val="center"/>
                </w:tcPr>
                <w:p w14:paraId="26270F77">
                  <w:pPr>
                    <w:pStyle w:val="61"/>
                    <w:rPr>
                      <w:sz w:val="21"/>
                    </w:rPr>
                  </w:pPr>
                </w:p>
              </w:tc>
              <w:tc>
                <w:tcPr>
                  <w:tcW w:w="665" w:type="pct"/>
                  <w:vMerge w:val="continue"/>
                  <w:vAlign w:val="center"/>
                </w:tcPr>
                <w:p w14:paraId="5F196D22">
                  <w:pPr>
                    <w:pStyle w:val="61"/>
                    <w:rPr>
                      <w:sz w:val="21"/>
                    </w:rPr>
                  </w:pPr>
                </w:p>
              </w:tc>
              <w:tc>
                <w:tcPr>
                  <w:tcW w:w="2839" w:type="pct"/>
                  <w:vAlign w:val="center"/>
                </w:tcPr>
                <w:p w14:paraId="2CCC3976">
                  <w:pPr>
                    <w:pStyle w:val="5"/>
                    <w:spacing w:after="0"/>
                    <w:ind w:left="0" w:leftChars="0"/>
                    <w:jc w:val="center"/>
                    <w:rPr>
                      <w:sz w:val="21"/>
                      <w:szCs w:val="21"/>
                    </w:rPr>
                  </w:pPr>
                  <w:r>
                    <w:rPr>
                      <w:sz w:val="21"/>
                      <w:szCs w:val="21"/>
                    </w:rPr>
                    <w:t>生活垃圾：收集后交由当地环卫部门统一清运</w:t>
                  </w:r>
                </w:p>
              </w:tc>
              <w:tc>
                <w:tcPr>
                  <w:tcW w:w="1022" w:type="pct"/>
                  <w:vAlign w:val="center"/>
                </w:tcPr>
                <w:p w14:paraId="614BC613">
                  <w:pPr>
                    <w:pStyle w:val="5"/>
                    <w:spacing w:after="0"/>
                    <w:ind w:left="0" w:leftChars="0"/>
                    <w:jc w:val="center"/>
                    <w:rPr>
                      <w:sz w:val="21"/>
                      <w:szCs w:val="21"/>
                    </w:rPr>
                  </w:pPr>
                  <w:r>
                    <w:rPr>
                      <w:rFonts w:hint="eastAsia"/>
                      <w:sz w:val="21"/>
                    </w:rPr>
                    <w:t>依托现有</w:t>
                  </w:r>
                </w:p>
              </w:tc>
            </w:tr>
          </w:tbl>
          <w:p w14:paraId="6BB1630C">
            <w:pPr>
              <w:autoSpaceDE w:val="0"/>
              <w:autoSpaceDN w:val="0"/>
              <w:adjustRightInd w:val="0"/>
              <w:spacing w:before="120" w:beforeLines="50"/>
              <w:jc w:val="center"/>
              <w:rPr>
                <w:b/>
                <w:kern w:val="0"/>
                <w:szCs w:val="21"/>
              </w:rPr>
            </w:pPr>
            <w:r>
              <w:rPr>
                <w:b/>
                <w:kern w:val="0"/>
                <w:szCs w:val="21"/>
              </w:rPr>
              <w:t>表2-2  主要技术经济指标一览表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1275"/>
              <w:gridCol w:w="2407"/>
              <w:gridCol w:w="1275"/>
              <w:gridCol w:w="1598"/>
              <w:gridCol w:w="1848"/>
            </w:tblGrid>
            <w:tr w14:paraId="2BABE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452" w:type="pct"/>
                  <w:vAlign w:val="center"/>
                </w:tcPr>
                <w:p w14:paraId="4612DADE">
                  <w:pPr>
                    <w:pStyle w:val="102"/>
                    <w:spacing w:line="240" w:lineRule="auto"/>
                    <w:rPr>
                      <w:b/>
                      <w:sz w:val="21"/>
                      <w:szCs w:val="21"/>
                    </w:rPr>
                  </w:pPr>
                  <w:r>
                    <w:rPr>
                      <w:b/>
                      <w:sz w:val="21"/>
                      <w:szCs w:val="21"/>
                    </w:rPr>
                    <w:t>序号</w:t>
                  </w:r>
                </w:p>
              </w:tc>
              <w:tc>
                <w:tcPr>
                  <w:tcW w:w="1993" w:type="pct"/>
                  <w:gridSpan w:val="2"/>
                  <w:vAlign w:val="center"/>
                </w:tcPr>
                <w:p w14:paraId="40351F3B">
                  <w:pPr>
                    <w:pStyle w:val="102"/>
                    <w:spacing w:line="240" w:lineRule="auto"/>
                    <w:rPr>
                      <w:b/>
                      <w:sz w:val="21"/>
                      <w:szCs w:val="21"/>
                    </w:rPr>
                  </w:pPr>
                  <w:r>
                    <w:rPr>
                      <w:b/>
                      <w:sz w:val="21"/>
                      <w:szCs w:val="21"/>
                    </w:rPr>
                    <w:t>名称</w:t>
                  </w:r>
                </w:p>
              </w:tc>
              <w:tc>
                <w:tcPr>
                  <w:tcW w:w="690" w:type="pct"/>
                  <w:vAlign w:val="center"/>
                </w:tcPr>
                <w:p w14:paraId="30891AF1">
                  <w:pPr>
                    <w:pStyle w:val="102"/>
                    <w:spacing w:line="240" w:lineRule="auto"/>
                    <w:rPr>
                      <w:b/>
                      <w:sz w:val="21"/>
                      <w:szCs w:val="21"/>
                    </w:rPr>
                  </w:pPr>
                  <w:r>
                    <w:rPr>
                      <w:b/>
                      <w:sz w:val="21"/>
                      <w:szCs w:val="21"/>
                    </w:rPr>
                    <w:t>单位</w:t>
                  </w:r>
                </w:p>
              </w:tc>
              <w:tc>
                <w:tcPr>
                  <w:tcW w:w="865" w:type="pct"/>
                  <w:vAlign w:val="center"/>
                </w:tcPr>
                <w:p w14:paraId="5A1A4A4A">
                  <w:pPr>
                    <w:pStyle w:val="102"/>
                    <w:spacing w:line="240" w:lineRule="auto"/>
                    <w:rPr>
                      <w:b/>
                      <w:sz w:val="21"/>
                      <w:szCs w:val="21"/>
                    </w:rPr>
                  </w:pPr>
                  <w:r>
                    <w:rPr>
                      <w:b/>
                      <w:sz w:val="21"/>
                      <w:szCs w:val="21"/>
                    </w:rPr>
                    <w:t>数量</w:t>
                  </w:r>
                </w:p>
              </w:tc>
              <w:tc>
                <w:tcPr>
                  <w:tcW w:w="1000" w:type="pct"/>
                  <w:vAlign w:val="center"/>
                </w:tcPr>
                <w:p w14:paraId="4CAB4357">
                  <w:pPr>
                    <w:pStyle w:val="102"/>
                    <w:spacing w:line="240" w:lineRule="auto"/>
                    <w:rPr>
                      <w:b/>
                      <w:sz w:val="21"/>
                      <w:szCs w:val="21"/>
                    </w:rPr>
                  </w:pPr>
                  <w:r>
                    <w:rPr>
                      <w:b/>
                      <w:sz w:val="21"/>
                      <w:szCs w:val="21"/>
                    </w:rPr>
                    <w:t>备注</w:t>
                  </w:r>
                </w:p>
              </w:tc>
            </w:tr>
            <w:tr w14:paraId="452CA1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6BA1D953">
                  <w:pPr>
                    <w:pStyle w:val="102"/>
                    <w:spacing w:line="240" w:lineRule="auto"/>
                    <w:rPr>
                      <w:sz w:val="21"/>
                      <w:szCs w:val="21"/>
                    </w:rPr>
                  </w:pPr>
                  <w:r>
                    <w:rPr>
                      <w:sz w:val="21"/>
                      <w:szCs w:val="21"/>
                    </w:rPr>
                    <w:t>1</w:t>
                  </w:r>
                </w:p>
              </w:tc>
              <w:tc>
                <w:tcPr>
                  <w:tcW w:w="1993" w:type="pct"/>
                  <w:gridSpan w:val="2"/>
                  <w:vAlign w:val="center"/>
                </w:tcPr>
                <w:p w14:paraId="387DAFA6">
                  <w:pPr>
                    <w:pStyle w:val="102"/>
                    <w:spacing w:line="240" w:lineRule="auto"/>
                    <w:rPr>
                      <w:sz w:val="21"/>
                      <w:szCs w:val="21"/>
                    </w:rPr>
                  </w:pPr>
                  <w:r>
                    <w:rPr>
                      <w:rFonts w:hint="eastAsia"/>
                      <w:sz w:val="21"/>
                      <w:szCs w:val="21"/>
                    </w:rPr>
                    <w:t>库区</w:t>
                  </w:r>
                  <w:r>
                    <w:rPr>
                      <w:sz w:val="21"/>
                      <w:szCs w:val="21"/>
                    </w:rPr>
                    <w:t>总用地面积</w:t>
                  </w:r>
                </w:p>
              </w:tc>
              <w:tc>
                <w:tcPr>
                  <w:tcW w:w="690" w:type="pct"/>
                  <w:noWrap/>
                  <w:vAlign w:val="center"/>
                </w:tcPr>
                <w:p w14:paraId="7414A473">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444B7E75">
                  <w:pPr>
                    <w:pStyle w:val="102"/>
                    <w:spacing w:line="240" w:lineRule="auto"/>
                    <w:rPr>
                      <w:sz w:val="21"/>
                      <w:szCs w:val="21"/>
                    </w:rPr>
                  </w:pPr>
                  <w:r>
                    <w:rPr>
                      <w:rFonts w:hint="eastAsia"/>
                      <w:sz w:val="21"/>
                      <w:szCs w:val="21"/>
                    </w:rPr>
                    <w:t>21919.31</w:t>
                  </w:r>
                </w:p>
              </w:tc>
              <w:tc>
                <w:tcPr>
                  <w:tcW w:w="1000" w:type="pct"/>
                  <w:noWrap/>
                  <w:vAlign w:val="center"/>
                </w:tcPr>
                <w:p w14:paraId="307D4055">
                  <w:pPr>
                    <w:pStyle w:val="102"/>
                    <w:spacing w:line="240" w:lineRule="auto"/>
                    <w:rPr>
                      <w:sz w:val="21"/>
                      <w:szCs w:val="21"/>
                    </w:rPr>
                  </w:pPr>
                </w:p>
              </w:tc>
            </w:tr>
            <w:tr w14:paraId="77ADD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739C6A90">
                  <w:pPr>
                    <w:pStyle w:val="102"/>
                    <w:spacing w:line="240" w:lineRule="auto"/>
                    <w:rPr>
                      <w:sz w:val="21"/>
                      <w:szCs w:val="21"/>
                    </w:rPr>
                  </w:pPr>
                  <w:r>
                    <w:rPr>
                      <w:rFonts w:hint="eastAsia"/>
                      <w:sz w:val="21"/>
                      <w:szCs w:val="21"/>
                    </w:rPr>
                    <w:t>2</w:t>
                  </w:r>
                </w:p>
              </w:tc>
              <w:tc>
                <w:tcPr>
                  <w:tcW w:w="1993" w:type="pct"/>
                  <w:gridSpan w:val="2"/>
                  <w:vAlign w:val="center"/>
                </w:tcPr>
                <w:p w14:paraId="7FD897E0">
                  <w:pPr>
                    <w:pStyle w:val="102"/>
                    <w:spacing w:line="240" w:lineRule="auto"/>
                    <w:rPr>
                      <w:sz w:val="21"/>
                      <w:szCs w:val="21"/>
                    </w:rPr>
                  </w:pPr>
                  <w:r>
                    <w:rPr>
                      <w:sz w:val="21"/>
                      <w:szCs w:val="21"/>
                    </w:rPr>
                    <w:t>建、构筑物总占地面积</w:t>
                  </w:r>
                </w:p>
              </w:tc>
              <w:tc>
                <w:tcPr>
                  <w:tcW w:w="690" w:type="pct"/>
                  <w:noWrap/>
                  <w:vAlign w:val="center"/>
                </w:tcPr>
                <w:p w14:paraId="2734D17E">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4742C2D3">
                  <w:pPr>
                    <w:pStyle w:val="102"/>
                    <w:spacing w:line="240" w:lineRule="auto"/>
                    <w:rPr>
                      <w:sz w:val="21"/>
                      <w:szCs w:val="21"/>
                    </w:rPr>
                  </w:pPr>
                  <w:r>
                    <w:rPr>
                      <w:rFonts w:hint="eastAsia"/>
                      <w:sz w:val="21"/>
                      <w:szCs w:val="21"/>
                    </w:rPr>
                    <w:t>6473.12</w:t>
                  </w:r>
                </w:p>
              </w:tc>
              <w:tc>
                <w:tcPr>
                  <w:tcW w:w="1000" w:type="pct"/>
                  <w:noWrap/>
                  <w:vAlign w:val="center"/>
                </w:tcPr>
                <w:p w14:paraId="315C036A">
                  <w:pPr>
                    <w:pStyle w:val="102"/>
                    <w:spacing w:line="240" w:lineRule="auto"/>
                    <w:rPr>
                      <w:sz w:val="21"/>
                      <w:szCs w:val="21"/>
                    </w:rPr>
                  </w:pPr>
                </w:p>
              </w:tc>
            </w:tr>
            <w:tr w14:paraId="4EB87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37D02F51">
                  <w:pPr>
                    <w:pStyle w:val="102"/>
                    <w:spacing w:line="240" w:lineRule="auto"/>
                    <w:rPr>
                      <w:sz w:val="21"/>
                      <w:szCs w:val="21"/>
                    </w:rPr>
                  </w:pPr>
                  <w:r>
                    <w:rPr>
                      <w:rFonts w:hint="eastAsia"/>
                      <w:sz w:val="21"/>
                      <w:szCs w:val="21"/>
                    </w:rPr>
                    <w:t>3</w:t>
                  </w:r>
                </w:p>
              </w:tc>
              <w:tc>
                <w:tcPr>
                  <w:tcW w:w="1993" w:type="pct"/>
                  <w:gridSpan w:val="2"/>
                  <w:vAlign w:val="center"/>
                </w:tcPr>
                <w:p w14:paraId="4734346B">
                  <w:pPr>
                    <w:pStyle w:val="102"/>
                    <w:spacing w:line="240" w:lineRule="auto"/>
                    <w:rPr>
                      <w:sz w:val="21"/>
                      <w:szCs w:val="21"/>
                    </w:rPr>
                  </w:pPr>
                  <w:r>
                    <w:rPr>
                      <w:sz w:val="21"/>
                      <w:szCs w:val="21"/>
                    </w:rPr>
                    <w:t>建、构筑物总建筑面积</w:t>
                  </w:r>
                </w:p>
              </w:tc>
              <w:tc>
                <w:tcPr>
                  <w:tcW w:w="690" w:type="pct"/>
                  <w:noWrap/>
                  <w:vAlign w:val="center"/>
                </w:tcPr>
                <w:p w14:paraId="73E38B7E">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noWrap/>
                  <w:vAlign w:val="center"/>
                </w:tcPr>
                <w:p w14:paraId="6E0FD0E4">
                  <w:pPr>
                    <w:pStyle w:val="102"/>
                    <w:spacing w:line="240" w:lineRule="auto"/>
                    <w:rPr>
                      <w:sz w:val="21"/>
                      <w:szCs w:val="21"/>
                    </w:rPr>
                  </w:pPr>
                  <w:r>
                    <w:rPr>
                      <w:rFonts w:hint="eastAsia"/>
                      <w:sz w:val="21"/>
                      <w:szCs w:val="21"/>
                    </w:rPr>
                    <w:t>9157.06</w:t>
                  </w:r>
                </w:p>
              </w:tc>
              <w:tc>
                <w:tcPr>
                  <w:tcW w:w="1000" w:type="pct"/>
                  <w:noWrap/>
                  <w:vAlign w:val="center"/>
                </w:tcPr>
                <w:p w14:paraId="67361177">
                  <w:pPr>
                    <w:pStyle w:val="102"/>
                    <w:spacing w:line="240" w:lineRule="auto"/>
                    <w:rPr>
                      <w:sz w:val="21"/>
                      <w:szCs w:val="21"/>
                    </w:rPr>
                  </w:pPr>
                </w:p>
              </w:tc>
            </w:tr>
            <w:tr w14:paraId="2B255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3F26D765">
                  <w:pPr>
                    <w:pStyle w:val="102"/>
                    <w:spacing w:line="240" w:lineRule="auto"/>
                    <w:rPr>
                      <w:sz w:val="21"/>
                      <w:szCs w:val="21"/>
                    </w:rPr>
                  </w:pPr>
                  <w:r>
                    <w:rPr>
                      <w:rFonts w:hint="eastAsia"/>
                      <w:sz w:val="21"/>
                      <w:szCs w:val="21"/>
                    </w:rPr>
                    <w:t>4</w:t>
                  </w:r>
                </w:p>
              </w:tc>
              <w:tc>
                <w:tcPr>
                  <w:tcW w:w="1993" w:type="pct"/>
                  <w:gridSpan w:val="2"/>
                  <w:vAlign w:val="center"/>
                </w:tcPr>
                <w:p w14:paraId="59B656F4">
                  <w:pPr>
                    <w:pStyle w:val="102"/>
                    <w:spacing w:line="240" w:lineRule="auto"/>
                    <w:rPr>
                      <w:sz w:val="21"/>
                      <w:szCs w:val="21"/>
                    </w:rPr>
                  </w:pPr>
                  <w:r>
                    <w:rPr>
                      <w:sz w:val="21"/>
                      <w:szCs w:val="21"/>
                    </w:rPr>
                    <w:t>建、构筑物计入容积率</w:t>
                  </w:r>
                  <w:r>
                    <w:rPr>
                      <w:rFonts w:hint="eastAsia"/>
                      <w:sz w:val="21"/>
                      <w:szCs w:val="21"/>
                    </w:rPr>
                    <w:t>总</w:t>
                  </w:r>
                  <w:r>
                    <w:rPr>
                      <w:sz w:val="21"/>
                      <w:szCs w:val="21"/>
                    </w:rPr>
                    <w:t>面积</w:t>
                  </w:r>
                </w:p>
              </w:tc>
              <w:tc>
                <w:tcPr>
                  <w:tcW w:w="690" w:type="pct"/>
                  <w:vAlign w:val="center"/>
                </w:tcPr>
                <w:p w14:paraId="28700352">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2C9D08EB">
                  <w:pPr>
                    <w:pStyle w:val="102"/>
                    <w:spacing w:line="240" w:lineRule="auto"/>
                    <w:rPr>
                      <w:sz w:val="21"/>
                      <w:szCs w:val="21"/>
                    </w:rPr>
                  </w:pPr>
                  <w:r>
                    <w:rPr>
                      <w:rFonts w:hint="eastAsia"/>
                      <w:sz w:val="21"/>
                      <w:szCs w:val="21"/>
                    </w:rPr>
                    <w:t>19340.45</w:t>
                  </w:r>
                </w:p>
              </w:tc>
              <w:tc>
                <w:tcPr>
                  <w:tcW w:w="1000" w:type="pct"/>
                  <w:noWrap/>
                  <w:vAlign w:val="center"/>
                </w:tcPr>
                <w:p w14:paraId="1EF21EE7">
                  <w:pPr>
                    <w:pStyle w:val="102"/>
                    <w:spacing w:line="240" w:lineRule="auto"/>
                    <w:rPr>
                      <w:sz w:val="21"/>
                      <w:szCs w:val="21"/>
                    </w:rPr>
                  </w:pPr>
                </w:p>
              </w:tc>
            </w:tr>
            <w:tr w14:paraId="01597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21987D30">
                  <w:pPr>
                    <w:pStyle w:val="102"/>
                    <w:spacing w:line="240" w:lineRule="auto"/>
                    <w:rPr>
                      <w:sz w:val="21"/>
                      <w:szCs w:val="21"/>
                    </w:rPr>
                  </w:pPr>
                  <w:r>
                    <w:rPr>
                      <w:rFonts w:hint="eastAsia"/>
                      <w:sz w:val="21"/>
                      <w:szCs w:val="21"/>
                    </w:rPr>
                    <w:t>5</w:t>
                  </w:r>
                </w:p>
              </w:tc>
              <w:tc>
                <w:tcPr>
                  <w:tcW w:w="1993" w:type="pct"/>
                  <w:gridSpan w:val="2"/>
                  <w:vAlign w:val="center"/>
                </w:tcPr>
                <w:p w14:paraId="4CE911ED">
                  <w:pPr>
                    <w:pStyle w:val="102"/>
                    <w:spacing w:line="240" w:lineRule="auto"/>
                    <w:rPr>
                      <w:sz w:val="21"/>
                      <w:szCs w:val="21"/>
                    </w:rPr>
                  </w:pPr>
                  <w:r>
                    <w:rPr>
                      <w:sz w:val="21"/>
                      <w:szCs w:val="21"/>
                    </w:rPr>
                    <w:t>绿</w:t>
                  </w:r>
                  <w:r>
                    <w:rPr>
                      <w:rFonts w:hint="eastAsia"/>
                      <w:sz w:val="21"/>
                      <w:szCs w:val="21"/>
                    </w:rPr>
                    <w:t>地</w:t>
                  </w:r>
                  <w:r>
                    <w:rPr>
                      <w:sz w:val="21"/>
                      <w:szCs w:val="21"/>
                    </w:rPr>
                    <w:t>面积</w:t>
                  </w:r>
                </w:p>
              </w:tc>
              <w:tc>
                <w:tcPr>
                  <w:tcW w:w="690" w:type="pct"/>
                  <w:vAlign w:val="center"/>
                </w:tcPr>
                <w:p w14:paraId="430CE5F7">
                  <w:pPr>
                    <w:pStyle w:val="102"/>
                    <w:spacing w:line="240" w:lineRule="auto"/>
                    <w:rPr>
                      <w:sz w:val="21"/>
                      <w:szCs w:val="21"/>
                    </w:rPr>
                  </w:pPr>
                  <w:r>
                    <w:rPr>
                      <w:rFonts w:hint="eastAsia"/>
                      <w:sz w:val="21"/>
                      <w:szCs w:val="21"/>
                    </w:rPr>
                    <w:t>m</w:t>
                  </w:r>
                  <w:r>
                    <w:rPr>
                      <w:rFonts w:hint="eastAsia"/>
                      <w:sz w:val="21"/>
                      <w:szCs w:val="21"/>
                      <w:vertAlign w:val="superscript"/>
                    </w:rPr>
                    <w:t>2</w:t>
                  </w:r>
                </w:p>
              </w:tc>
              <w:tc>
                <w:tcPr>
                  <w:tcW w:w="865" w:type="pct"/>
                  <w:vAlign w:val="center"/>
                </w:tcPr>
                <w:p w14:paraId="265FF715">
                  <w:pPr>
                    <w:pStyle w:val="102"/>
                    <w:spacing w:line="240" w:lineRule="auto"/>
                    <w:rPr>
                      <w:sz w:val="21"/>
                      <w:szCs w:val="21"/>
                    </w:rPr>
                  </w:pPr>
                  <w:r>
                    <w:rPr>
                      <w:rFonts w:hint="eastAsia"/>
                      <w:sz w:val="21"/>
                      <w:szCs w:val="21"/>
                    </w:rPr>
                    <w:t>5042</w:t>
                  </w:r>
                </w:p>
              </w:tc>
              <w:tc>
                <w:tcPr>
                  <w:tcW w:w="1000" w:type="pct"/>
                  <w:noWrap/>
                  <w:vAlign w:val="center"/>
                </w:tcPr>
                <w:p w14:paraId="29B904F0">
                  <w:pPr>
                    <w:pStyle w:val="102"/>
                    <w:spacing w:line="240" w:lineRule="auto"/>
                    <w:rPr>
                      <w:sz w:val="21"/>
                      <w:szCs w:val="21"/>
                    </w:rPr>
                  </w:pPr>
                </w:p>
              </w:tc>
            </w:tr>
            <w:tr w14:paraId="3C9A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2558F83D">
                  <w:pPr>
                    <w:pStyle w:val="102"/>
                    <w:spacing w:line="240" w:lineRule="auto"/>
                    <w:rPr>
                      <w:sz w:val="21"/>
                      <w:szCs w:val="21"/>
                    </w:rPr>
                  </w:pPr>
                  <w:r>
                    <w:rPr>
                      <w:rFonts w:hint="eastAsia"/>
                      <w:sz w:val="21"/>
                      <w:szCs w:val="21"/>
                    </w:rPr>
                    <w:t>6</w:t>
                  </w:r>
                </w:p>
              </w:tc>
              <w:tc>
                <w:tcPr>
                  <w:tcW w:w="1993" w:type="pct"/>
                  <w:gridSpan w:val="2"/>
                  <w:vAlign w:val="center"/>
                </w:tcPr>
                <w:p w14:paraId="35E92DE4">
                  <w:pPr>
                    <w:pStyle w:val="102"/>
                    <w:spacing w:line="240" w:lineRule="auto"/>
                    <w:rPr>
                      <w:sz w:val="21"/>
                      <w:szCs w:val="21"/>
                    </w:rPr>
                  </w:pPr>
                  <w:r>
                    <w:rPr>
                      <w:sz w:val="21"/>
                      <w:szCs w:val="21"/>
                    </w:rPr>
                    <w:t>建筑密度</w:t>
                  </w:r>
                </w:p>
              </w:tc>
              <w:tc>
                <w:tcPr>
                  <w:tcW w:w="690" w:type="pct"/>
                  <w:vAlign w:val="center"/>
                </w:tcPr>
                <w:p w14:paraId="0C3AFC93">
                  <w:pPr>
                    <w:pStyle w:val="102"/>
                    <w:spacing w:line="240" w:lineRule="auto"/>
                    <w:rPr>
                      <w:sz w:val="21"/>
                      <w:szCs w:val="21"/>
                    </w:rPr>
                  </w:pPr>
                  <w:r>
                    <w:rPr>
                      <w:rFonts w:hint="eastAsia"/>
                      <w:sz w:val="21"/>
                      <w:szCs w:val="21"/>
                    </w:rPr>
                    <w:t>%</w:t>
                  </w:r>
                </w:p>
              </w:tc>
              <w:tc>
                <w:tcPr>
                  <w:tcW w:w="865" w:type="pct"/>
                  <w:vAlign w:val="center"/>
                </w:tcPr>
                <w:p w14:paraId="4E8CC7CB">
                  <w:pPr>
                    <w:pStyle w:val="102"/>
                    <w:spacing w:line="240" w:lineRule="auto"/>
                    <w:rPr>
                      <w:sz w:val="21"/>
                      <w:szCs w:val="21"/>
                    </w:rPr>
                  </w:pPr>
                  <w:r>
                    <w:rPr>
                      <w:rFonts w:hint="eastAsia"/>
                      <w:sz w:val="21"/>
                      <w:szCs w:val="21"/>
                    </w:rPr>
                    <w:t>29.53</w:t>
                  </w:r>
                </w:p>
              </w:tc>
              <w:tc>
                <w:tcPr>
                  <w:tcW w:w="1000" w:type="pct"/>
                  <w:noWrap/>
                  <w:vAlign w:val="center"/>
                </w:tcPr>
                <w:p w14:paraId="124DD785">
                  <w:pPr>
                    <w:pStyle w:val="102"/>
                    <w:spacing w:line="240" w:lineRule="auto"/>
                    <w:rPr>
                      <w:sz w:val="21"/>
                      <w:szCs w:val="21"/>
                    </w:rPr>
                  </w:pPr>
                </w:p>
              </w:tc>
            </w:tr>
            <w:tr w14:paraId="26D56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5F605920">
                  <w:pPr>
                    <w:pStyle w:val="102"/>
                    <w:spacing w:line="240" w:lineRule="auto"/>
                    <w:rPr>
                      <w:sz w:val="21"/>
                      <w:szCs w:val="21"/>
                    </w:rPr>
                  </w:pPr>
                  <w:r>
                    <w:rPr>
                      <w:rFonts w:hint="eastAsia"/>
                      <w:sz w:val="21"/>
                      <w:szCs w:val="21"/>
                    </w:rPr>
                    <w:t>7</w:t>
                  </w:r>
                </w:p>
              </w:tc>
              <w:tc>
                <w:tcPr>
                  <w:tcW w:w="1993" w:type="pct"/>
                  <w:gridSpan w:val="2"/>
                  <w:vAlign w:val="center"/>
                </w:tcPr>
                <w:p w14:paraId="7CB7FCEA">
                  <w:pPr>
                    <w:pStyle w:val="102"/>
                    <w:spacing w:line="240" w:lineRule="auto"/>
                    <w:rPr>
                      <w:sz w:val="21"/>
                      <w:szCs w:val="21"/>
                    </w:rPr>
                  </w:pPr>
                  <w:r>
                    <w:rPr>
                      <w:sz w:val="21"/>
                      <w:szCs w:val="21"/>
                    </w:rPr>
                    <w:t>容积率</w:t>
                  </w:r>
                </w:p>
              </w:tc>
              <w:tc>
                <w:tcPr>
                  <w:tcW w:w="690" w:type="pct"/>
                  <w:vAlign w:val="center"/>
                </w:tcPr>
                <w:p w14:paraId="4AF6C5F4">
                  <w:pPr>
                    <w:pStyle w:val="102"/>
                    <w:spacing w:line="240" w:lineRule="auto"/>
                    <w:rPr>
                      <w:sz w:val="21"/>
                      <w:szCs w:val="21"/>
                    </w:rPr>
                  </w:pPr>
                </w:p>
              </w:tc>
              <w:tc>
                <w:tcPr>
                  <w:tcW w:w="865" w:type="pct"/>
                  <w:vAlign w:val="center"/>
                </w:tcPr>
                <w:p w14:paraId="535AB07D">
                  <w:pPr>
                    <w:pStyle w:val="102"/>
                    <w:spacing w:line="240" w:lineRule="auto"/>
                    <w:rPr>
                      <w:sz w:val="21"/>
                      <w:szCs w:val="21"/>
                    </w:rPr>
                  </w:pPr>
                  <w:r>
                    <w:rPr>
                      <w:rFonts w:hint="eastAsia"/>
                      <w:sz w:val="21"/>
                      <w:szCs w:val="21"/>
                    </w:rPr>
                    <w:t>0.88</w:t>
                  </w:r>
                </w:p>
              </w:tc>
              <w:tc>
                <w:tcPr>
                  <w:tcW w:w="1000" w:type="pct"/>
                  <w:noWrap/>
                  <w:vAlign w:val="center"/>
                </w:tcPr>
                <w:p w14:paraId="32CB38B0">
                  <w:pPr>
                    <w:pStyle w:val="102"/>
                    <w:spacing w:line="240" w:lineRule="auto"/>
                    <w:rPr>
                      <w:sz w:val="21"/>
                      <w:szCs w:val="21"/>
                    </w:rPr>
                  </w:pPr>
                </w:p>
              </w:tc>
            </w:tr>
            <w:tr w14:paraId="1B850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Align w:val="center"/>
                </w:tcPr>
                <w:p w14:paraId="581204C3">
                  <w:pPr>
                    <w:pStyle w:val="102"/>
                    <w:spacing w:line="240" w:lineRule="auto"/>
                    <w:rPr>
                      <w:sz w:val="21"/>
                      <w:szCs w:val="21"/>
                    </w:rPr>
                  </w:pPr>
                  <w:r>
                    <w:rPr>
                      <w:rFonts w:hint="eastAsia"/>
                      <w:sz w:val="21"/>
                      <w:szCs w:val="21"/>
                    </w:rPr>
                    <w:t>8</w:t>
                  </w:r>
                </w:p>
              </w:tc>
              <w:tc>
                <w:tcPr>
                  <w:tcW w:w="1993" w:type="pct"/>
                  <w:gridSpan w:val="2"/>
                  <w:vAlign w:val="center"/>
                </w:tcPr>
                <w:p w14:paraId="1ECC7A19">
                  <w:pPr>
                    <w:pStyle w:val="102"/>
                    <w:spacing w:line="240" w:lineRule="auto"/>
                    <w:rPr>
                      <w:sz w:val="21"/>
                      <w:szCs w:val="21"/>
                    </w:rPr>
                  </w:pPr>
                  <w:r>
                    <w:rPr>
                      <w:sz w:val="21"/>
                      <w:szCs w:val="21"/>
                    </w:rPr>
                    <w:t>绿地率</w:t>
                  </w:r>
                </w:p>
              </w:tc>
              <w:tc>
                <w:tcPr>
                  <w:tcW w:w="690" w:type="pct"/>
                  <w:vAlign w:val="center"/>
                </w:tcPr>
                <w:p w14:paraId="546708DD">
                  <w:pPr>
                    <w:pStyle w:val="102"/>
                    <w:spacing w:line="240" w:lineRule="auto"/>
                    <w:rPr>
                      <w:sz w:val="21"/>
                      <w:szCs w:val="21"/>
                    </w:rPr>
                  </w:pPr>
                  <w:r>
                    <w:rPr>
                      <w:rFonts w:hint="eastAsia"/>
                      <w:sz w:val="21"/>
                      <w:szCs w:val="21"/>
                    </w:rPr>
                    <w:t>%</w:t>
                  </w:r>
                </w:p>
              </w:tc>
              <w:tc>
                <w:tcPr>
                  <w:tcW w:w="865" w:type="pct"/>
                  <w:vAlign w:val="center"/>
                </w:tcPr>
                <w:p w14:paraId="3A2021A4">
                  <w:pPr>
                    <w:pStyle w:val="102"/>
                    <w:spacing w:line="240" w:lineRule="auto"/>
                    <w:rPr>
                      <w:sz w:val="21"/>
                      <w:szCs w:val="21"/>
                    </w:rPr>
                  </w:pPr>
                  <w:r>
                    <w:rPr>
                      <w:rFonts w:hint="eastAsia"/>
                      <w:sz w:val="21"/>
                      <w:szCs w:val="21"/>
                    </w:rPr>
                    <w:t>23.00</w:t>
                  </w:r>
                </w:p>
              </w:tc>
              <w:tc>
                <w:tcPr>
                  <w:tcW w:w="1000" w:type="pct"/>
                  <w:noWrap/>
                  <w:vAlign w:val="center"/>
                </w:tcPr>
                <w:p w14:paraId="63D91BD3">
                  <w:pPr>
                    <w:pStyle w:val="102"/>
                    <w:spacing w:line="240" w:lineRule="auto"/>
                    <w:rPr>
                      <w:sz w:val="21"/>
                      <w:szCs w:val="21"/>
                    </w:rPr>
                  </w:pPr>
                </w:p>
              </w:tc>
            </w:tr>
            <w:tr w14:paraId="5665C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452" w:type="pct"/>
                  <w:vMerge w:val="restart"/>
                  <w:vAlign w:val="center"/>
                </w:tcPr>
                <w:p w14:paraId="3B2C483C">
                  <w:pPr>
                    <w:pStyle w:val="102"/>
                    <w:spacing w:line="240" w:lineRule="auto"/>
                    <w:rPr>
                      <w:sz w:val="21"/>
                      <w:szCs w:val="21"/>
                    </w:rPr>
                  </w:pPr>
                  <w:r>
                    <w:rPr>
                      <w:rFonts w:hint="eastAsia"/>
                      <w:sz w:val="21"/>
                      <w:szCs w:val="21"/>
                    </w:rPr>
                    <w:t>9</w:t>
                  </w:r>
                </w:p>
              </w:tc>
              <w:tc>
                <w:tcPr>
                  <w:tcW w:w="1993" w:type="pct"/>
                  <w:gridSpan w:val="2"/>
                  <w:vAlign w:val="center"/>
                </w:tcPr>
                <w:p w14:paraId="33349137">
                  <w:pPr>
                    <w:pStyle w:val="102"/>
                    <w:spacing w:line="240" w:lineRule="auto"/>
                    <w:rPr>
                      <w:sz w:val="21"/>
                      <w:szCs w:val="21"/>
                    </w:rPr>
                  </w:pPr>
                  <w:r>
                    <w:rPr>
                      <w:sz w:val="21"/>
                      <w:szCs w:val="21"/>
                    </w:rPr>
                    <w:t>停车位</w:t>
                  </w:r>
                </w:p>
              </w:tc>
              <w:tc>
                <w:tcPr>
                  <w:tcW w:w="690" w:type="pct"/>
                  <w:vAlign w:val="center"/>
                </w:tcPr>
                <w:p w14:paraId="415A2008">
                  <w:pPr>
                    <w:pStyle w:val="102"/>
                    <w:spacing w:line="240" w:lineRule="auto"/>
                    <w:rPr>
                      <w:sz w:val="21"/>
                      <w:szCs w:val="21"/>
                    </w:rPr>
                  </w:pPr>
                  <w:r>
                    <w:rPr>
                      <w:sz w:val="21"/>
                      <w:szCs w:val="21"/>
                    </w:rPr>
                    <w:t>个</w:t>
                  </w:r>
                </w:p>
              </w:tc>
              <w:tc>
                <w:tcPr>
                  <w:tcW w:w="865" w:type="pct"/>
                  <w:vAlign w:val="center"/>
                </w:tcPr>
                <w:p w14:paraId="6E6E6585">
                  <w:pPr>
                    <w:pStyle w:val="102"/>
                    <w:spacing w:line="240" w:lineRule="auto"/>
                    <w:rPr>
                      <w:sz w:val="21"/>
                      <w:szCs w:val="21"/>
                    </w:rPr>
                  </w:pPr>
                  <w:r>
                    <w:rPr>
                      <w:rFonts w:hint="eastAsia"/>
                      <w:sz w:val="21"/>
                      <w:szCs w:val="21"/>
                    </w:rPr>
                    <w:t>22</w:t>
                  </w:r>
                </w:p>
              </w:tc>
              <w:tc>
                <w:tcPr>
                  <w:tcW w:w="1000" w:type="pct"/>
                  <w:noWrap/>
                  <w:vAlign w:val="center"/>
                </w:tcPr>
                <w:p w14:paraId="7C52E083">
                  <w:pPr>
                    <w:pStyle w:val="102"/>
                    <w:spacing w:line="240" w:lineRule="auto"/>
                    <w:rPr>
                      <w:sz w:val="21"/>
                      <w:szCs w:val="21"/>
                    </w:rPr>
                  </w:pPr>
                </w:p>
              </w:tc>
            </w:tr>
            <w:tr w14:paraId="75C93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Merge w:val="continue"/>
                  <w:vAlign w:val="center"/>
                </w:tcPr>
                <w:p w14:paraId="42BC55EC">
                  <w:pPr>
                    <w:pStyle w:val="102"/>
                    <w:spacing w:line="240" w:lineRule="auto"/>
                    <w:rPr>
                      <w:sz w:val="21"/>
                      <w:szCs w:val="21"/>
                    </w:rPr>
                  </w:pPr>
                </w:p>
              </w:tc>
              <w:tc>
                <w:tcPr>
                  <w:tcW w:w="690" w:type="pct"/>
                  <w:vMerge w:val="restart"/>
                  <w:vAlign w:val="center"/>
                </w:tcPr>
                <w:p w14:paraId="302A9B5A">
                  <w:pPr>
                    <w:pStyle w:val="102"/>
                    <w:spacing w:line="240" w:lineRule="auto"/>
                    <w:rPr>
                      <w:sz w:val="21"/>
                      <w:szCs w:val="21"/>
                    </w:rPr>
                  </w:pPr>
                  <w:r>
                    <w:rPr>
                      <w:rFonts w:hint="eastAsia"/>
                      <w:sz w:val="21"/>
                      <w:szCs w:val="21"/>
                    </w:rPr>
                    <w:t>其中</w:t>
                  </w:r>
                </w:p>
              </w:tc>
              <w:tc>
                <w:tcPr>
                  <w:tcW w:w="1303" w:type="pct"/>
                  <w:vAlign w:val="center"/>
                </w:tcPr>
                <w:p w14:paraId="02BCEAEB">
                  <w:pPr>
                    <w:pStyle w:val="102"/>
                    <w:spacing w:line="240" w:lineRule="auto"/>
                    <w:rPr>
                      <w:sz w:val="21"/>
                      <w:szCs w:val="21"/>
                    </w:rPr>
                  </w:pPr>
                  <w:r>
                    <w:rPr>
                      <w:sz w:val="21"/>
                      <w:szCs w:val="21"/>
                    </w:rPr>
                    <w:t>生态货车停车位</w:t>
                  </w:r>
                </w:p>
              </w:tc>
              <w:tc>
                <w:tcPr>
                  <w:tcW w:w="690" w:type="pct"/>
                  <w:vAlign w:val="center"/>
                </w:tcPr>
                <w:p w14:paraId="2B644B57">
                  <w:pPr>
                    <w:pStyle w:val="102"/>
                    <w:spacing w:line="240" w:lineRule="auto"/>
                    <w:rPr>
                      <w:sz w:val="21"/>
                      <w:szCs w:val="21"/>
                    </w:rPr>
                  </w:pPr>
                  <w:r>
                    <w:rPr>
                      <w:sz w:val="21"/>
                      <w:szCs w:val="21"/>
                    </w:rPr>
                    <w:t>个</w:t>
                  </w:r>
                </w:p>
              </w:tc>
              <w:tc>
                <w:tcPr>
                  <w:tcW w:w="865" w:type="pct"/>
                  <w:vAlign w:val="center"/>
                </w:tcPr>
                <w:p w14:paraId="05F0E69E">
                  <w:pPr>
                    <w:pStyle w:val="102"/>
                    <w:spacing w:line="240" w:lineRule="auto"/>
                    <w:rPr>
                      <w:sz w:val="21"/>
                      <w:szCs w:val="21"/>
                    </w:rPr>
                  </w:pPr>
                  <w:r>
                    <w:rPr>
                      <w:rFonts w:hint="eastAsia"/>
                      <w:sz w:val="21"/>
                      <w:szCs w:val="21"/>
                    </w:rPr>
                    <w:t>2</w:t>
                  </w:r>
                </w:p>
              </w:tc>
              <w:tc>
                <w:tcPr>
                  <w:tcW w:w="1000" w:type="pct"/>
                  <w:noWrap/>
                  <w:vAlign w:val="center"/>
                </w:tcPr>
                <w:p w14:paraId="5C77644B">
                  <w:pPr>
                    <w:pStyle w:val="102"/>
                    <w:spacing w:line="240" w:lineRule="auto"/>
                    <w:rPr>
                      <w:sz w:val="21"/>
                      <w:szCs w:val="21"/>
                    </w:rPr>
                  </w:pPr>
                </w:p>
              </w:tc>
            </w:tr>
            <w:tr w14:paraId="7D774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Merge w:val="continue"/>
                  <w:vAlign w:val="center"/>
                </w:tcPr>
                <w:p w14:paraId="0DAFB6AD">
                  <w:pPr>
                    <w:pStyle w:val="102"/>
                    <w:spacing w:line="240" w:lineRule="auto"/>
                    <w:rPr>
                      <w:sz w:val="21"/>
                      <w:szCs w:val="21"/>
                    </w:rPr>
                  </w:pPr>
                </w:p>
              </w:tc>
              <w:tc>
                <w:tcPr>
                  <w:tcW w:w="690" w:type="pct"/>
                  <w:vMerge w:val="continue"/>
                  <w:vAlign w:val="center"/>
                </w:tcPr>
                <w:p w14:paraId="30630163">
                  <w:pPr>
                    <w:pStyle w:val="102"/>
                    <w:spacing w:line="240" w:lineRule="auto"/>
                    <w:rPr>
                      <w:sz w:val="21"/>
                      <w:szCs w:val="21"/>
                    </w:rPr>
                  </w:pPr>
                </w:p>
              </w:tc>
              <w:tc>
                <w:tcPr>
                  <w:tcW w:w="1303" w:type="pct"/>
                  <w:vAlign w:val="center"/>
                </w:tcPr>
                <w:p w14:paraId="7D20282A">
                  <w:pPr>
                    <w:pStyle w:val="102"/>
                    <w:spacing w:line="240" w:lineRule="auto"/>
                    <w:rPr>
                      <w:sz w:val="21"/>
                      <w:szCs w:val="21"/>
                    </w:rPr>
                  </w:pPr>
                  <w:r>
                    <w:rPr>
                      <w:sz w:val="21"/>
                      <w:szCs w:val="21"/>
                    </w:rPr>
                    <w:t>生态普通停车位</w:t>
                  </w:r>
                </w:p>
              </w:tc>
              <w:tc>
                <w:tcPr>
                  <w:tcW w:w="690" w:type="pct"/>
                  <w:vAlign w:val="center"/>
                </w:tcPr>
                <w:p w14:paraId="578BBE72">
                  <w:pPr>
                    <w:pStyle w:val="102"/>
                    <w:spacing w:line="240" w:lineRule="auto"/>
                    <w:rPr>
                      <w:sz w:val="21"/>
                      <w:szCs w:val="21"/>
                    </w:rPr>
                  </w:pPr>
                  <w:r>
                    <w:rPr>
                      <w:sz w:val="21"/>
                      <w:szCs w:val="21"/>
                    </w:rPr>
                    <w:t>个</w:t>
                  </w:r>
                </w:p>
              </w:tc>
              <w:tc>
                <w:tcPr>
                  <w:tcW w:w="865" w:type="pct"/>
                  <w:vAlign w:val="center"/>
                </w:tcPr>
                <w:p w14:paraId="687F3339">
                  <w:pPr>
                    <w:pStyle w:val="102"/>
                    <w:spacing w:line="240" w:lineRule="auto"/>
                    <w:rPr>
                      <w:sz w:val="21"/>
                      <w:szCs w:val="21"/>
                    </w:rPr>
                  </w:pPr>
                  <w:r>
                    <w:rPr>
                      <w:rFonts w:hint="eastAsia"/>
                      <w:sz w:val="21"/>
                      <w:szCs w:val="21"/>
                    </w:rPr>
                    <w:t>19</w:t>
                  </w:r>
                </w:p>
              </w:tc>
              <w:tc>
                <w:tcPr>
                  <w:tcW w:w="1000" w:type="pct"/>
                  <w:noWrap/>
                  <w:vAlign w:val="center"/>
                </w:tcPr>
                <w:p w14:paraId="39A87545">
                  <w:pPr>
                    <w:pStyle w:val="102"/>
                    <w:spacing w:line="240" w:lineRule="auto"/>
                    <w:rPr>
                      <w:sz w:val="21"/>
                      <w:szCs w:val="21"/>
                    </w:rPr>
                  </w:pPr>
                </w:p>
              </w:tc>
            </w:tr>
            <w:tr w14:paraId="2C988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2" w:type="pct"/>
                  <w:vMerge w:val="continue"/>
                  <w:vAlign w:val="center"/>
                </w:tcPr>
                <w:p w14:paraId="3F16B758">
                  <w:pPr>
                    <w:pStyle w:val="102"/>
                    <w:spacing w:line="240" w:lineRule="auto"/>
                    <w:rPr>
                      <w:sz w:val="21"/>
                      <w:szCs w:val="21"/>
                    </w:rPr>
                  </w:pPr>
                </w:p>
              </w:tc>
              <w:tc>
                <w:tcPr>
                  <w:tcW w:w="690" w:type="pct"/>
                  <w:vMerge w:val="continue"/>
                  <w:vAlign w:val="center"/>
                </w:tcPr>
                <w:p w14:paraId="02CF0038">
                  <w:pPr>
                    <w:pStyle w:val="102"/>
                    <w:spacing w:line="240" w:lineRule="auto"/>
                    <w:rPr>
                      <w:sz w:val="21"/>
                      <w:szCs w:val="21"/>
                    </w:rPr>
                  </w:pPr>
                </w:p>
              </w:tc>
              <w:tc>
                <w:tcPr>
                  <w:tcW w:w="1303" w:type="pct"/>
                  <w:vAlign w:val="center"/>
                </w:tcPr>
                <w:p w14:paraId="4F1B7752">
                  <w:pPr>
                    <w:pStyle w:val="102"/>
                    <w:spacing w:line="240" w:lineRule="auto"/>
                    <w:rPr>
                      <w:sz w:val="21"/>
                      <w:szCs w:val="21"/>
                    </w:rPr>
                  </w:pPr>
                  <w:r>
                    <w:rPr>
                      <w:sz w:val="21"/>
                      <w:szCs w:val="21"/>
                    </w:rPr>
                    <w:t>生态无障碍停车位</w:t>
                  </w:r>
                </w:p>
              </w:tc>
              <w:tc>
                <w:tcPr>
                  <w:tcW w:w="690" w:type="pct"/>
                  <w:vAlign w:val="center"/>
                </w:tcPr>
                <w:p w14:paraId="056C4D61">
                  <w:pPr>
                    <w:pStyle w:val="102"/>
                    <w:spacing w:line="240" w:lineRule="auto"/>
                    <w:rPr>
                      <w:sz w:val="21"/>
                      <w:szCs w:val="21"/>
                    </w:rPr>
                  </w:pPr>
                  <w:r>
                    <w:rPr>
                      <w:sz w:val="21"/>
                      <w:szCs w:val="21"/>
                    </w:rPr>
                    <w:t>个</w:t>
                  </w:r>
                </w:p>
              </w:tc>
              <w:tc>
                <w:tcPr>
                  <w:tcW w:w="865" w:type="pct"/>
                  <w:vAlign w:val="center"/>
                </w:tcPr>
                <w:p w14:paraId="04B974B2">
                  <w:pPr>
                    <w:pStyle w:val="102"/>
                    <w:spacing w:line="240" w:lineRule="auto"/>
                    <w:rPr>
                      <w:sz w:val="21"/>
                      <w:szCs w:val="21"/>
                    </w:rPr>
                  </w:pPr>
                  <w:r>
                    <w:rPr>
                      <w:rFonts w:hint="eastAsia"/>
                      <w:sz w:val="21"/>
                      <w:szCs w:val="21"/>
                    </w:rPr>
                    <w:t>1</w:t>
                  </w:r>
                </w:p>
              </w:tc>
              <w:tc>
                <w:tcPr>
                  <w:tcW w:w="1000" w:type="pct"/>
                  <w:noWrap/>
                  <w:vAlign w:val="center"/>
                </w:tcPr>
                <w:p w14:paraId="44989238">
                  <w:pPr>
                    <w:pStyle w:val="102"/>
                    <w:spacing w:line="240" w:lineRule="auto"/>
                    <w:rPr>
                      <w:sz w:val="21"/>
                      <w:szCs w:val="21"/>
                    </w:rPr>
                  </w:pPr>
                </w:p>
              </w:tc>
            </w:tr>
          </w:tbl>
          <w:p w14:paraId="16A9D44E">
            <w:pPr>
              <w:adjustRightInd w:val="0"/>
              <w:snapToGrid w:val="0"/>
              <w:spacing w:line="360" w:lineRule="auto"/>
              <w:ind w:firstLine="482" w:firstLineChars="200"/>
              <w:rPr>
                <w:b/>
                <w:bCs/>
                <w:sz w:val="24"/>
              </w:rPr>
            </w:pPr>
            <w:r>
              <w:rPr>
                <w:rFonts w:hint="eastAsia"/>
                <w:b/>
                <w:bCs/>
                <w:sz w:val="24"/>
              </w:rPr>
              <w:t>3</w:t>
            </w:r>
            <w:r>
              <w:rPr>
                <w:b/>
                <w:bCs/>
                <w:sz w:val="24"/>
              </w:rPr>
              <w:t>、产品方案</w:t>
            </w:r>
          </w:p>
          <w:p w14:paraId="7C1C5A2D">
            <w:pPr>
              <w:adjustRightInd w:val="0"/>
              <w:snapToGrid w:val="0"/>
              <w:spacing w:line="360" w:lineRule="auto"/>
              <w:ind w:firstLine="480" w:firstLineChars="200"/>
              <w:rPr>
                <w:sz w:val="24"/>
              </w:rPr>
            </w:pPr>
            <w:r>
              <w:rPr>
                <w:rFonts w:hint="eastAsia"/>
                <w:sz w:val="24"/>
              </w:rPr>
              <w:t>项目生产规模及产品方案详见表2-3。</w:t>
            </w:r>
          </w:p>
          <w:p w14:paraId="6FA640D7">
            <w:pPr>
              <w:autoSpaceDE w:val="0"/>
              <w:autoSpaceDN w:val="0"/>
              <w:adjustRightInd w:val="0"/>
              <w:spacing w:before="120" w:beforeLines="50"/>
              <w:jc w:val="center"/>
              <w:rPr>
                <w:b/>
                <w:kern w:val="0"/>
                <w:szCs w:val="21"/>
              </w:rPr>
            </w:pPr>
            <w:r>
              <w:rPr>
                <w:b/>
                <w:kern w:val="0"/>
                <w:szCs w:val="21"/>
              </w:rPr>
              <w:t>表2-</w:t>
            </w:r>
            <w:r>
              <w:rPr>
                <w:rFonts w:hint="eastAsia"/>
                <w:b/>
                <w:kern w:val="0"/>
                <w:szCs w:val="21"/>
              </w:rPr>
              <w:t>3</w:t>
            </w:r>
            <w:r>
              <w:rPr>
                <w:b/>
                <w:kern w:val="0"/>
                <w:szCs w:val="21"/>
              </w:rPr>
              <w:t xml:space="preserve">  产品方案一览表</w:t>
            </w:r>
          </w:p>
          <w:tbl>
            <w:tblPr>
              <w:tblStyle w:val="28"/>
              <w:tblW w:w="498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8"/>
              <w:gridCol w:w="1275"/>
              <w:gridCol w:w="1700"/>
              <w:gridCol w:w="1844"/>
              <w:gridCol w:w="1277"/>
              <w:gridCol w:w="2277"/>
            </w:tblGrid>
            <w:tr w14:paraId="314DD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4747D6AC">
                  <w:pPr>
                    <w:adjustRightInd w:val="0"/>
                    <w:snapToGrid w:val="0"/>
                    <w:jc w:val="center"/>
                    <w:rPr>
                      <w:b/>
                      <w:bCs/>
                      <w:szCs w:val="21"/>
                    </w:rPr>
                  </w:pPr>
                  <w:r>
                    <w:rPr>
                      <w:rFonts w:hint="eastAsia"/>
                      <w:b/>
                      <w:bCs/>
                      <w:szCs w:val="21"/>
                    </w:rPr>
                    <w:t>序号</w:t>
                  </w:r>
                </w:p>
              </w:tc>
              <w:tc>
                <w:tcPr>
                  <w:tcW w:w="693" w:type="pct"/>
                  <w:shd w:val="clear" w:color="auto" w:fill="auto"/>
                  <w:vAlign w:val="center"/>
                </w:tcPr>
                <w:p w14:paraId="66C0FF0B">
                  <w:pPr>
                    <w:adjustRightInd w:val="0"/>
                    <w:snapToGrid w:val="0"/>
                    <w:jc w:val="center"/>
                    <w:rPr>
                      <w:b/>
                      <w:bCs/>
                      <w:szCs w:val="21"/>
                    </w:rPr>
                  </w:pPr>
                  <w:r>
                    <w:rPr>
                      <w:rFonts w:hint="eastAsia"/>
                      <w:b/>
                      <w:bCs/>
                      <w:szCs w:val="21"/>
                    </w:rPr>
                    <w:t>产品名称</w:t>
                  </w:r>
                </w:p>
              </w:tc>
              <w:tc>
                <w:tcPr>
                  <w:tcW w:w="924" w:type="pct"/>
                  <w:vAlign w:val="center"/>
                </w:tcPr>
                <w:p w14:paraId="6C0276D4">
                  <w:pPr>
                    <w:adjustRightInd w:val="0"/>
                    <w:snapToGrid w:val="0"/>
                    <w:jc w:val="center"/>
                    <w:rPr>
                      <w:b/>
                      <w:bCs/>
                      <w:szCs w:val="21"/>
                    </w:rPr>
                  </w:pPr>
                  <w:r>
                    <w:rPr>
                      <w:rFonts w:hint="eastAsia"/>
                      <w:b/>
                      <w:bCs/>
                      <w:szCs w:val="21"/>
                    </w:rPr>
                    <w:t>现有工程年储存量/烘干量</w:t>
                  </w:r>
                </w:p>
              </w:tc>
              <w:tc>
                <w:tcPr>
                  <w:tcW w:w="1002" w:type="pct"/>
                  <w:shd w:val="clear" w:color="auto" w:fill="auto"/>
                  <w:vAlign w:val="center"/>
                </w:tcPr>
                <w:p w14:paraId="64C973E6">
                  <w:pPr>
                    <w:adjustRightInd w:val="0"/>
                    <w:snapToGrid w:val="0"/>
                    <w:jc w:val="center"/>
                    <w:rPr>
                      <w:b/>
                      <w:bCs/>
                      <w:szCs w:val="21"/>
                    </w:rPr>
                  </w:pPr>
                  <w:r>
                    <w:rPr>
                      <w:rFonts w:hint="eastAsia"/>
                      <w:b/>
                      <w:bCs/>
                      <w:szCs w:val="21"/>
                    </w:rPr>
                    <w:t>改扩建后年储存量/烘干量</w:t>
                  </w:r>
                </w:p>
              </w:tc>
              <w:tc>
                <w:tcPr>
                  <w:tcW w:w="694" w:type="pct"/>
                  <w:vAlign w:val="center"/>
                </w:tcPr>
                <w:p w14:paraId="63AFA36D">
                  <w:pPr>
                    <w:adjustRightInd w:val="0"/>
                    <w:snapToGrid w:val="0"/>
                    <w:jc w:val="center"/>
                    <w:rPr>
                      <w:b/>
                      <w:bCs/>
                      <w:szCs w:val="21"/>
                    </w:rPr>
                  </w:pPr>
                  <w:r>
                    <w:rPr>
                      <w:b/>
                      <w:bCs/>
                      <w:szCs w:val="21"/>
                    </w:rPr>
                    <w:t>增减量</w:t>
                  </w:r>
                </w:p>
              </w:tc>
              <w:tc>
                <w:tcPr>
                  <w:tcW w:w="1237" w:type="pct"/>
                  <w:vAlign w:val="center"/>
                </w:tcPr>
                <w:p w14:paraId="3B9B345F">
                  <w:pPr>
                    <w:adjustRightInd w:val="0"/>
                    <w:snapToGrid w:val="0"/>
                    <w:jc w:val="center"/>
                    <w:rPr>
                      <w:b/>
                      <w:bCs/>
                      <w:szCs w:val="21"/>
                    </w:rPr>
                  </w:pPr>
                  <w:r>
                    <w:rPr>
                      <w:b/>
                      <w:bCs/>
                      <w:szCs w:val="21"/>
                    </w:rPr>
                    <w:t>备注</w:t>
                  </w:r>
                </w:p>
              </w:tc>
            </w:tr>
            <w:tr w14:paraId="4F8EE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46D3D138">
                  <w:pPr>
                    <w:adjustRightInd w:val="0"/>
                    <w:snapToGrid w:val="0"/>
                    <w:jc w:val="center"/>
                    <w:rPr>
                      <w:bCs/>
                      <w:szCs w:val="21"/>
                    </w:rPr>
                  </w:pPr>
                  <w:r>
                    <w:rPr>
                      <w:rFonts w:hint="eastAsia"/>
                      <w:bCs/>
                      <w:szCs w:val="21"/>
                    </w:rPr>
                    <w:t>1</w:t>
                  </w:r>
                </w:p>
              </w:tc>
              <w:tc>
                <w:tcPr>
                  <w:tcW w:w="693" w:type="pct"/>
                  <w:shd w:val="clear" w:color="auto" w:fill="auto"/>
                  <w:vAlign w:val="center"/>
                </w:tcPr>
                <w:p w14:paraId="0D0EA0B6">
                  <w:pPr>
                    <w:adjustRightInd w:val="0"/>
                    <w:snapToGrid w:val="0"/>
                    <w:jc w:val="center"/>
                    <w:rPr>
                      <w:bCs/>
                      <w:szCs w:val="21"/>
                    </w:rPr>
                  </w:pPr>
                  <w:r>
                    <w:rPr>
                      <w:bCs/>
                      <w:szCs w:val="21"/>
                    </w:rPr>
                    <w:t>粮食</w:t>
                  </w:r>
                  <w:r>
                    <w:rPr>
                      <w:szCs w:val="21"/>
                    </w:rPr>
                    <w:t>（主要为稻谷）</w:t>
                  </w:r>
                </w:p>
              </w:tc>
              <w:tc>
                <w:tcPr>
                  <w:tcW w:w="924" w:type="pct"/>
                  <w:vAlign w:val="center"/>
                </w:tcPr>
                <w:p w14:paraId="77E71F56">
                  <w:pPr>
                    <w:adjustRightInd w:val="0"/>
                    <w:snapToGrid w:val="0"/>
                    <w:jc w:val="center"/>
                    <w:rPr>
                      <w:bCs/>
                      <w:szCs w:val="21"/>
                    </w:rPr>
                  </w:pPr>
                  <w:r>
                    <w:rPr>
                      <w:bCs/>
                      <w:szCs w:val="21"/>
                    </w:rPr>
                    <w:t>储存量：</w:t>
                  </w:r>
                  <w:r>
                    <w:rPr>
                      <w:rFonts w:hint="eastAsia"/>
                      <w:bCs/>
                      <w:szCs w:val="21"/>
                    </w:rPr>
                    <w:t>1.65万吨</w:t>
                  </w:r>
                </w:p>
              </w:tc>
              <w:tc>
                <w:tcPr>
                  <w:tcW w:w="1002" w:type="pct"/>
                  <w:shd w:val="clear" w:color="auto" w:fill="auto"/>
                  <w:vAlign w:val="center"/>
                </w:tcPr>
                <w:p w14:paraId="4016CA0C">
                  <w:pPr>
                    <w:adjustRightInd w:val="0"/>
                    <w:snapToGrid w:val="0"/>
                    <w:jc w:val="center"/>
                    <w:rPr>
                      <w:bCs/>
                      <w:szCs w:val="21"/>
                    </w:rPr>
                  </w:pPr>
                  <w:r>
                    <w:rPr>
                      <w:bCs/>
                      <w:szCs w:val="21"/>
                    </w:rPr>
                    <w:t>储存量：</w:t>
                  </w:r>
                  <w:r>
                    <w:rPr>
                      <w:rFonts w:hint="eastAsia"/>
                      <w:bCs/>
                      <w:szCs w:val="21"/>
                    </w:rPr>
                    <w:t>4.68万吨</w:t>
                  </w:r>
                </w:p>
              </w:tc>
              <w:tc>
                <w:tcPr>
                  <w:tcW w:w="694" w:type="pct"/>
                  <w:vAlign w:val="center"/>
                </w:tcPr>
                <w:p w14:paraId="0F1BA7E0">
                  <w:pPr>
                    <w:adjustRightInd w:val="0"/>
                    <w:snapToGrid w:val="0"/>
                    <w:jc w:val="center"/>
                    <w:rPr>
                      <w:bCs/>
                      <w:szCs w:val="21"/>
                    </w:rPr>
                  </w:pPr>
                  <w:r>
                    <w:rPr>
                      <w:bCs/>
                      <w:szCs w:val="21"/>
                    </w:rPr>
                    <w:t>储存量：</w:t>
                  </w:r>
                  <w:r>
                    <w:rPr>
                      <w:rFonts w:hint="eastAsia"/>
                      <w:bCs/>
                      <w:szCs w:val="21"/>
                    </w:rPr>
                    <w:t>+3.03万吨</w:t>
                  </w:r>
                </w:p>
              </w:tc>
              <w:tc>
                <w:tcPr>
                  <w:tcW w:w="1237" w:type="pct"/>
                  <w:vAlign w:val="center"/>
                </w:tcPr>
                <w:p w14:paraId="0F16F3E6">
                  <w:pPr>
                    <w:adjustRightInd w:val="0"/>
                    <w:snapToGrid w:val="0"/>
                    <w:jc w:val="center"/>
                    <w:rPr>
                      <w:bCs/>
                      <w:szCs w:val="21"/>
                    </w:rPr>
                  </w:pPr>
                  <w:r>
                    <w:rPr>
                      <w:rFonts w:hint="eastAsia"/>
                      <w:bCs/>
                      <w:szCs w:val="21"/>
                    </w:rPr>
                    <w:t>总仓容4.68万吨（平房仓1.68万吨，浅圆仓3万吨）</w:t>
                  </w:r>
                </w:p>
              </w:tc>
            </w:tr>
            <w:tr w14:paraId="47985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0" w:type="pct"/>
                  <w:shd w:val="clear" w:color="auto" w:fill="auto"/>
                  <w:vAlign w:val="center"/>
                </w:tcPr>
                <w:p w14:paraId="62F3105C">
                  <w:pPr>
                    <w:adjustRightInd w:val="0"/>
                    <w:snapToGrid w:val="0"/>
                    <w:jc w:val="center"/>
                    <w:rPr>
                      <w:bCs/>
                      <w:szCs w:val="21"/>
                    </w:rPr>
                  </w:pPr>
                  <w:r>
                    <w:rPr>
                      <w:rFonts w:hint="eastAsia"/>
                      <w:bCs/>
                      <w:szCs w:val="21"/>
                    </w:rPr>
                    <w:t>2</w:t>
                  </w:r>
                </w:p>
              </w:tc>
              <w:tc>
                <w:tcPr>
                  <w:tcW w:w="693" w:type="pct"/>
                  <w:shd w:val="clear" w:color="auto" w:fill="auto"/>
                  <w:vAlign w:val="center"/>
                </w:tcPr>
                <w:p w14:paraId="76B5C334">
                  <w:pPr>
                    <w:adjustRightInd w:val="0"/>
                    <w:snapToGrid w:val="0"/>
                    <w:jc w:val="center"/>
                    <w:rPr>
                      <w:bCs/>
                      <w:szCs w:val="21"/>
                    </w:rPr>
                  </w:pPr>
                  <w:r>
                    <w:rPr>
                      <w:bCs/>
                      <w:szCs w:val="21"/>
                    </w:rPr>
                    <w:t>湿稻谷</w:t>
                  </w:r>
                </w:p>
              </w:tc>
              <w:tc>
                <w:tcPr>
                  <w:tcW w:w="924" w:type="pct"/>
                  <w:vAlign w:val="center"/>
                </w:tcPr>
                <w:p w14:paraId="7B750426">
                  <w:pPr>
                    <w:adjustRightInd w:val="0"/>
                    <w:snapToGrid w:val="0"/>
                    <w:jc w:val="center"/>
                    <w:rPr>
                      <w:bCs/>
                      <w:szCs w:val="21"/>
                    </w:rPr>
                  </w:pPr>
                  <w:r>
                    <w:rPr>
                      <w:rFonts w:hint="eastAsia"/>
                      <w:bCs/>
                      <w:szCs w:val="21"/>
                    </w:rPr>
                    <w:t>/</w:t>
                  </w:r>
                </w:p>
              </w:tc>
              <w:tc>
                <w:tcPr>
                  <w:tcW w:w="1002" w:type="pct"/>
                  <w:shd w:val="clear" w:color="auto" w:fill="auto"/>
                  <w:vAlign w:val="center"/>
                </w:tcPr>
                <w:p w14:paraId="02A9BB75">
                  <w:pPr>
                    <w:adjustRightInd w:val="0"/>
                    <w:snapToGrid w:val="0"/>
                    <w:jc w:val="center"/>
                    <w:rPr>
                      <w:bCs/>
                      <w:szCs w:val="21"/>
                    </w:rPr>
                  </w:pPr>
                  <w:r>
                    <w:rPr>
                      <w:bCs/>
                      <w:szCs w:val="21"/>
                    </w:rPr>
                    <w:t>烘干量：</w:t>
                  </w:r>
                  <w:r>
                    <w:rPr>
                      <w:rFonts w:hint="eastAsia"/>
                      <w:bCs/>
                      <w:szCs w:val="21"/>
                    </w:rPr>
                    <w:t>7.5万吨</w:t>
                  </w:r>
                </w:p>
              </w:tc>
              <w:tc>
                <w:tcPr>
                  <w:tcW w:w="694" w:type="pct"/>
                  <w:vAlign w:val="center"/>
                </w:tcPr>
                <w:p w14:paraId="79386561">
                  <w:pPr>
                    <w:adjustRightInd w:val="0"/>
                    <w:snapToGrid w:val="0"/>
                    <w:jc w:val="center"/>
                    <w:rPr>
                      <w:rFonts w:ascii="宋体" w:hAnsi="宋体" w:cs="宋体"/>
                      <w:bCs/>
                      <w:szCs w:val="21"/>
                    </w:rPr>
                  </w:pPr>
                  <w:r>
                    <w:rPr>
                      <w:bCs/>
                      <w:szCs w:val="21"/>
                    </w:rPr>
                    <w:t>烘干量：</w:t>
                  </w:r>
                  <w:r>
                    <w:rPr>
                      <w:rFonts w:hint="eastAsia"/>
                      <w:bCs/>
                      <w:szCs w:val="21"/>
                    </w:rPr>
                    <w:t>+7.5万吨</w:t>
                  </w:r>
                </w:p>
              </w:tc>
              <w:tc>
                <w:tcPr>
                  <w:tcW w:w="1237" w:type="pct"/>
                  <w:vAlign w:val="center"/>
                </w:tcPr>
                <w:p w14:paraId="7CBD5DF4">
                  <w:pPr>
                    <w:adjustRightInd w:val="0"/>
                    <w:snapToGrid w:val="0"/>
                    <w:jc w:val="center"/>
                    <w:rPr>
                      <w:bCs/>
                      <w:szCs w:val="21"/>
                    </w:rPr>
                  </w:pPr>
                  <w:r>
                    <w:rPr>
                      <w:rFonts w:hint="eastAsia" w:ascii="宋体" w:hAnsi="宋体" w:cs="宋体"/>
                      <w:bCs/>
                      <w:szCs w:val="21"/>
                    </w:rPr>
                    <w:t>①</w:t>
                  </w:r>
                  <w:r>
                    <w:rPr>
                      <w:bCs/>
                      <w:szCs w:val="21"/>
                    </w:rPr>
                    <w:t>夏、秋两季各</w:t>
                  </w:r>
                  <w:r>
                    <w:rPr>
                      <w:rFonts w:hint="eastAsia"/>
                      <w:bCs/>
                      <w:szCs w:val="21"/>
                    </w:rPr>
                    <w:t>3.75</w:t>
                  </w:r>
                  <w:r>
                    <w:rPr>
                      <w:bCs/>
                      <w:szCs w:val="21"/>
                    </w:rPr>
                    <w:t>万吨，日烘干量300吨湿稻谷，年烘干时间2</w:t>
                  </w:r>
                  <w:r>
                    <w:rPr>
                      <w:rFonts w:hint="eastAsia"/>
                      <w:bCs/>
                      <w:szCs w:val="21"/>
                    </w:rPr>
                    <w:t>5</w:t>
                  </w:r>
                  <w:r>
                    <w:rPr>
                      <w:bCs/>
                      <w:szCs w:val="21"/>
                    </w:rPr>
                    <w:t>0天，烘干后的稻谷含水率最高不超过13.5%；</w:t>
                  </w:r>
                </w:p>
                <w:p w14:paraId="4092D432">
                  <w:pPr>
                    <w:adjustRightInd w:val="0"/>
                    <w:snapToGrid w:val="0"/>
                    <w:jc w:val="center"/>
                    <w:rPr>
                      <w:bCs/>
                      <w:szCs w:val="21"/>
                    </w:rPr>
                  </w:pPr>
                  <w:r>
                    <w:rPr>
                      <w:rFonts w:hint="eastAsia" w:ascii="宋体" w:hAnsi="宋体" w:cs="宋体"/>
                      <w:bCs/>
                      <w:szCs w:val="21"/>
                    </w:rPr>
                    <w:t>②</w:t>
                  </w:r>
                  <w:r>
                    <w:rPr>
                      <w:bCs/>
                      <w:szCs w:val="21"/>
                    </w:rPr>
                    <w:t>烘干量包含本项目自身烘干业务，也包括对外业务</w:t>
                  </w:r>
                </w:p>
              </w:tc>
            </w:tr>
          </w:tbl>
          <w:p w14:paraId="32FF32C6">
            <w:pPr>
              <w:adjustRightInd w:val="0"/>
              <w:snapToGrid w:val="0"/>
              <w:spacing w:line="360" w:lineRule="auto"/>
              <w:ind w:firstLine="482" w:firstLineChars="200"/>
              <w:rPr>
                <w:b/>
                <w:bCs/>
                <w:sz w:val="24"/>
              </w:rPr>
            </w:pPr>
            <w:r>
              <w:rPr>
                <w:rFonts w:hint="eastAsia"/>
                <w:b/>
                <w:bCs/>
                <w:sz w:val="24"/>
              </w:rPr>
              <w:t>4、</w:t>
            </w:r>
            <w:r>
              <w:rPr>
                <w:b/>
                <w:bCs/>
                <w:sz w:val="24"/>
              </w:rPr>
              <w:t>主要</w:t>
            </w:r>
            <w:r>
              <w:rPr>
                <w:rFonts w:hint="eastAsia"/>
                <w:b/>
                <w:bCs/>
                <w:sz w:val="24"/>
              </w:rPr>
              <w:t>生产</w:t>
            </w:r>
            <w:r>
              <w:rPr>
                <w:b/>
                <w:bCs/>
                <w:sz w:val="24"/>
              </w:rPr>
              <w:t>设备</w:t>
            </w:r>
          </w:p>
          <w:p w14:paraId="1E33679C">
            <w:pPr>
              <w:adjustRightInd w:val="0"/>
              <w:snapToGrid w:val="0"/>
              <w:spacing w:line="360" w:lineRule="auto"/>
              <w:ind w:firstLine="480" w:firstLineChars="200"/>
              <w:rPr>
                <w:sz w:val="24"/>
              </w:rPr>
            </w:pPr>
            <w:r>
              <w:rPr>
                <w:rFonts w:hint="eastAsia"/>
                <w:sz w:val="24"/>
              </w:rPr>
              <w:t>项目主要生产设备详见表2-4。</w:t>
            </w:r>
          </w:p>
          <w:p w14:paraId="2BDA96B3">
            <w:pPr>
              <w:autoSpaceDE w:val="0"/>
              <w:autoSpaceDN w:val="0"/>
              <w:adjustRightInd w:val="0"/>
              <w:spacing w:before="120" w:beforeLines="50"/>
              <w:jc w:val="center"/>
              <w:rPr>
                <w:b/>
                <w:kern w:val="0"/>
                <w:szCs w:val="21"/>
              </w:rPr>
            </w:pPr>
            <w:r>
              <w:rPr>
                <w:b/>
                <w:kern w:val="0"/>
                <w:szCs w:val="21"/>
              </w:rPr>
              <w:t>表2-</w:t>
            </w:r>
            <w:r>
              <w:rPr>
                <w:rFonts w:hint="eastAsia"/>
                <w:b/>
                <w:kern w:val="0"/>
                <w:szCs w:val="21"/>
              </w:rPr>
              <w:t xml:space="preserve">4 </w:t>
            </w:r>
            <w:r>
              <w:rPr>
                <w:b/>
                <w:kern w:val="0"/>
                <w:szCs w:val="21"/>
              </w:rPr>
              <w:t xml:space="preserve"> 主要生产设备一览表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1505"/>
              <w:gridCol w:w="2793"/>
              <w:gridCol w:w="1424"/>
              <w:gridCol w:w="1394"/>
              <w:gridCol w:w="1394"/>
            </w:tblGrid>
            <w:tr w14:paraId="1B3F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23D7B02">
                  <w:pPr>
                    <w:adjustRightInd w:val="0"/>
                    <w:snapToGrid w:val="0"/>
                    <w:jc w:val="center"/>
                    <w:rPr>
                      <w:b/>
                      <w:szCs w:val="21"/>
                    </w:rPr>
                  </w:pPr>
                  <w:r>
                    <w:rPr>
                      <w:b/>
                      <w:szCs w:val="21"/>
                    </w:rPr>
                    <w:t>序号</w:t>
                  </w:r>
                </w:p>
              </w:tc>
              <w:tc>
                <w:tcPr>
                  <w:tcW w:w="825" w:type="pct"/>
                  <w:vAlign w:val="center"/>
                </w:tcPr>
                <w:p w14:paraId="2A2150BA">
                  <w:pPr>
                    <w:adjustRightInd w:val="0"/>
                    <w:snapToGrid w:val="0"/>
                    <w:jc w:val="center"/>
                    <w:rPr>
                      <w:b/>
                      <w:szCs w:val="21"/>
                    </w:rPr>
                  </w:pPr>
                  <w:r>
                    <w:rPr>
                      <w:b/>
                      <w:szCs w:val="21"/>
                    </w:rPr>
                    <w:t>设备类型</w:t>
                  </w:r>
                </w:p>
              </w:tc>
              <w:tc>
                <w:tcPr>
                  <w:tcW w:w="1522" w:type="pct"/>
                  <w:vAlign w:val="center"/>
                </w:tcPr>
                <w:p w14:paraId="70D4EB46">
                  <w:pPr>
                    <w:adjustRightInd w:val="0"/>
                    <w:snapToGrid w:val="0"/>
                    <w:jc w:val="center"/>
                    <w:rPr>
                      <w:b/>
                      <w:szCs w:val="21"/>
                    </w:rPr>
                  </w:pPr>
                  <w:r>
                    <w:rPr>
                      <w:b/>
                      <w:szCs w:val="21"/>
                    </w:rPr>
                    <w:t>设备名称</w:t>
                  </w:r>
                </w:p>
              </w:tc>
              <w:tc>
                <w:tcPr>
                  <w:tcW w:w="718" w:type="pct"/>
                  <w:vAlign w:val="center"/>
                </w:tcPr>
                <w:p w14:paraId="4759A9F0">
                  <w:pPr>
                    <w:adjustRightInd w:val="0"/>
                    <w:snapToGrid w:val="0"/>
                    <w:jc w:val="center"/>
                    <w:rPr>
                      <w:b/>
                      <w:szCs w:val="21"/>
                    </w:rPr>
                  </w:pPr>
                  <w:r>
                    <w:rPr>
                      <w:b/>
                      <w:bCs/>
                      <w:szCs w:val="21"/>
                    </w:rPr>
                    <w:t>规格型号</w:t>
                  </w:r>
                </w:p>
              </w:tc>
              <w:tc>
                <w:tcPr>
                  <w:tcW w:w="765" w:type="pct"/>
                  <w:vAlign w:val="center"/>
                </w:tcPr>
                <w:p w14:paraId="650D595E">
                  <w:pPr>
                    <w:adjustRightInd w:val="0"/>
                    <w:snapToGrid w:val="0"/>
                    <w:jc w:val="center"/>
                    <w:rPr>
                      <w:b/>
                      <w:szCs w:val="21"/>
                    </w:rPr>
                  </w:pPr>
                  <w:r>
                    <w:rPr>
                      <w:b/>
                      <w:szCs w:val="21"/>
                    </w:rPr>
                    <w:t>数量</w:t>
                  </w:r>
                </w:p>
              </w:tc>
              <w:tc>
                <w:tcPr>
                  <w:tcW w:w="765" w:type="pct"/>
                  <w:vAlign w:val="center"/>
                </w:tcPr>
                <w:p w14:paraId="69049AC8">
                  <w:pPr>
                    <w:adjustRightInd w:val="0"/>
                    <w:snapToGrid w:val="0"/>
                    <w:jc w:val="center"/>
                    <w:rPr>
                      <w:b/>
                      <w:szCs w:val="21"/>
                    </w:rPr>
                  </w:pPr>
                  <w:r>
                    <w:rPr>
                      <w:rFonts w:hint="eastAsia"/>
                      <w:b/>
                      <w:szCs w:val="21"/>
                    </w:rPr>
                    <w:t>备注</w:t>
                  </w:r>
                </w:p>
              </w:tc>
            </w:tr>
            <w:tr w14:paraId="54759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DD946A0">
                  <w:pPr>
                    <w:adjustRightInd w:val="0"/>
                    <w:snapToGrid w:val="0"/>
                    <w:jc w:val="center"/>
                    <w:rPr>
                      <w:szCs w:val="21"/>
                    </w:rPr>
                  </w:pPr>
                  <w:r>
                    <w:rPr>
                      <w:szCs w:val="21"/>
                    </w:rPr>
                    <w:t>1</w:t>
                  </w:r>
                </w:p>
              </w:tc>
              <w:tc>
                <w:tcPr>
                  <w:tcW w:w="825" w:type="pct"/>
                  <w:vMerge w:val="restart"/>
                  <w:vAlign w:val="center"/>
                </w:tcPr>
                <w:p w14:paraId="3FFAE743">
                  <w:pPr>
                    <w:widowControl/>
                    <w:jc w:val="center"/>
                    <w:rPr>
                      <w:kern w:val="0"/>
                      <w:szCs w:val="21"/>
                    </w:rPr>
                  </w:pPr>
                  <w:r>
                    <w:rPr>
                      <w:rFonts w:hint="eastAsia"/>
                      <w:kern w:val="0"/>
                      <w:szCs w:val="21"/>
                    </w:rPr>
                    <w:t>平房仓储设备</w:t>
                  </w:r>
                </w:p>
              </w:tc>
              <w:tc>
                <w:tcPr>
                  <w:tcW w:w="1522" w:type="pct"/>
                  <w:vAlign w:val="center"/>
                </w:tcPr>
                <w:p w14:paraId="519A9773">
                  <w:pPr>
                    <w:widowControl/>
                    <w:jc w:val="center"/>
                    <w:rPr>
                      <w:kern w:val="0"/>
                      <w:szCs w:val="21"/>
                    </w:rPr>
                  </w:pPr>
                  <w:r>
                    <w:rPr>
                      <w:rFonts w:hint="eastAsia"/>
                      <w:kern w:val="0"/>
                      <w:szCs w:val="21"/>
                    </w:rPr>
                    <w:t>移动式汽车散粮接料机</w:t>
                  </w:r>
                </w:p>
              </w:tc>
              <w:tc>
                <w:tcPr>
                  <w:tcW w:w="718" w:type="pct"/>
                  <w:vAlign w:val="center"/>
                </w:tcPr>
                <w:p w14:paraId="0F224289">
                  <w:pPr>
                    <w:widowControl/>
                    <w:jc w:val="center"/>
                    <w:rPr>
                      <w:rFonts w:hAnsi="宋体"/>
                      <w:kern w:val="0"/>
                      <w:szCs w:val="21"/>
                    </w:rPr>
                  </w:pPr>
                </w:p>
              </w:tc>
              <w:tc>
                <w:tcPr>
                  <w:tcW w:w="765" w:type="pct"/>
                  <w:vAlign w:val="center"/>
                </w:tcPr>
                <w:p w14:paraId="5C6E88E9">
                  <w:pPr>
                    <w:widowControl/>
                    <w:jc w:val="center"/>
                    <w:rPr>
                      <w:kern w:val="0"/>
                      <w:szCs w:val="21"/>
                    </w:rPr>
                  </w:pPr>
                  <w:bookmarkStart w:id="31" w:name="OLE_LINK31"/>
                  <w:bookmarkStart w:id="32" w:name="OLE_LINK27"/>
                  <w:r>
                    <w:rPr>
                      <w:rFonts w:hint="eastAsia"/>
                      <w:kern w:val="0"/>
                      <w:szCs w:val="21"/>
                    </w:rPr>
                    <w:t>1台</w:t>
                  </w:r>
                  <w:bookmarkEnd w:id="31"/>
                  <w:bookmarkEnd w:id="32"/>
                </w:p>
              </w:tc>
              <w:tc>
                <w:tcPr>
                  <w:tcW w:w="765" w:type="pct"/>
                  <w:vAlign w:val="center"/>
                </w:tcPr>
                <w:p w14:paraId="0BA1A97E">
                  <w:pPr>
                    <w:adjustRightInd w:val="0"/>
                    <w:snapToGrid w:val="0"/>
                    <w:jc w:val="center"/>
                    <w:rPr>
                      <w:kern w:val="0"/>
                      <w:szCs w:val="21"/>
                    </w:rPr>
                  </w:pPr>
                  <w:r>
                    <w:rPr>
                      <w:rFonts w:hint="eastAsia"/>
                      <w:kern w:val="0"/>
                      <w:szCs w:val="21"/>
                    </w:rPr>
                    <w:t>依托现有</w:t>
                  </w:r>
                </w:p>
              </w:tc>
            </w:tr>
            <w:tr w14:paraId="3448AA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F6B197C">
                  <w:pPr>
                    <w:adjustRightInd w:val="0"/>
                    <w:snapToGrid w:val="0"/>
                    <w:jc w:val="center"/>
                    <w:rPr>
                      <w:szCs w:val="21"/>
                    </w:rPr>
                  </w:pPr>
                  <w:r>
                    <w:rPr>
                      <w:szCs w:val="21"/>
                    </w:rPr>
                    <w:t>2</w:t>
                  </w:r>
                </w:p>
              </w:tc>
              <w:tc>
                <w:tcPr>
                  <w:tcW w:w="825" w:type="pct"/>
                  <w:vMerge w:val="continue"/>
                  <w:vAlign w:val="center"/>
                </w:tcPr>
                <w:p w14:paraId="3EF90AF6">
                  <w:pPr>
                    <w:widowControl/>
                    <w:jc w:val="center"/>
                    <w:rPr>
                      <w:kern w:val="0"/>
                      <w:szCs w:val="21"/>
                    </w:rPr>
                  </w:pPr>
                </w:p>
              </w:tc>
              <w:tc>
                <w:tcPr>
                  <w:tcW w:w="1522" w:type="pct"/>
                  <w:vAlign w:val="center"/>
                </w:tcPr>
                <w:p w14:paraId="6EF7E43C">
                  <w:pPr>
                    <w:widowControl/>
                    <w:jc w:val="center"/>
                    <w:rPr>
                      <w:kern w:val="0"/>
                      <w:szCs w:val="21"/>
                    </w:rPr>
                  </w:pPr>
                  <w:r>
                    <w:rPr>
                      <w:rFonts w:hint="eastAsia"/>
                      <w:kern w:val="0"/>
                      <w:szCs w:val="21"/>
                    </w:rPr>
                    <w:t>移动式包散两用登高输送机</w:t>
                  </w:r>
                </w:p>
              </w:tc>
              <w:tc>
                <w:tcPr>
                  <w:tcW w:w="718" w:type="pct"/>
                  <w:vAlign w:val="center"/>
                </w:tcPr>
                <w:p w14:paraId="2960181D">
                  <w:pPr>
                    <w:widowControl/>
                    <w:jc w:val="center"/>
                    <w:rPr>
                      <w:rFonts w:hAnsi="宋体"/>
                      <w:kern w:val="0"/>
                      <w:szCs w:val="21"/>
                    </w:rPr>
                  </w:pPr>
                </w:p>
              </w:tc>
              <w:tc>
                <w:tcPr>
                  <w:tcW w:w="765" w:type="pct"/>
                  <w:vAlign w:val="center"/>
                </w:tcPr>
                <w:p w14:paraId="77EA7FEA">
                  <w:pPr>
                    <w:widowControl/>
                    <w:jc w:val="center"/>
                    <w:rPr>
                      <w:kern w:val="0"/>
                      <w:szCs w:val="21"/>
                    </w:rPr>
                  </w:pPr>
                  <w:r>
                    <w:rPr>
                      <w:rFonts w:hint="eastAsia"/>
                      <w:kern w:val="0"/>
                      <w:szCs w:val="21"/>
                    </w:rPr>
                    <w:t>2台</w:t>
                  </w:r>
                </w:p>
              </w:tc>
              <w:tc>
                <w:tcPr>
                  <w:tcW w:w="765" w:type="pct"/>
                  <w:vAlign w:val="center"/>
                </w:tcPr>
                <w:p w14:paraId="3666B3DC">
                  <w:pPr>
                    <w:adjustRightInd w:val="0"/>
                    <w:snapToGrid w:val="0"/>
                    <w:jc w:val="center"/>
                    <w:rPr>
                      <w:kern w:val="0"/>
                      <w:szCs w:val="21"/>
                    </w:rPr>
                  </w:pPr>
                  <w:r>
                    <w:rPr>
                      <w:rFonts w:hint="eastAsia"/>
                      <w:kern w:val="0"/>
                      <w:szCs w:val="21"/>
                    </w:rPr>
                    <w:t>依托现有</w:t>
                  </w:r>
                </w:p>
              </w:tc>
            </w:tr>
            <w:tr w14:paraId="2B7F1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346ADDFF">
                  <w:pPr>
                    <w:adjustRightInd w:val="0"/>
                    <w:snapToGrid w:val="0"/>
                    <w:jc w:val="center"/>
                    <w:rPr>
                      <w:szCs w:val="21"/>
                    </w:rPr>
                  </w:pPr>
                  <w:r>
                    <w:rPr>
                      <w:szCs w:val="21"/>
                    </w:rPr>
                    <w:t>3</w:t>
                  </w:r>
                </w:p>
              </w:tc>
              <w:tc>
                <w:tcPr>
                  <w:tcW w:w="825" w:type="pct"/>
                  <w:vMerge w:val="continue"/>
                  <w:vAlign w:val="center"/>
                </w:tcPr>
                <w:p w14:paraId="3FA404DB">
                  <w:pPr>
                    <w:adjustRightInd w:val="0"/>
                    <w:snapToGrid w:val="0"/>
                    <w:jc w:val="center"/>
                    <w:rPr>
                      <w:szCs w:val="21"/>
                    </w:rPr>
                  </w:pPr>
                </w:p>
              </w:tc>
              <w:tc>
                <w:tcPr>
                  <w:tcW w:w="1522" w:type="pct"/>
                  <w:vAlign w:val="center"/>
                </w:tcPr>
                <w:p w14:paraId="50137083">
                  <w:pPr>
                    <w:adjustRightInd w:val="0"/>
                    <w:snapToGrid w:val="0"/>
                    <w:jc w:val="center"/>
                    <w:rPr>
                      <w:szCs w:val="21"/>
                    </w:rPr>
                  </w:pPr>
                  <w:r>
                    <w:rPr>
                      <w:rFonts w:hint="eastAsia"/>
                      <w:szCs w:val="21"/>
                    </w:rPr>
                    <w:t>移动式登高伸缩输送机</w:t>
                  </w:r>
                </w:p>
              </w:tc>
              <w:tc>
                <w:tcPr>
                  <w:tcW w:w="718" w:type="pct"/>
                  <w:vAlign w:val="center"/>
                </w:tcPr>
                <w:p w14:paraId="57006734">
                  <w:pPr>
                    <w:adjustRightInd w:val="0"/>
                    <w:snapToGrid w:val="0"/>
                    <w:jc w:val="center"/>
                    <w:rPr>
                      <w:szCs w:val="21"/>
                    </w:rPr>
                  </w:pPr>
                </w:p>
              </w:tc>
              <w:tc>
                <w:tcPr>
                  <w:tcW w:w="765" w:type="pct"/>
                  <w:vAlign w:val="center"/>
                </w:tcPr>
                <w:p w14:paraId="677CD214">
                  <w:pPr>
                    <w:adjustRightInd w:val="0"/>
                    <w:snapToGrid w:val="0"/>
                    <w:jc w:val="center"/>
                    <w:rPr>
                      <w:szCs w:val="21"/>
                    </w:rPr>
                  </w:pPr>
                  <w:r>
                    <w:rPr>
                      <w:rFonts w:hint="eastAsia"/>
                      <w:kern w:val="0"/>
                      <w:szCs w:val="21"/>
                    </w:rPr>
                    <w:t>2台</w:t>
                  </w:r>
                </w:p>
              </w:tc>
              <w:tc>
                <w:tcPr>
                  <w:tcW w:w="765" w:type="pct"/>
                  <w:vAlign w:val="center"/>
                </w:tcPr>
                <w:p w14:paraId="6B7B56F1">
                  <w:pPr>
                    <w:adjustRightInd w:val="0"/>
                    <w:snapToGrid w:val="0"/>
                    <w:jc w:val="center"/>
                    <w:rPr>
                      <w:kern w:val="0"/>
                      <w:szCs w:val="21"/>
                    </w:rPr>
                  </w:pPr>
                  <w:r>
                    <w:rPr>
                      <w:rFonts w:hint="eastAsia"/>
                      <w:kern w:val="0"/>
                      <w:szCs w:val="21"/>
                    </w:rPr>
                    <w:t>依托现有</w:t>
                  </w:r>
                </w:p>
              </w:tc>
            </w:tr>
            <w:tr w14:paraId="77ECE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2FF5C73">
                  <w:pPr>
                    <w:adjustRightInd w:val="0"/>
                    <w:snapToGrid w:val="0"/>
                    <w:jc w:val="center"/>
                    <w:rPr>
                      <w:szCs w:val="21"/>
                    </w:rPr>
                  </w:pPr>
                  <w:r>
                    <w:rPr>
                      <w:szCs w:val="21"/>
                    </w:rPr>
                    <w:t>4</w:t>
                  </w:r>
                </w:p>
              </w:tc>
              <w:tc>
                <w:tcPr>
                  <w:tcW w:w="825" w:type="pct"/>
                  <w:vMerge w:val="continue"/>
                  <w:vAlign w:val="center"/>
                </w:tcPr>
                <w:p w14:paraId="2ABB35C9">
                  <w:pPr>
                    <w:adjustRightInd w:val="0"/>
                    <w:snapToGrid w:val="0"/>
                    <w:jc w:val="center"/>
                    <w:rPr>
                      <w:szCs w:val="21"/>
                    </w:rPr>
                  </w:pPr>
                </w:p>
              </w:tc>
              <w:tc>
                <w:tcPr>
                  <w:tcW w:w="1522" w:type="pct"/>
                  <w:vAlign w:val="center"/>
                </w:tcPr>
                <w:p w14:paraId="592B7E49">
                  <w:pPr>
                    <w:adjustRightInd w:val="0"/>
                    <w:snapToGrid w:val="0"/>
                    <w:jc w:val="center"/>
                    <w:rPr>
                      <w:szCs w:val="21"/>
                    </w:rPr>
                  </w:pPr>
                  <w:r>
                    <w:rPr>
                      <w:rFonts w:hint="eastAsia"/>
                      <w:szCs w:val="21"/>
                    </w:rPr>
                    <w:t>移动式转向输送机</w:t>
                  </w:r>
                </w:p>
              </w:tc>
              <w:tc>
                <w:tcPr>
                  <w:tcW w:w="718" w:type="pct"/>
                  <w:vAlign w:val="center"/>
                </w:tcPr>
                <w:p w14:paraId="0788F1F0">
                  <w:pPr>
                    <w:adjustRightInd w:val="0"/>
                    <w:snapToGrid w:val="0"/>
                    <w:jc w:val="center"/>
                    <w:rPr>
                      <w:szCs w:val="21"/>
                    </w:rPr>
                  </w:pPr>
                </w:p>
              </w:tc>
              <w:tc>
                <w:tcPr>
                  <w:tcW w:w="765" w:type="pct"/>
                  <w:vAlign w:val="center"/>
                </w:tcPr>
                <w:p w14:paraId="39738ECD">
                  <w:pPr>
                    <w:adjustRightInd w:val="0"/>
                    <w:snapToGrid w:val="0"/>
                    <w:jc w:val="center"/>
                    <w:rPr>
                      <w:szCs w:val="21"/>
                    </w:rPr>
                  </w:pPr>
                  <w:r>
                    <w:rPr>
                      <w:rFonts w:hint="eastAsia"/>
                      <w:kern w:val="0"/>
                      <w:szCs w:val="21"/>
                    </w:rPr>
                    <w:t>2台</w:t>
                  </w:r>
                </w:p>
              </w:tc>
              <w:tc>
                <w:tcPr>
                  <w:tcW w:w="765" w:type="pct"/>
                  <w:vAlign w:val="center"/>
                </w:tcPr>
                <w:p w14:paraId="7EEE3173">
                  <w:pPr>
                    <w:adjustRightInd w:val="0"/>
                    <w:snapToGrid w:val="0"/>
                    <w:jc w:val="center"/>
                    <w:rPr>
                      <w:kern w:val="0"/>
                      <w:szCs w:val="21"/>
                    </w:rPr>
                  </w:pPr>
                  <w:r>
                    <w:rPr>
                      <w:rFonts w:hint="eastAsia"/>
                      <w:kern w:val="0"/>
                      <w:szCs w:val="21"/>
                    </w:rPr>
                    <w:t>依托现有</w:t>
                  </w:r>
                </w:p>
              </w:tc>
            </w:tr>
            <w:tr w14:paraId="5779F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0366CF4E">
                  <w:pPr>
                    <w:adjustRightInd w:val="0"/>
                    <w:snapToGrid w:val="0"/>
                    <w:jc w:val="center"/>
                    <w:rPr>
                      <w:szCs w:val="21"/>
                    </w:rPr>
                  </w:pPr>
                  <w:r>
                    <w:rPr>
                      <w:szCs w:val="21"/>
                    </w:rPr>
                    <w:t>5</w:t>
                  </w:r>
                </w:p>
              </w:tc>
              <w:tc>
                <w:tcPr>
                  <w:tcW w:w="825" w:type="pct"/>
                  <w:vMerge w:val="continue"/>
                  <w:vAlign w:val="center"/>
                </w:tcPr>
                <w:p w14:paraId="294D2E6C">
                  <w:pPr>
                    <w:adjustRightInd w:val="0"/>
                    <w:snapToGrid w:val="0"/>
                    <w:jc w:val="center"/>
                    <w:rPr>
                      <w:szCs w:val="21"/>
                    </w:rPr>
                  </w:pPr>
                </w:p>
              </w:tc>
              <w:tc>
                <w:tcPr>
                  <w:tcW w:w="1522" w:type="pct"/>
                  <w:vAlign w:val="center"/>
                </w:tcPr>
                <w:p w14:paraId="53769A8D">
                  <w:pPr>
                    <w:adjustRightInd w:val="0"/>
                    <w:snapToGrid w:val="0"/>
                    <w:jc w:val="center"/>
                    <w:rPr>
                      <w:szCs w:val="21"/>
                    </w:rPr>
                  </w:pPr>
                  <w:r>
                    <w:rPr>
                      <w:rFonts w:hint="eastAsia"/>
                      <w:szCs w:val="21"/>
                    </w:rPr>
                    <w:t>移动式液压装仓机</w:t>
                  </w:r>
                </w:p>
              </w:tc>
              <w:tc>
                <w:tcPr>
                  <w:tcW w:w="718" w:type="pct"/>
                  <w:vAlign w:val="center"/>
                </w:tcPr>
                <w:p w14:paraId="38F37675">
                  <w:pPr>
                    <w:adjustRightInd w:val="0"/>
                    <w:snapToGrid w:val="0"/>
                    <w:jc w:val="center"/>
                    <w:rPr>
                      <w:szCs w:val="21"/>
                    </w:rPr>
                  </w:pPr>
                  <w:r>
                    <w:rPr>
                      <w:rFonts w:hint="eastAsia"/>
                      <w:szCs w:val="21"/>
                    </w:rPr>
                    <w:t>YL-550</w:t>
                  </w:r>
                </w:p>
              </w:tc>
              <w:tc>
                <w:tcPr>
                  <w:tcW w:w="765" w:type="pct"/>
                  <w:vAlign w:val="center"/>
                </w:tcPr>
                <w:p w14:paraId="1A90390D">
                  <w:pPr>
                    <w:adjustRightInd w:val="0"/>
                    <w:snapToGrid w:val="0"/>
                    <w:jc w:val="center"/>
                    <w:rPr>
                      <w:kern w:val="0"/>
                      <w:szCs w:val="21"/>
                    </w:rPr>
                  </w:pPr>
                  <w:r>
                    <w:rPr>
                      <w:rFonts w:hint="eastAsia"/>
                      <w:kern w:val="0"/>
                      <w:szCs w:val="21"/>
                    </w:rPr>
                    <w:t>1台</w:t>
                  </w:r>
                </w:p>
              </w:tc>
              <w:tc>
                <w:tcPr>
                  <w:tcW w:w="765" w:type="pct"/>
                  <w:vAlign w:val="center"/>
                </w:tcPr>
                <w:p w14:paraId="00522631">
                  <w:pPr>
                    <w:adjustRightInd w:val="0"/>
                    <w:snapToGrid w:val="0"/>
                    <w:jc w:val="center"/>
                    <w:rPr>
                      <w:kern w:val="0"/>
                      <w:szCs w:val="21"/>
                    </w:rPr>
                  </w:pPr>
                  <w:r>
                    <w:rPr>
                      <w:rFonts w:hint="eastAsia"/>
                      <w:kern w:val="0"/>
                      <w:szCs w:val="21"/>
                    </w:rPr>
                    <w:t>依托现有</w:t>
                  </w:r>
                </w:p>
              </w:tc>
            </w:tr>
            <w:tr w14:paraId="57EF7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BF80F14">
                  <w:pPr>
                    <w:adjustRightInd w:val="0"/>
                    <w:snapToGrid w:val="0"/>
                    <w:jc w:val="center"/>
                    <w:rPr>
                      <w:szCs w:val="21"/>
                    </w:rPr>
                  </w:pPr>
                  <w:bookmarkStart w:id="33" w:name="_Hlk226306238"/>
                  <w:r>
                    <w:rPr>
                      <w:szCs w:val="21"/>
                    </w:rPr>
                    <w:t>6</w:t>
                  </w:r>
                </w:p>
              </w:tc>
              <w:tc>
                <w:tcPr>
                  <w:tcW w:w="825" w:type="pct"/>
                  <w:vMerge w:val="continue"/>
                  <w:vAlign w:val="center"/>
                </w:tcPr>
                <w:p w14:paraId="6F9B3DC2">
                  <w:pPr>
                    <w:adjustRightInd w:val="0"/>
                    <w:snapToGrid w:val="0"/>
                    <w:jc w:val="center"/>
                    <w:rPr>
                      <w:szCs w:val="21"/>
                    </w:rPr>
                  </w:pPr>
                </w:p>
              </w:tc>
              <w:tc>
                <w:tcPr>
                  <w:tcW w:w="1522" w:type="pct"/>
                  <w:vAlign w:val="center"/>
                </w:tcPr>
                <w:p w14:paraId="28D5A0D7">
                  <w:pPr>
                    <w:adjustRightInd w:val="0"/>
                    <w:snapToGrid w:val="0"/>
                    <w:jc w:val="center"/>
                    <w:rPr>
                      <w:szCs w:val="21"/>
                    </w:rPr>
                  </w:pPr>
                  <w:r>
                    <w:rPr>
                      <w:rFonts w:hint="eastAsia"/>
                      <w:szCs w:val="21"/>
                    </w:rPr>
                    <w:t>多功能振动筛</w:t>
                  </w:r>
                </w:p>
              </w:tc>
              <w:tc>
                <w:tcPr>
                  <w:tcW w:w="718" w:type="pct"/>
                  <w:vAlign w:val="center"/>
                </w:tcPr>
                <w:p w14:paraId="79C65892">
                  <w:pPr>
                    <w:adjustRightInd w:val="0"/>
                    <w:snapToGrid w:val="0"/>
                    <w:jc w:val="center"/>
                    <w:rPr>
                      <w:szCs w:val="21"/>
                    </w:rPr>
                  </w:pPr>
                  <w:r>
                    <w:rPr>
                      <w:rFonts w:hint="eastAsia"/>
                      <w:szCs w:val="21"/>
                    </w:rPr>
                    <w:t>TQLZa2.4×2</w:t>
                  </w:r>
                </w:p>
              </w:tc>
              <w:tc>
                <w:tcPr>
                  <w:tcW w:w="765" w:type="pct"/>
                  <w:vAlign w:val="center"/>
                </w:tcPr>
                <w:p w14:paraId="056E594B">
                  <w:pPr>
                    <w:adjustRightInd w:val="0"/>
                    <w:snapToGrid w:val="0"/>
                    <w:jc w:val="center"/>
                    <w:rPr>
                      <w:szCs w:val="21"/>
                    </w:rPr>
                  </w:pPr>
                  <w:r>
                    <w:rPr>
                      <w:rFonts w:hint="eastAsia"/>
                      <w:kern w:val="0"/>
                      <w:szCs w:val="21"/>
                    </w:rPr>
                    <w:t>1台</w:t>
                  </w:r>
                </w:p>
              </w:tc>
              <w:tc>
                <w:tcPr>
                  <w:tcW w:w="765" w:type="pct"/>
                  <w:vAlign w:val="center"/>
                </w:tcPr>
                <w:p w14:paraId="3339A9B3">
                  <w:pPr>
                    <w:adjustRightInd w:val="0"/>
                    <w:snapToGrid w:val="0"/>
                    <w:jc w:val="center"/>
                    <w:rPr>
                      <w:kern w:val="0"/>
                      <w:szCs w:val="21"/>
                    </w:rPr>
                  </w:pPr>
                  <w:r>
                    <w:rPr>
                      <w:rFonts w:hint="eastAsia"/>
                      <w:kern w:val="0"/>
                      <w:szCs w:val="21"/>
                    </w:rPr>
                    <w:t>依托现有</w:t>
                  </w:r>
                </w:p>
              </w:tc>
            </w:tr>
            <w:tr w14:paraId="37BBB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209F2EF">
                  <w:pPr>
                    <w:adjustRightInd w:val="0"/>
                    <w:snapToGrid w:val="0"/>
                    <w:jc w:val="center"/>
                    <w:rPr>
                      <w:szCs w:val="21"/>
                    </w:rPr>
                  </w:pPr>
                  <w:r>
                    <w:rPr>
                      <w:szCs w:val="21"/>
                    </w:rPr>
                    <w:t>7</w:t>
                  </w:r>
                </w:p>
              </w:tc>
              <w:tc>
                <w:tcPr>
                  <w:tcW w:w="825" w:type="pct"/>
                  <w:vMerge w:val="continue"/>
                  <w:vAlign w:val="center"/>
                </w:tcPr>
                <w:p w14:paraId="1C74BA64">
                  <w:pPr>
                    <w:adjustRightInd w:val="0"/>
                    <w:snapToGrid w:val="0"/>
                    <w:jc w:val="center"/>
                    <w:rPr>
                      <w:szCs w:val="21"/>
                    </w:rPr>
                  </w:pPr>
                </w:p>
              </w:tc>
              <w:tc>
                <w:tcPr>
                  <w:tcW w:w="1522" w:type="pct"/>
                  <w:vAlign w:val="center"/>
                </w:tcPr>
                <w:p w14:paraId="2BD7FE70">
                  <w:pPr>
                    <w:adjustRightInd w:val="0"/>
                    <w:snapToGrid w:val="0"/>
                    <w:jc w:val="center"/>
                    <w:rPr>
                      <w:szCs w:val="21"/>
                    </w:rPr>
                  </w:pPr>
                  <w:r>
                    <w:rPr>
                      <w:szCs w:val="21"/>
                    </w:rPr>
                    <w:t>移动式扒谷灌包机</w:t>
                  </w:r>
                </w:p>
              </w:tc>
              <w:tc>
                <w:tcPr>
                  <w:tcW w:w="718" w:type="pct"/>
                  <w:vAlign w:val="center"/>
                </w:tcPr>
                <w:p w14:paraId="22EFCBB8">
                  <w:pPr>
                    <w:adjustRightInd w:val="0"/>
                    <w:snapToGrid w:val="0"/>
                    <w:jc w:val="center"/>
                    <w:rPr>
                      <w:szCs w:val="21"/>
                    </w:rPr>
                  </w:pPr>
                </w:p>
              </w:tc>
              <w:tc>
                <w:tcPr>
                  <w:tcW w:w="765" w:type="pct"/>
                  <w:vAlign w:val="center"/>
                </w:tcPr>
                <w:p w14:paraId="3DBF5CF2">
                  <w:pPr>
                    <w:adjustRightInd w:val="0"/>
                    <w:snapToGrid w:val="0"/>
                    <w:jc w:val="center"/>
                    <w:rPr>
                      <w:szCs w:val="21"/>
                    </w:rPr>
                  </w:pPr>
                  <w:r>
                    <w:rPr>
                      <w:rFonts w:hint="eastAsia"/>
                      <w:kern w:val="0"/>
                      <w:szCs w:val="21"/>
                    </w:rPr>
                    <w:t>1台</w:t>
                  </w:r>
                </w:p>
              </w:tc>
              <w:tc>
                <w:tcPr>
                  <w:tcW w:w="765" w:type="pct"/>
                  <w:vAlign w:val="center"/>
                </w:tcPr>
                <w:p w14:paraId="6D89CAA4">
                  <w:pPr>
                    <w:adjustRightInd w:val="0"/>
                    <w:snapToGrid w:val="0"/>
                    <w:jc w:val="center"/>
                    <w:rPr>
                      <w:kern w:val="0"/>
                      <w:szCs w:val="21"/>
                    </w:rPr>
                  </w:pPr>
                  <w:r>
                    <w:rPr>
                      <w:rFonts w:hint="eastAsia"/>
                      <w:kern w:val="0"/>
                      <w:szCs w:val="21"/>
                    </w:rPr>
                    <w:t>依托现有</w:t>
                  </w:r>
                </w:p>
              </w:tc>
            </w:tr>
            <w:tr w14:paraId="2566F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58C1801F">
                  <w:pPr>
                    <w:adjustRightInd w:val="0"/>
                    <w:snapToGrid w:val="0"/>
                    <w:jc w:val="center"/>
                    <w:rPr>
                      <w:szCs w:val="21"/>
                    </w:rPr>
                  </w:pPr>
                  <w:r>
                    <w:rPr>
                      <w:rFonts w:hint="eastAsia"/>
                      <w:szCs w:val="21"/>
                    </w:rPr>
                    <w:t>8</w:t>
                  </w:r>
                </w:p>
              </w:tc>
              <w:tc>
                <w:tcPr>
                  <w:tcW w:w="825" w:type="pct"/>
                  <w:vMerge w:val="continue"/>
                  <w:vAlign w:val="center"/>
                </w:tcPr>
                <w:p w14:paraId="786BFBA2">
                  <w:pPr>
                    <w:adjustRightInd w:val="0"/>
                    <w:snapToGrid w:val="0"/>
                    <w:jc w:val="center"/>
                    <w:rPr>
                      <w:szCs w:val="21"/>
                    </w:rPr>
                  </w:pPr>
                </w:p>
              </w:tc>
              <w:tc>
                <w:tcPr>
                  <w:tcW w:w="1522" w:type="pct"/>
                  <w:vAlign w:val="center"/>
                </w:tcPr>
                <w:p w14:paraId="3FEC3159">
                  <w:pPr>
                    <w:adjustRightInd w:val="0"/>
                    <w:snapToGrid w:val="0"/>
                    <w:jc w:val="center"/>
                    <w:rPr>
                      <w:szCs w:val="21"/>
                    </w:rPr>
                  </w:pPr>
                  <w:r>
                    <w:rPr>
                      <w:szCs w:val="21"/>
                    </w:rPr>
                    <w:t>移动式清理筛</w:t>
                  </w:r>
                </w:p>
              </w:tc>
              <w:tc>
                <w:tcPr>
                  <w:tcW w:w="718" w:type="pct"/>
                  <w:vAlign w:val="center"/>
                </w:tcPr>
                <w:p w14:paraId="26BF8425">
                  <w:pPr>
                    <w:adjustRightInd w:val="0"/>
                    <w:snapToGrid w:val="0"/>
                    <w:jc w:val="center"/>
                    <w:rPr>
                      <w:szCs w:val="21"/>
                    </w:rPr>
                  </w:pPr>
                </w:p>
              </w:tc>
              <w:tc>
                <w:tcPr>
                  <w:tcW w:w="765" w:type="pct"/>
                  <w:vAlign w:val="center"/>
                </w:tcPr>
                <w:p w14:paraId="74B8ADD5">
                  <w:pPr>
                    <w:adjustRightInd w:val="0"/>
                    <w:snapToGrid w:val="0"/>
                    <w:jc w:val="center"/>
                    <w:rPr>
                      <w:kern w:val="0"/>
                      <w:szCs w:val="21"/>
                    </w:rPr>
                  </w:pPr>
                  <w:r>
                    <w:rPr>
                      <w:rFonts w:hint="eastAsia"/>
                      <w:kern w:val="0"/>
                      <w:szCs w:val="21"/>
                    </w:rPr>
                    <w:t>1台</w:t>
                  </w:r>
                </w:p>
              </w:tc>
              <w:tc>
                <w:tcPr>
                  <w:tcW w:w="765" w:type="pct"/>
                  <w:vAlign w:val="center"/>
                </w:tcPr>
                <w:p w14:paraId="5018C691">
                  <w:pPr>
                    <w:adjustRightInd w:val="0"/>
                    <w:snapToGrid w:val="0"/>
                    <w:jc w:val="center"/>
                    <w:rPr>
                      <w:kern w:val="0"/>
                      <w:szCs w:val="21"/>
                    </w:rPr>
                  </w:pPr>
                  <w:r>
                    <w:rPr>
                      <w:rFonts w:hint="eastAsia"/>
                      <w:kern w:val="0"/>
                      <w:szCs w:val="21"/>
                    </w:rPr>
                    <w:t>依托现有</w:t>
                  </w:r>
                </w:p>
              </w:tc>
            </w:tr>
            <w:bookmarkEnd w:id="33"/>
            <w:tr w14:paraId="1B6C9B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E14090B">
                  <w:pPr>
                    <w:adjustRightInd w:val="0"/>
                    <w:snapToGrid w:val="0"/>
                    <w:jc w:val="center"/>
                    <w:rPr>
                      <w:szCs w:val="21"/>
                    </w:rPr>
                  </w:pPr>
                  <w:r>
                    <w:rPr>
                      <w:rFonts w:hint="eastAsia"/>
                      <w:szCs w:val="21"/>
                    </w:rPr>
                    <w:t>9</w:t>
                  </w:r>
                </w:p>
              </w:tc>
              <w:tc>
                <w:tcPr>
                  <w:tcW w:w="825" w:type="pct"/>
                  <w:vMerge w:val="continue"/>
                  <w:vAlign w:val="center"/>
                </w:tcPr>
                <w:p w14:paraId="55B41B7C">
                  <w:pPr>
                    <w:adjustRightInd w:val="0"/>
                    <w:snapToGrid w:val="0"/>
                    <w:jc w:val="center"/>
                    <w:rPr>
                      <w:szCs w:val="21"/>
                    </w:rPr>
                  </w:pPr>
                </w:p>
              </w:tc>
              <w:tc>
                <w:tcPr>
                  <w:tcW w:w="1522" w:type="pct"/>
                  <w:vAlign w:val="center"/>
                </w:tcPr>
                <w:p w14:paraId="15360B95">
                  <w:pPr>
                    <w:adjustRightInd w:val="0"/>
                    <w:snapToGrid w:val="0"/>
                    <w:jc w:val="center"/>
                    <w:rPr>
                      <w:szCs w:val="21"/>
                    </w:rPr>
                  </w:pPr>
                  <w:r>
                    <w:rPr>
                      <w:rFonts w:hint="eastAsia"/>
                      <w:szCs w:val="21"/>
                    </w:rPr>
                    <w:t>环流熏蒸系统</w:t>
                  </w:r>
                </w:p>
              </w:tc>
              <w:tc>
                <w:tcPr>
                  <w:tcW w:w="718" w:type="pct"/>
                  <w:vAlign w:val="center"/>
                </w:tcPr>
                <w:p w14:paraId="3367BF51">
                  <w:pPr>
                    <w:adjustRightInd w:val="0"/>
                    <w:snapToGrid w:val="0"/>
                    <w:jc w:val="center"/>
                    <w:rPr>
                      <w:szCs w:val="21"/>
                    </w:rPr>
                  </w:pPr>
                </w:p>
              </w:tc>
              <w:tc>
                <w:tcPr>
                  <w:tcW w:w="765" w:type="pct"/>
                  <w:vAlign w:val="center"/>
                </w:tcPr>
                <w:p w14:paraId="30575646">
                  <w:pPr>
                    <w:adjustRightInd w:val="0"/>
                    <w:snapToGrid w:val="0"/>
                    <w:jc w:val="center"/>
                    <w:rPr>
                      <w:kern w:val="0"/>
                      <w:szCs w:val="21"/>
                    </w:rPr>
                  </w:pPr>
                  <w:r>
                    <w:rPr>
                      <w:rFonts w:hint="eastAsia"/>
                      <w:kern w:val="0"/>
                      <w:szCs w:val="21"/>
                    </w:rPr>
                    <w:t>2套</w:t>
                  </w:r>
                </w:p>
              </w:tc>
              <w:tc>
                <w:tcPr>
                  <w:tcW w:w="765" w:type="pct"/>
                  <w:vAlign w:val="center"/>
                </w:tcPr>
                <w:p w14:paraId="79476DAC">
                  <w:pPr>
                    <w:adjustRightInd w:val="0"/>
                    <w:snapToGrid w:val="0"/>
                    <w:jc w:val="center"/>
                    <w:rPr>
                      <w:kern w:val="0"/>
                      <w:szCs w:val="21"/>
                    </w:rPr>
                  </w:pPr>
                  <w:r>
                    <w:rPr>
                      <w:rFonts w:hint="eastAsia"/>
                      <w:kern w:val="0"/>
                      <w:szCs w:val="21"/>
                    </w:rPr>
                    <w:t>依托现有</w:t>
                  </w:r>
                </w:p>
              </w:tc>
            </w:tr>
            <w:tr w14:paraId="6AA30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C2112F8">
                  <w:pPr>
                    <w:adjustRightInd w:val="0"/>
                    <w:snapToGrid w:val="0"/>
                    <w:jc w:val="center"/>
                    <w:rPr>
                      <w:szCs w:val="21"/>
                    </w:rPr>
                  </w:pPr>
                  <w:r>
                    <w:rPr>
                      <w:rFonts w:hint="eastAsia"/>
                      <w:szCs w:val="21"/>
                    </w:rPr>
                    <w:t>10</w:t>
                  </w:r>
                </w:p>
              </w:tc>
              <w:tc>
                <w:tcPr>
                  <w:tcW w:w="825" w:type="pct"/>
                  <w:vMerge w:val="continue"/>
                  <w:vAlign w:val="center"/>
                </w:tcPr>
                <w:p w14:paraId="035E7C6B">
                  <w:pPr>
                    <w:adjustRightInd w:val="0"/>
                    <w:snapToGrid w:val="0"/>
                    <w:jc w:val="center"/>
                    <w:rPr>
                      <w:szCs w:val="21"/>
                    </w:rPr>
                  </w:pPr>
                </w:p>
              </w:tc>
              <w:tc>
                <w:tcPr>
                  <w:tcW w:w="1522" w:type="pct"/>
                  <w:vAlign w:val="center"/>
                </w:tcPr>
                <w:p w14:paraId="0957957B">
                  <w:pPr>
                    <w:adjustRightInd w:val="0"/>
                    <w:snapToGrid w:val="0"/>
                    <w:jc w:val="center"/>
                    <w:rPr>
                      <w:szCs w:val="21"/>
                    </w:rPr>
                  </w:pPr>
                  <w:r>
                    <w:rPr>
                      <w:rFonts w:hint="eastAsia"/>
                      <w:szCs w:val="21"/>
                    </w:rPr>
                    <w:t>轴流风机</w:t>
                  </w:r>
                </w:p>
              </w:tc>
              <w:tc>
                <w:tcPr>
                  <w:tcW w:w="718" w:type="pct"/>
                  <w:vAlign w:val="center"/>
                </w:tcPr>
                <w:p w14:paraId="2DF34228">
                  <w:pPr>
                    <w:adjustRightInd w:val="0"/>
                    <w:snapToGrid w:val="0"/>
                    <w:jc w:val="center"/>
                    <w:rPr>
                      <w:szCs w:val="21"/>
                    </w:rPr>
                  </w:pPr>
                </w:p>
              </w:tc>
              <w:tc>
                <w:tcPr>
                  <w:tcW w:w="765" w:type="pct"/>
                  <w:vAlign w:val="center"/>
                </w:tcPr>
                <w:p w14:paraId="7189600B">
                  <w:pPr>
                    <w:adjustRightInd w:val="0"/>
                    <w:snapToGrid w:val="0"/>
                    <w:jc w:val="center"/>
                    <w:rPr>
                      <w:kern w:val="0"/>
                      <w:szCs w:val="21"/>
                    </w:rPr>
                  </w:pPr>
                  <w:r>
                    <w:rPr>
                      <w:rFonts w:hint="eastAsia"/>
                      <w:kern w:val="0"/>
                      <w:szCs w:val="21"/>
                    </w:rPr>
                    <w:t>4台</w:t>
                  </w:r>
                </w:p>
              </w:tc>
              <w:tc>
                <w:tcPr>
                  <w:tcW w:w="765" w:type="pct"/>
                  <w:vAlign w:val="center"/>
                </w:tcPr>
                <w:p w14:paraId="1E421BD1">
                  <w:pPr>
                    <w:adjustRightInd w:val="0"/>
                    <w:snapToGrid w:val="0"/>
                    <w:jc w:val="center"/>
                    <w:rPr>
                      <w:kern w:val="0"/>
                      <w:szCs w:val="21"/>
                    </w:rPr>
                  </w:pPr>
                  <w:r>
                    <w:rPr>
                      <w:rFonts w:hint="eastAsia"/>
                      <w:kern w:val="0"/>
                      <w:szCs w:val="21"/>
                    </w:rPr>
                    <w:t>依托现有</w:t>
                  </w:r>
                </w:p>
              </w:tc>
            </w:tr>
            <w:tr w14:paraId="2AFC9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54A844F7">
                  <w:pPr>
                    <w:adjustRightInd w:val="0"/>
                    <w:snapToGrid w:val="0"/>
                    <w:jc w:val="center"/>
                    <w:rPr>
                      <w:szCs w:val="21"/>
                    </w:rPr>
                  </w:pPr>
                  <w:r>
                    <w:rPr>
                      <w:rFonts w:hint="eastAsia"/>
                      <w:szCs w:val="21"/>
                    </w:rPr>
                    <w:t>11</w:t>
                  </w:r>
                </w:p>
              </w:tc>
              <w:tc>
                <w:tcPr>
                  <w:tcW w:w="825" w:type="pct"/>
                  <w:vMerge w:val="restart"/>
                  <w:vAlign w:val="center"/>
                </w:tcPr>
                <w:p w14:paraId="61E7506C">
                  <w:pPr>
                    <w:adjustRightInd w:val="0"/>
                    <w:snapToGrid w:val="0"/>
                    <w:jc w:val="center"/>
                    <w:rPr>
                      <w:szCs w:val="21"/>
                    </w:rPr>
                  </w:pPr>
                  <w:r>
                    <w:rPr>
                      <w:rFonts w:hint="eastAsia"/>
                      <w:kern w:val="0"/>
                      <w:szCs w:val="21"/>
                    </w:rPr>
                    <w:t>检化验设备</w:t>
                  </w:r>
                </w:p>
              </w:tc>
              <w:tc>
                <w:tcPr>
                  <w:tcW w:w="1522" w:type="pct"/>
                  <w:vAlign w:val="center"/>
                </w:tcPr>
                <w:p w14:paraId="5B28B6E8">
                  <w:pPr>
                    <w:adjustRightInd w:val="0"/>
                    <w:snapToGrid w:val="0"/>
                    <w:jc w:val="center"/>
                    <w:rPr>
                      <w:szCs w:val="21"/>
                    </w:rPr>
                  </w:pPr>
                  <w:r>
                    <w:rPr>
                      <w:szCs w:val="21"/>
                    </w:rPr>
                    <w:t>水分检测仪</w:t>
                  </w:r>
                </w:p>
              </w:tc>
              <w:tc>
                <w:tcPr>
                  <w:tcW w:w="718" w:type="pct"/>
                  <w:vAlign w:val="center"/>
                </w:tcPr>
                <w:p w14:paraId="67D853C3">
                  <w:pPr>
                    <w:adjustRightInd w:val="0"/>
                    <w:snapToGrid w:val="0"/>
                    <w:jc w:val="center"/>
                    <w:rPr>
                      <w:szCs w:val="21"/>
                    </w:rPr>
                  </w:pPr>
                </w:p>
              </w:tc>
              <w:tc>
                <w:tcPr>
                  <w:tcW w:w="765" w:type="pct"/>
                  <w:vAlign w:val="center"/>
                </w:tcPr>
                <w:p w14:paraId="6E266063">
                  <w:pPr>
                    <w:adjustRightInd w:val="0"/>
                    <w:snapToGrid w:val="0"/>
                    <w:jc w:val="center"/>
                    <w:rPr>
                      <w:kern w:val="0"/>
                      <w:szCs w:val="21"/>
                    </w:rPr>
                  </w:pPr>
                  <w:r>
                    <w:rPr>
                      <w:rFonts w:hint="eastAsia"/>
                      <w:kern w:val="0"/>
                      <w:szCs w:val="21"/>
                    </w:rPr>
                    <w:t>1台</w:t>
                  </w:r>
                </w:p>
              </w:tc>
              <w:tc>
                <w:tcPr>
                  <w:tcW w:w="765" w:type="pct"/>
                  <w:vAlign w:val="center"/>
                </w:tcPr>
                <w:p w14:paraId="3DE935F4">
                  <w:pPr>
                    <w:adjustRightInd w:val="0"/>
                    <w:snapToGrid w:val="0"/>
                    <w:jc w:val="center"/>
                    <w:rPr>
                      <w:kern w:val="0"/>
                      <w:szCs w:val="21"/>
                    </w:rPr>
                  </w:pPr>
                  <w:r>
                    <w:rPr>
                      <w:rFonts w:hint="eastAsia"/>
                      <w:kern w:val="0"/>
                      <w:szCs w:val="21"/>
                    </w:rPr>
                    <w:t>依托现有</w:t>
                  </w:r>
                </w:p>
              </w:tc>
            </w:tr>
            <w:tr w14:paraId="77614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4FE6AE3">
                  <w:pPr>
                    <w:adjustRightInd w:val="0"/>
                    <w:snapToGrid w:val="0"/>
                    <w:jc w:val="center"/>
                    <w:rPr>
                      <w:szCs w:val="21"/>
                    </w:rPr>
                  </w:pPr>
                  <w:r>
                    <w:rPr>
                      <w:rFonts w:hint="eastAsia"/>
                      <w:szCs w:val="21"/>
                    </w:rPr>
                    <w:t>12</w:t>
                  </w:r>
                </w:p>
              </w:tc>
              <w:tc>
                <w:tcPr>
                  <w:tcW w:w="825" w:type="pct"/>
                  <w:vMerge w:val="continue"/>
                  <w:vAlign w:val="center"/>
                </w:tcPr>
                <w:p w14:paraId="0189C178">
                  <w:pPr>
                    <w:adjustRightInd w:val="0"/>
                    <w:snapToGrid w:val="0"/>
                    <w:jc w:val="center"/>
                    <w:rPr>
                      <w:szCs w:val="21"/>
                    </w:rPr>
                  </w:pPr>
                </w:p>
              </w:tc>
              <w:tc>
                <w:tcPr>
                  <w:tcW w:w="1522" w:type="pct"/>
                  <w:vAlign w:val="center"/>
                </w:tcPr>
                <w:p w14:paraId="04B931D5">
                  <w:pPr>
                    <w:adjustRightInd w:val="0"/>
                    <w:snapToGrid w:val="0"/>
                    <w:jc w:val="center"/>
                    <w:rPr>
                      <w:szCs w:val="21"/>
                    </w:rPr>
                  </w:pPr>
                  <w:r>
                    <w:rPr>
                      <w:rFonts w:hint="eastAsia"/>
                      <w:szCs w:val="21"/>
                    </w:rPr>
                    <w:t>固定散装扦样机</w:t>
                  </w:r>
                </w:p>
              </w:tc>
              <w:tc>
                <w:tcPr>
                  <w:tcW w:w="718" w:type="pct"/>
                  <w:vAlign w:val="center"/>
                </w:tcPr>
                <w:p w14:paraId="158E57BA">
                  <w:pPr>
                    <w:adjustRightInd w:val="0"/>
                    <w:snapToGrid w:val="0"/>
                    <w:jc w:val="center"/>
                    <w:rPr>
                      <w:szCs w:val="21"/>
                    </w:rPr>
                  </w:pPr>
                </w:p>
              </w:tc>
              <w:tc>
                <w:tcPr>
                  <w:tcW w:w="765" w:type="pct"/>
                  <w:vAlign w:val="center"/>
                </w:tcPr>
                <w:p w14:paraId="70774810">
                  <w:pPr>
                    <w:adjustRightInd w:val="0"/>
                    <w:snapToGrid w:val="0"/>
                    <w:jc w:val="center"/>
                    <w:rPr>
                      <w:kern w:val="0"/>
                      <w:szCs w:val="21"/>
                    </w:rPr>
                  </w:pPr>
                  <w:r>
                    <w:rPr>
                      <w:rFonts w:hint="eastAsia"/>
                      <w:kern w:val="0"/>
                      <w:szCs w:val="21"/>
                    </w:rPr>
                    <w:t>1台</w:t>
                  </w:r>
                </w:p>
              </w:tc>
              <w:tc>
                <w:tcPr>
                  <w:tcW w:w="765" w:type="pct"/>
                  <w:vAlign w:val="center"/>
                </w:tcPr>
                <w:p w14:paraId="3541B8AC">
                  <w:pPr>
                    <w:adjustRightInd w:val="0"/>
                    <w:snapToGrid w:val="0"/>
                    <w:jc w:val="center"/>
                    <w:rPr>
                      <w:kern w:val="0"/>
                      <w:szCs w:val="21"/>
                    </w:rPr>
                  </w:pPr>
                  <w:r>
                    <w:rPr>
                      <w:rFonts w:hint="eastAsia"/>
                      <w:kern w:val="0"/>
                      <w:szCs w:val="21"/>
                    </w:rPr>
                    <w:t>依托现有</w:t>
                  </w:r>
                </w:p>
              </w:tc>
            </w:tr>
            <w:tr w14:paraId="4A1DE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5BFCF52">
                  <w:pPr>
                    <w:adjustRightInd w:val="0"/>
                    <w:snapToGrid w:val="0"/>
                    <w:jc w:val="center"/>
                    <w:rPr>
                      <w:szCs w:val="21"/>
                    </w:rPr>
                  </w:pPr>
                  <w:r>
                    <w:rPr>
                      <w:rFonts w:hint="eastAsia"/>
                      <w:szCs w:val="21"/>
                    </w:rPr>
                    <w:t>13</w:t>
                  </w:r>
                </w:p>
              </w:tc>
              <w:tc>
                <w:tcPr>
                  <w:tcW w:w="825" w:type="pct"/>
                  <w:vMerge w:val="continue"/>
                  <w:vAlign w:val="center"/>
                </w:tcPr>
                <w:p w14:paraId="31443A85">
                  <w:pPr>
                    <w:adjustRightInd w:val="0"/>
                    <w:snapToGrid w:val="0"/>
                    <w:jc w:val="center"/>
                    <w:rPr>
                      <w:szCs w:val="21"/>
                    </w:rPr>
                  </w:pPr>
                </w:p>
              </w:tc>
              <w:tc>
                <w:tcPr>
                  <w:tcW w:w="1522" w:type="pct"/>
                  <w:vAlign w:val="center"/>
                </w:tcPr>
                <w:p w14:paraId="65E108D4">
                  <w:pPr>
                    <w:adjustRightInd w:val="0"/>
                    <w:snapToGrid w:val="0"/>
                    <w:jc w:val="center"/>
                    <w:rPr>
                      <w:szCs w:val="21"/>
                    </w:rPr>
                  </w:pPr>
                  <w:r>
                    <w:rPr>
                      <w:rFonts w:hint="eastAsia"/>
                      <w:szCs w:val="21"/>
                    </w:rPr>
                    <w:t>重金属检测仪</w:t>
                  </w:r>
                </w:p>
              </w:tc>
              <w:tc>
                <w:tcPr>
                  <w:tcW w:w="718" w:type="pct"/>
                  <w:vAlign w:val="center"/>
                </w:tcPr>
                <w:p w14:paraId="373861A0">
                  <w:pPr>
                    <w:adjustRightInd w:val="0"/>
                    <w:snapToGrid w:val="0"/>
                    <w:jc w:val="center"/>
                    <w:rPr>
                      <w:szCs w:val="21"/>
                    </w:rPr>
                  </w:pPr>
                </w:p>
              </w:tc>
              <w:tc>
                <w:tcPr>
                  <w:tcW w:w="765" w:type="pct"/>
                  <w:vAlign w:val="center"/>
                </w:tcPr>
                <w:p w14:paraId="64AFE794">
                  <w:pPr>
                    <w:adjustRightInd w:val="0"/>
                    <w:snapToGrid w:val="0"/>
                    <w:jc w:val="center"/>
                    <w:rPr>
                      <w:szCs w:val="21"/>
                    </w:rPr>
                  </w:pPr>
                  <w:r>
                    <w:rPr>
                      <w:rFonts w:hint="eastAsia"/>
                      <w:kern w:val="0"/>
                      <w:szCs w:val="21"/>
                    </w:rPr>
                    <w:t>1台</w:t>
                  </w:r>
                </w:p>
              </w:tc>
              <w:tc>
                <w:tcPr>
                  <w:tcW w:w="765" w:type="pct"/>
                  <w:vAlign w:val="center"/>
                </w:tcPr>
                <w:p w14:paraId="3E166867">
                  <w:pPr>
                    <w:adjustRightInd w:val="0"/>
                    <w:snapToGrid w:val="0"/>
                    <w:jc w:val="center"/>
                    <w:rPr>
                      <w:kern w:val="0"/>
                      <w:szCs w:val="21"/>
                    </w:rPr>
                  </w:pPr>
                  <w:r>
                    <w:rPr>
                      <w:rFonts w:hint="eastAsia"/>
                      <w:kern w:val="0"/>
                      <w:szCs w:val="21"/>
                    </w:rPr>
                    <w:t>依托现有</w:t>
                  </w:r>
                </w:p>
              </w:tc>
            </w:tr>
            <w:tr w14:paraId="6DBFD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4CF21C5">
                  <w:pPr>
                    <w:adjustRightInd w:val="0"/>
                    <w:snapToGrid w:val="0"/>
                    <w:jc w:val="center"/>
                    <w:rPr>
                      <w:szCs w:val="21"/>
                    </w:rPr>
                  </w:pPr>
                  <w:r>
                    <w:rPr>
                      <w:rFonts w:hint="eastAsia"/>
                      <w:szCs w:val="21"/>
                    </w:rPr>
                    <w:t>14</w:t>
                  </w:r>
                </w:p>
              </w:tc>
              <w:tc>
                <w:tcPr>
                  <w:tcW w:w="825" w:type="pct"/>
                  <w:vMerge w:val="continue"/>
                  <w:vAlign w:val="center"/>
                </w:tcPr>
                <w:p w14:paraId="2753AB6A">
                  <w:pPr>
                    <w:adjustRightInd w:val="0"/>
                    <w:snapToGrid w:val="0"/>
                    <w:jc w:val="center"/>
                    <w:rPr>
                      <w:szCs w:val="21"/>
                    </w:rPr>
                  </w:pPr>
                </w:p>
              </w:tc>
              <w:tc>
                <w:tcPr>
                  <w:tcW w:w="1522" w:type="pct"/>
                  <w:vAlign w:val="center"/>
                </w:tcPr>
                <w:p w14:paraId="63267BF6">
                  <w:pPr>
                    <w:adjustRightInd w:val="0"/>
                    <w:snapToGrid w:val="0"/>
                    <w:jc w:val="center"/>
                    <w:rPr>
                      <w:szCs w:val="21"/>
                    </w:rPr>
                  </w:pPr>
                  <w:r>
                    <w:rPr>
                      <w:rFonts w:hint="eastAsia"/>
                      <w:szCs w:val="21"/>
                    </w:rPr>
                    <w:t>脂肪酸值检测分析仪</w:t>
                  </w:r>
                </w:p>
              </w:tc>
              <w:tc>
                <w:tcPr>
                  <w:tcW w:w="718" w:type="pct"/>
                  <w:vAlign w:val="center"/>
                </w:tcPr>
                <w:p w14:paraId="1A7F2BFA">
                  <w:pPr>
                    <w:adjustRightInd w:val="0"/>
                    <w:snapToGrid w:val="0"/>
                    <w:jc w:val="center"/>
                    <w:rPr>
                      <w:szCs w:val="21"/>
                    </w:rPr>
                  </w:pPr>
                </w:p>
              </w:tc>
              <w:tc>
                <w:tcPr>
                  <w:tcW w:w="765" w:type="pct"/>
                  <w:vAlign w:val="center"/>
                </w:tcPr>
                <w:p w14:paraId="76B46CB8">
                  <w:pPr>
                    <w:adjustRightInd w:val="0"/>
                    <w:snapToGrid w:val="0"/>
                    <w:jc w:val="center"/>
                    <w:rPr>
                      <w:szCs w:val="21"/>
                    </w:rPr>
                  </w:pPr>
                  <w:r>
                    <w:rPr>
                      <w:rFonts w:hint="eastAsia"/>
                      <w:kern w:val="0"/>
                      <w:szCs w:val="21"/>
                    </w:rPr>
                    <w:t>1台</w:t>
                  </w:r>
                </w:p>
              </w:tc>
              <w:tc>
                <w:tcPr>
                  <w:tcW w:w="765" w:type="pct"/>
                  <w:vAlign w:val="center"/>
                </w:tcPr>
                <w:p w14:paraId="2AD249EE">
                  <w:pPr>
                    <w:adjustRightInd w:val="0"/>
                    <w:snapToGrid w:val="0"/>
                    <w:jc w:val="center"/>
                    <w:rPr>
                      <w:kern w:val="0"/>
                      <w:szCs w:val="21"/>
                    </w:rPr>
                  </w:pPr>
                  <w:r>
                    <w:rPr>
                      <w:rFonts w:hint="eastAsia"/>
                      <w:kern w:val="0"/>
                      <w:szCs w:val="21"/>
                    </w:rPr>
                    <w:t>依托现有</w:t>
                  </w:r>
                </w:p>
              </w:tc>
            </w:tr>
            <w:tr w14:paraId="48883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40A92B4B">
                  <w:pPr>
                    <w:adjustRightInd w:val="0"/>
                    <w:snapToGrid w:val="0"/>
                    <w:jc w:val="center"/>
                    <w:rPr>
                      <w:szCs w:val="21"/>
                    </w:rPr>
                  </w:pPr>
                  <w:r>
                    <w:rPr>
                      <w:rFonts w:hint="eastAsia"/>
                      <w:szCs w:val="21"/>
                    </w:rPr>
                    <w:t>15</w:t>
                  </w:r>
                </w:p>
              </w:tc>
              <w:tc>
                <w:tcPr>
                  <w:tcW w:w="825" w:type="pct"/>
                  <w:vMerge w:val="restart"/>
                  <w:vAlign w:val="center"/>
                </w:tcPr>
                <w:p w14:paraId="37236267">
                  <w:pPr>
                    <w:adjustRightInd w:val="0"/>
                    <w:snapToGrid w:val="0"/>
                    <w:jc w:val="center"/>
                    <w:rPr>
                      <w:szCs w:val="21"/>
                    </w:rPr>
                  </w:pPr>
                  <w:r>
                    <w:rPr>
                      <w:kern w:val="0"/>
                      <w:szCs w:val="21"/>
                    </w:rPr>
                    <w:t>烘干车间设备</w:t>
                  </w:r>
                </w:p>
              </w:tc>
              <w:tc>
                <w:tcPr>
                  <w:tcW w:w="1522" w:type="pct"/>
                  <w:vAlign w:val="center"/>
                </w:tcPr>
                <w:p w14:paraId="5B515331">
                  <w:pPr>
                    <w:adjustRightInd w:val="0"/>
                    <w:snapToGrid w:val="0"/>
                    <w:jc w:val="center"/>
                    <w:rPr>
                      <w:szCs w:val="21"/>
                    </w:rPr>
                  </w:pPr>
                  <w:r>
                    <w:rPr>
                      <w:rFonts w:hint="eastAsia"/>
                      <w:szCs w:val="21"/>
                    </w:rPr>
                    <w:t>生物质热风炉</w:t>
                  </w:r>
                </w:p>
              </w:tc>
              <w:tc>
                <w:tcPr>
                  <w:tcW w:w="718" w:type="pct"/>
                  <w:vAlign w:val="center"/>
                </w:tcPr>
                <w:p w14:paraId="63541F7E">
                  <w:pPr>
                    <w:adjustRightInd w:val="0"/>
                    <w:snapToGrid w:val="0"/>
                    <w:jc w:val="center"/>
                    <w:rPr>
                      <w:szCs w:val="21"/>
                    </w:rPr>
                  </w:pPr>
                  <w:r>
                    <w:rPr>
                      <w:rFonts w:hint="eastAsia"/>
                      <w:szCs w:val="21"/>
                    </w:rPr>
                    <w:t>5t/h</w:t>
                  </w:r>
                </w:p>
              </w:tc>
              <w:tc>
                <w:tcPr>
                  <w:tcW w:w="765" w:type="pct"/>
                  <w:vAlign w:val="center"/>
                </w:tcPr>
                <w:p w14:paraId="5CB60C25">
                  <w:pPr>
                    <w:adjustRightInd w:val="0"/>
                    <w:snapToGrid w:val="0"/>
                    <w:jc w:val="center"/>
                    <w:rPr>
                      <w:kern w:val="0"/>
                      <w:szCs w:val="21"/>
                    </w:rPr>
                  </w:pPr>
                  <w:r>
                    <w:rPr>
                      <w:rFonts w:hint="eastAsia"/>
                      <w:kern w:val="0"/>
                      <w:szCs w:val="21"/>
                    </w:rPr>
                    <w:t>3台</w:t>
                  </w:r>
                </w:p>
              </w:tc>
              <w:tc>
                <w:tcPr>
                  <w:tcW w:w="765" w:type="pct"/>
                  <w:vAlign w:val="center"/>
                </w:tcPr>
                <w:p w14:paraId="07C0C8A3">
                  <w:pPr>
                    <w:adjustRightInd w:val="0"/>
                    <w:snapToGrid w:val="0"/>
                    <w:jc w:val="center"/>
                    <w:rPr>
                      <w:kern w:val="0"/>
                      <w:szCs w:val="21"/>
                    </w:rPr>
                  </w:pPr>
                  <w:r>
                    <w:rPr>
                      <w:kern w:val="0"/>
                      <w:szCs w:val="21"/>
                    </w:rPr>
                    <w:t>新增</w:t>
                  </w:r>
                </w:p>
              </w:tc>
            </w:tr>
            <w:tr w14:paraId="2C827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3596085">
                  <w:pPr>
                    <w:adjustRightInd w:val="0"/>
                    <w:snapToGrid w:val="0"/>
                    <w:jc w:val="center"/>
                    <w:rPr>
                      <w:szCs w:val="21"/>
                    </w:rPr>
                  </w:pPr>
                  <w:r>
                    <w:rPr>
                      <w:rFonts w:hint="eastAsia"/>
                      <w:szCs w:val="21"/>
                    </w:rPr>
                    <w:t>16</w:t>
                  </w:r>
                </w:p>
              </w:tc>
              <w:tc>
                <w:tcPr>
                  <w:tcW w:w="825" w:type="pct"/>
                  <w:vMerge w:val="continue"/>
                  <w:vAlign w:val="center"/>
                </w:tcPr>
                <w:p w14:paraId="2F4350EB">
                  <w:pPr>
                    <w:adjustRightInd w:val="0"/>
                    <w:snapToGrid w:val="0"/>
                    <w:jc w:val="center"/>
                    <w:rPr>
                      <w:szCs w:val="21"/>
                    </w:rPr>
                  </w:pPr>
                </w:p>
              </w:tc>
              <w:tc>
                <w:tcPr>
                  <w:tcW w:w="1522" w:type="pct"/>
                  <w:vAlign w:val="center"/>
                </w:tcPr>
                <w:p w14:paraId="2FC3AE59">
                  <w:pPr>
                    <w:adjustRightInd w:val="0"/>
                    <w:snapToGrid w:val="0"/>
                    <w:jc w:val="center"/>
                    <w:rPr>
                      <w:szCs w:val="21"/>
                    </w:rPr>
                  </w:pPr>
                  <w:r>
                    <w:rPr>
                      <w:rFonts w:hint="eastAsia"/>
                      <w:szCs w:val="21"/>
                    </w:rPr>
                    <w:t>烘干机</w:t>
                  </w:r>
                </w:p>
              </w:tc>
              <w:tc>
                <w:tcPr>
                  <w:tcW w:w="718" w:type="pct"/>
                  <w:vAlign w:val="center"/>
                </w:tcPr>
                <w:p w14:paraId="177E9155">
                  <w:pPr>
                    <w:adjustRightInd w:val="0"/>
                    <w:snapToGrid w:val="0"/>
                    <w:jc w:val="center"/>
                    <w:rPr>
                      <w:szCs w:val="21"/>
                    </w:rPr>
                  </w:pPr>
                  <w:r>
                    <w:rPr>
                      <w:rFonts w:hint="eastAsia"/>
                      <w:szCs w:val="21"/>
                    </w:rPr>
                    <w:t>50t/台</w:t>
                  </w:r>
                </w:p>
              </w:tc>
              <w:tc>
                <w:tcPr>
                  <w:tcW w:w="765" w:type="pct"/>
                  <w:vAlign w:val="center"/>
                </w:tcPr>
                <w:p w14:paraId="6DD205DD">
                  <w:pPr>
                    <w:adjustRightInd w:val="0"/>
                    <w:snapToGrid w:val="0"/>
                    <w:jc w:val="center"/>
                    <w:rPr>
                      <w:kern w:val="0"/>
                      <w:szCs w:val="21"/>
                    </w:rPr>
                  </w:pPr>
                  <w:r>
                    <w:rPr>
                      <w:rFonts w:hint="eastAsia"/>
                      <w:kern w:val="0"/>
                      <w:szCs w:val="21"/>
                    </w:rPr>
                    <w:t>6台</w:t>
                  </w:r>
                </w:p>
              </w:tc>
              <w:tc>
                <w:tcPr>
                  <w:tcW w:w="765" w:type="pct"/>
                  <w:vAlign w:val="center"/>
                </w:tcPr>
                <w:p w14:paraId="368AC899">
                  <w:pPr>
                    <w:adjustRightInd w:val="0"/>
                    <w:snapToGrid w:val="0"/>
                    <w:jc w:val="center"/>
                    <w:rPr>
                      <w:kern w:val="0"/>
                      <w:szCs w:val="21"/>
                    </w:rPr>
                  </w:pPr>
                  <w:r>
                    <w:rPr>
                      <w:kern w:val="0"/>
                      <w:szCs w:val="21"/>
                    </w:rPr>
                    <w:t>新增</w:t>
                  </w:r>
                </w:p>
              </w:tc>
            </w:tr>
            <w:tr w14:paraId="62533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3D9DA5D">
                  <w:pPr>
                    <w:adjustRightInd w:val="0"/>
                    <w:snapToGrid w:val="0"/>
                    <w:jc w:val="center"/>
                    <w:rPr>
                      <w:szCs w:val="21"/>
                    </w:rPr>
                  </w:pPr>
                  <w:r>
                    <w:rPr>
                      <w:rFonts w:hint="eastAsia"/>
                      <w:szCs w:val="21"/>
                    </w:rPr>
                    <w:t>17</w:t>
                  </w:r>
                </w:p>
              </w:tc>
              <w:tc>
                <w:tcPr>
                  <w:tcW w:w="825" w:type="pct"/>
                  <w:vMerge w:val="continue"/>
                  <w:vAlign w:val="center"/>
                </w:tcPr>
                <w:p w14:paraId="120229FB">
                  <w:pPr>
                    <w:adjustRightInd w:val="0"/>
                    <w:snapToGrid w:val="0"/>
                    <w:jc w:val="center"/>
                    <w:rPr>
                      <w:szCs w:val="21"/>
                    </w:rPr>
                  </w:pPr>
                </w:p>
              </w:tc>
              <w:tc>
                <w:tcPr>
                  <w:tcW w:w="1522" w:type="pct"/>
                  <w:vAlign w:val="center"/>
                </w:tcPr>
                <w:p w14:paraId="0FC563F5">
                  <w:pPr>
                    <w:adjustRightInd w:val="0"/>
                    <w:snapToGrid w:val="0"/>
                    <w:jc w:val="center"/>
                    <w:rPr>
                      <w:szCs w:val="21"/>
                    </w:rPr>
                  </w:pPr>
                  <w:r>
                    <w:rPr>
                      <w:rFonts w:hint="eastAsia"/>
                      <w:szCs w:val="21"/>
                    </w:rPr>
                    <w:t>提升机</w:t>
                  </w:r>
                </w:p>
              </w:tc>
              <w:tc>
                <w:tcPr>
                  <w:tcW w:w="718" w:type="pct"/>
                  <w:vAlign w:val="center"/>
                </w:tcPr>
                <w:p w14:paraId="4736961D">
                  <w:pPr>
                    <w:adjustRightInd w:val="0"/>
                    <w:snapToGrid w:val="0"/>
                    <w:jc w:val="center"/>
                    <w:rPr>
                      <w:szCs w:val="21"/>
                    </w:rPr>
                  </w:pPr>
                </w:p>
              </w:tc>
              <w:tc>
                <w:tcPr>
                  <w:tcW w:w="765" w:type="pct"/>
                  <w:vAlign w:val="center"/>
                </w:tcPr>
                <w:p w14:paraId="6B77D917">
                  <w:pPr>
                    <w:adjustRightInd w:val="0"/>
                    <w:snapToGrid w:val="0"/>
                    <w:jc w:val="center"/>
                    <w:rPr>
                      <w:kern w:val="0"/>
                      <w:szCs w:val="21"/>
                    </w:rPr>
                  </w:pPr>
                  <w:r>
                    <w:rPr>
                      <w:rFonts w:hint="eastAsia"/>
                      <w:kern w:val="0"/>
                      <w:szCs w:val="21"/>
                    </w:rPr>
                    <w:t>5台</w:t>
                  </w:r>
                </w:p>
              </w:tc>
              <w:tc>
                <w:tcPr>
                  <w:tcW w:w="765" w:type="pct"/>
                  <w:vAlign w:val="center"/>
                </w:tcPr>
                <w:p w14:paraId="710EF8E3">
                  <w:pPr>
                    <w:adjustRightInd w:val="0"/>
                    <w:snapToGrid w:val="0"/>
                    <w:jc w:val="center"/>
                    <w:rPr>
                      <w:kern w:val="0"/>
                      <w:szCs w:val="21"/>
                    </w:rPr>
                  </w:pPr>
                  <w:r>
                    <w:rPr>
                      <w:kern w:val="0"/>
                      <w:szCs w:val="21"/>
                    </w:rPr>
                    <w:t>新增</w:t>
                  </w:r>
                </w:p>
              </w:tc>
            </w:tr>
            <w:tr w14:paraId="4EE02E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6396418">
                  <w:pPr>
                    <w:adjustRightInd w:val="0"/>
                    <w:snapToGrid w:val="0"/>
                    <w:jc w:val="center"/>
                    <w:rPr>
                      <w:szCs w:val="21"/>
                    </w:rPr>
                  </w:pPr>
                  <w:r>
                    <w:rPr>
                      <w:rFonts w:hint="eastAsia"/>
                      <w:szCs w:val="21"/>
                    </w:rPr>
                    <w:t>18</w:t>
                  </w:r>
                </w:p>
              </w:tc>
              <w:tc>
                <w:tcPr>
                  <w:tcW w:w="825" w:type="pct"/>
                  <w:vMerge w:val="continue"/>
                  <w:vAlign w:val="center"/>
                </w:tcPr>
                <w:p w14:paraId="0CBEB046">
                  <w:pPr>
                    <w:adjustRightInd w:val="0"/>
                    <w:snapToGrid w:val="0"/>
                    <w:jc w:val="center"/>
                    <w:rPr>
                      <w:szCs w:val="21"/>
                    </w:rPr>
                  </w:pPr>
                </w:p>
              </w:tc>
              <w:tc>
                <w:tcPr>
                  <w:tcW w:w="1522" w:type="pct"/>
                  <w:vAlign w:val="center"/>
                </w:tcPr>
                <w:p w14:paraId="7F0A1C80">
                  <w:pPr>
                    <w:adjustRightInd w:val="0"/>
                    <w:snapToGrid w:val="0"/>
                    <w:jc w:val="center"/>
                    <w:rPr>
                      <w:szCs w:val="21"/>
                    </w:rPr>
                  </w:pPr>
                  <w:r>
                    <w:rPr>
                      <w:rFonts w:hint="eastAsia"/>
                      <w:szCs w:val="21"/>
                    </w:rPr>
                    <w:t>圆筒筛</w:t>
                  </w:r>
                </w:p>
              </w:tc>
              <w:tc>
                <w:tcPr>
                  <w:tcW w:w="718" w:type="pct"/>
                  <w:vAlign w:val="center"/>
                </w:tcPr>
                <w:p w14:paraId="590BE070">
                  <w:pPr>
                    <w:adjustRightInd w:val="0"/>
                    <w:snapToGrid w:val="0"/>
                    <w:jc w:val="center"/>
                    <w:rPr>
                      <w:szCs w:val="21"/>
                    </w:rPr>
                  </w:pPr>
                </w:p>
              </w:tc>
              <w:tc>
                <w:tcPr>
                  <w:tcW w:w="765" w:type="pct"/>
                  <w:vAlign w:val="center"/>
                </w:tcPr>
                <w:p w14:paraId="0F049C00">
                  <w:pPr>
                    <w:adjustRightInd w:val="0"/>
                    <w:snapToGrid w:val="0"/>
                    <w:jc w:val="center"/>
                    <w:rPr>
                      <w:kern w:val="0"/>
                      <w:szCs w:val="21"/>
                    </w:rPr>
                  </w:pPr>
                  <w:r>
                    <w:rPr>
                      <w:rFonts w:hint="eastAsia"/>
                      <w:kern w:val="0"/>
                      <w:szCs w:val="21"/>
                    </w:rPr>
                    <w:t>1台</w:t>
                  </w:r>
                </w:p>
              </w:tc>
              <w:tc>
                <w:tcPr>
                  <w:tcW w:w="765" w:type="pct"/>
                  <w:vAlign w:val="center"/>
                </w:tcPr>
                <w:p w14:paraId="1B0BE7D3">
                  <w:pPr>
                    <w:adjustRightInd w:val="0"/>
                    <w:snapToGrid w:val="0"/>
                    <w:jc w:val="center"/>
                    <w:rPr>
                      <w:kern w:val="0"/>
                      <w:szCs w:val="21"/>
                    </w:rPr>
                  </w:pPr>
                  <w:r>
                    <w:rPr>
                      <w:kern w:val="0"/>
                      <w:szCs w:val="21"/>
                    </w:rPr>
                    <w:t>新增</w:t>
                  </w:r>
                </w:p>
              </w:tc>
            </w:tr>
            <w:tr w14:paraId="64F11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19AC814">
                  <w:pPr>
                    <w:adjustRightInd w:val="0"/>
                    <w:snapToGrid w:val="0"/>
                    <w:jc w:val="center"/>
                    <w:rPr>
                      <w:szCs w:val="21"/>
                    </w:rPr>
                  </w:pPr>
                  <w:r>
                    <w:rPr>
                      <w:rFonts w:hint="eastAsia"/>
                      <w:szCs w:val="21"/>
                    </w:rPr>
                    <w:t>19</w:t>
                  </w:r>
                </w:p>
              </w:tc>
              <w:tc>
                <w:tcPr>
                  <w:tcW w:w="825" w:type="pct"/>
                  <w:vMerge w:val="continue"/>
                  <w:vAlign w:val="center"/>
                </w:tcPr>
                <w:p w14:paraId="03CE65E0">
                  <w:pPr>
                    <w:adjustRightInd w:val="0"/>
                    <w:snapToGrid w:val="0"/>
                    <w:jc w:val="center"/>
                  </w:pPr>
                </w:p>
              </w:tc>
              <w:tc>
                <w:tcPr>
                  <w:tcW w:w="1522" w:type="pct"/>
                  <w:vAlign w:val="center"/>
                </w:tcPr>
                <w:p w14:paraId="29686721">
                  <w:pPr>
                    <w:adjustRightInd w:val="0"/>
                    <w:snapToGrid w:val="0"/>
                    <w:jc w:val="center"/>
                  </w:pPr>
                  <w:r>
                    <w:rPr>
                      <w:rFonts w:hint="eastAsia"/>
                    </w:rPr>
                    <w:t>烘</w:t>
                  </w:r>
                  <w:r>
                    <w:t>前湿谷仓</w:t>
                  </w:r>
                </w:p>
              </w:tc>
              <w:tc>
                <w:tcPr>
                  <w:tcW w:w="718" w:type="pct"/>
                  <w:vAlign w:val="center"/>
                </w:tcPr>
                <w:p w14:paraId="48364493">
                  <w:pPr>
                    <w:adjustRightInd w:val="0"/>
                    <w:snapToGrid w:val="0"/>
                    <w:jc w:val="center"/>
                    <w:rPr>
                      <w:szCs w:val="21"/>
                    </w:rPr>
                  </w:pPr>
                </w:p>
              </w:tc>
              <w:tc>
                <w:tcPr>
                  <w:tcW w:w="765" w:type="pct"/>
                  <w:vAlign w:val="center"/>
                </w:tcPr>
                <w:p w14:paraId="02CF5F7E">
                  <w:pPr>
                    <w:adjustRightInd w:val="0"/>
                    <w:snapToGrid w:val="0"/>
                    <w:jc w:val="center"/>
                    <w:rPr>
                      <w:kern w:val="0"/>
                      <w:szCs w:val="21"/>
                    </w:rPr>
                  </w:pPr>
                  <w:r>
                    <w:rPr>
                      <w:rFonts w:hint="eastAsia"/>
                      <w:kern w:val="0"/>
                      <w:szCs w:val="21"/>
                    </w:rPr>
                    <w:t>1个</w:t>
                  </w:r>
                </w:p>
              </w:tc>
              <w:tc>
                <w:tcPr>
                  <w:tcW w:w="765" w:type="pct"/>
                  <w:vAlign w:val="center"/>
                </w:tcPr>
                <w:p w14:paraId="15B27E3D">
                  <w:pPr>
                    <w:adjustRightInd w:val="0"/>
                    <w:snapToGrid w:val="0"/>
                    <w:jc w:val="center"/>
                    <w:rPr>
                      <w:kern w:val="0"/>
                      <w:szCs w:val="21"/>
                    </w:rPr>
                  </w:pPr>
                  <w:r>
                    <w:rPr>
                      <w:kern w:val="0"/>
                      <w:szCs w:val="21"/>
                    </w:rPr>
                    <w:t>新增</w:t>
                  </w:r>
                </w:p>
              </w:tc>
            </w:tr>
            <w:tr w14:paraId="4E0ED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4074D78">
                  <w:pPr>
                    <w:adjustRightInd w:val="0"/>
                    <w:snapToGrid w:val="0"/>
                    <w:jc w:val="center"/>
                    <w:rPr>
                      <w:szCs w:val="21"/>
                    </w:rPr>
                  </w:pPr>
                  <w:r>
                    <w:rPr>
                      <w:rFonts w:hint="eastAsia"/>
                      <w:szCs w:val="21"/>
                    </w:rPr>
                    <w:t>20</w:t>
                  </w:r>
                </w:p>
              </w:tc>
              <w:tc>
                <w:tcPr>
                  <w:tcW w:w="825" w:type="pct"/>
                  <w:vMerge w:val="continue"/>
                  <w:vAlign w:val="center"/>
                </w:tcPr>
                <w:p w14:paraId="74A0ACAA">
                  <w:pPr>
                    <w:adjustRightInd w:val="0"/>
                    <w:snapToGrid w:val="0"/>
                    <w:jc w:val="center"/>
                  </w:pPr>
                </w:p>
              </w:tc>
              <w:tc>
                <w:tcPr>
                  <w:tcW w:w="1522" w:type="pct"/>
                  <w:vAlign w:val="center"/>
                </w:tcPr>
                <w:p w14:paraId="31456626">
                  <w:pPr>
                    <w:adjustRightInd w:val="0"/>
                    <w:snapToGrid w:val="0"/>
                    <w:jc w:val="center"/>
                  </w:pPr>
                  <w:r>
                    <w:rPr>
                      <w:rFonts w:hint="eastAsia"/>
                    </w:rPr>
                    <w:t>烘</w:t>
                  </w:r>
                  <w:r>
                    <w:t>后</w:t>
                  </w:r>
                  <w:r>
                    <w:rPr>
                      <w:rFonts w:hint="eastAsia"/>
                    </w:rPr>
                    <w:t>干</w:t>
                  </w:r>
                  <w:r>
                    <w:t>谷仓</w:t>
                  </w:r>
                </w:p>
              </w:tc>
              <w:tc>
                <w:tcPr>
                  <w:tcW w:w="718" w:type="pct"/>
                  <w:vAlign w:val="center"/>
                </w:tcPr>
                <w:p w14:paraId="14BDA0F9">
                  <w:pPr>
                    <w:adjustRightInd w:val="0"/>
                    <w:snapToGrid w:val="0"/>
                    <w:jc w:val="center"/>
                    <w:rPr>
                      <w:szCs w:val="21"/>
                    </w:rPr>
                  </w:pPr>
                </w:p>
              </w:tc>
              <w:tc>
                <w:tcPr>
                  <w:tcW w:w="765" w:type="pct"/>
                  <w:vAlign w:val="center"/>
                </w:tcPr>
                <w:p w14:paraId="3E3D2D63">
                  <w:pPr>
                    <w:adjustRightInd w:val="0"/>
                    <w:snapToGrid w:val="0"/>
                    <w:jc w:val="center"/>
                    <w:rPr>
                      <w:kern w:val="0"/>
                      <w:szCs w:val="21"/>
                    </w:rPr>
                  </w:pPr>
                  <w:r>
                    <w:rPr>
                      <w:rFonts w:hint="eastAsia"/>
                      <w:kern w:val="0"/>
                      <w:szCs w:val="21"/>
                    </w:rPr>
                    <w:t>1个</w:t>
                  </w:r>
                </w:p>
              </w:tc>
              <w:tc>
                <w:tcPr>
                  <w:tcW w:w="765" w:type="pct"/>
                  <w:vAlign w:val="center"/>
                </w:tcPr>
                <w:p w14:paraId="0FC27634">
                  <w:pPr>
                    <w:adjustRightInd w:val="0"/>
                    <w:snapToGrid w:val="0"/>
                    <w:jc w:val="center"/>
                    <w:rPr>
                      <w:kern w:val="0"/>
                      <w:szCs w:val="21"/>
                    </w:rPr>
                  </w:pPr>
                  <w:r>
                    <w:rPr>
                      <w:kern w:val="0"/>
                      <w:szCs w:val="21"/>
                    </w:rPr>
                    <w:t>新增</w:t>
                  </w:r>
                </w:p>
              </w:tc>
            </w:tr>
            <w:tr w14:paraId="1CBD3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070C9BB6">
                  <w:pPr>
                    <w:adjustRightInd w:val="0"/>
                    <w:snapToGrid w:val="0"/>
                    <w:jc w:val="center"/>
                    <w:rPr>
                      <w:szCs w:val="21"/>
                    </w:rPr>
                  </w:pPr>
                  <w:r>
                    <w:rPr>
                      <w:rFonts w:hint="eastAsia"/>
                      <w:szCs w:val="21"/>
                    </w:rPr>
                    <w:t>21</w:t>
                  </w:r>
                </w:p>
              </w:tc>
              <w:tc>
                <w:tcPr>
                  <w:tcW w:w="825" w:type="pct"/>
                  <w:vMerge w:val="continue"/>
                  <w:vAlign w:val="center"/>
                </w:tcPr>
                <w:p w14:paraId="05554EB2">
                  <w:pPr>
                    <w:adjustRightInd w:val="0"/>
                    <w:snapToGrid w:val="0"/>
                    <w:jc w:val="center"/>
                  </w:pPr>
                </w:p>
              </w:tc>
              <w:tc>
                <w:tcPr>
                  <w:tcW w:w="1522" w:type="pct"/>
                  <w:vAlign w:val="center"/>
                </w:tcPr>
                <w:p w14:paraId="778F11B9">
                  <w:pPr>
                    <w:adjustRightInd w:val="0"/>
                    <w:snapToGrid w:val="0"/>
                    <w:jc w:val="center"/>
                  </w:pPr>
                  <w:r>
                    <w:t>皮带运输机</w:t>
                  </w:r>
                </w:p>
              </w:tc>
              <w:tc>
                <w:tcPr>
                  <w:tcW w:w="718" w:type="pct"/>
                  <w:vAlign w:val="center"/>
                </w:tcPr>
                <w:p w14:paraId="17B26C38">
                  <w:pPr>
                    <w:adjustRightInd w:val="0"/>
                    <w:snapToGrid w:val="0"/>
                    <w:jc w:val="center"/>
                    <w:rPr>
                      <w:szCs w:val="21"/>
                    </w:rPr>
                  </w:pPr>
                </w:p>
              </w:tc>
              <w:tc>
                <w:tcPr>
                  <w:tcW w:w="765" w:type="pct"/>
                  <w:vAlign w:val="center"/>
                </w:tcPr>
                <w:p w14:paraId="6986150B">
                  <w:pPr>
                    <w:adjustRightInd w:val="0"/>
                    <w:snapToGrid w:val="0"/>
                    <w:jc w:val="center"/>
                    <w:rPr>
                      <w:kern w:val="0"/>
                      <w:szCs w:val="21"/>
                    </w:rPr>
                  </w:pPr>
                  <w:r>
                    <w:rPr>
                      <w:rFonts w:hint="eastAsia"/>
                      <w:kern w:val="0"/>
                      <w:szCs w:val="21"/>
                    </w:rPr>
                    <w:t>3台</w:t>
                  </w:r>
                </w:p>
              </w:tc>
              <w:tc>
                <w:tcPr>
                  <w:tcW w:w="765" w:type="pct"/>
                  <w:vAlign w:val="center"/>
                </w:tcPr>
                <w:p w14:paraId="50D7D558">
                  <w:pPr>
                    <w:adjustRightInd w:val="0"/>
                    <w:snapToGrid w:val="0"/>
                    <w:jc w:val="center"/>
                    <w:rPr>
                      <w:kern w:val="0"/>
                      <w:szCs w:val="21"/>
                    </w:rPr>
                  </w:pPr>
                  <w:r>
                    <w:rPr>
                      <w:kern w:val="0"/>
                      <w:szCs w:val="21"/>
                    </w:rPr>
                    <w:t>新增</w:t>
                  </w:r>
                </w:p>
              </w:tc>
            </w:tr>
            <w:tr w14:paraId="3F4427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DAE485F">
                  <w:pPr>
                    <w:adjustRightInd w:val="0"/>
                    <w:snapToGrid w:val="0"/>
                    <w:jc w:val="center"/>
                    <w:rPr>
                      <w:szCs w:val="21"/>
                    </w:rPr>
                  </w:pPr>
                  <w:r>
                    <w:rPr>
                      <w:rFonts w:hint="eastAsia"/>
                      <w:szCs w:val="21"/>
                    </w:rPr>
                    <w:t>22</w:t>
                  </w:r>
                </w:p>
              </w:tc>
              <w:tc>
                <w:tcPr>
                  <w:tcW w:w="825" w:type="pct"/>
                  <w:vAlign w:val="center"/>
                </w:tcPr>
                <w:p w14:paraId="0E1F0C05">
                  <w:pPr>
                    <w:adjustRightInd w:val="0"/>
                    <w:snapToGrid w:val="0"/>
                    <w:jc w:val="center"/>
                    <w:rPr>
                      <w:szCs w:val="21"/>
                    </w:rPr>
                  </w:pPr>
                  <w:r>
                    <w:rPr>
                      <w:kern w:val="0"/>
                      <w:szCs w:val="21"/>
                    </w:rPr>
                    <w:t>提升塔</w:t>
                  </w:r>
                </w:p>
              </w:tc>
              <w:tc>
                <w:tcPr>
                  <w:tcW w:w="1522" w:type="pct"/>
                  <w:vAlign w:val="center"/>
                </w:tcPr>
                <w:p w14:paraId="076DDDDA">
                  <w:pPr>
                    <w:adjustRightInd w:val="0"/>
                    <w:snapToGrid w:val="0"/>
                    <w:jc w:val="center"/>
                  </w:pPr>
                  <w:r>
                    <w:rPr>
                      <w:szCs w:val="21"/>
                    </w:rPr>
                    <w:t>提升机</w:t>
                  </w:r>
                </w:p>
              </w:tc>
              <w:tc>
                <w:tcPr>
                  <w:tcW w:w="718" w:type="pct"/>
                  <w:vAlign w:val="center"/>
                </w:tcPr>
                <w:p w14:paraId="38DDB16A">
                  <w:pPr>
                    <w:adjustRightInd w:val="0"/>
                    <w:snapToGrid w:val="0"/>
                    <w:jc w:val="center"/>
                    <w:rPr>
                      <w:szCs w:val="21"/>
                    </w:rPr>
                  </w:pPr>
                </w:p>
              </w:tc>
              <w:tc>
                <w:tcPr>
                  <w:tcW w:w="765" w:type="pct"/>
                  <w:vAlign w:val="center"/>
                </w:tcPr>
                <w:p w14:paraId="583F9D88">
                  <w:pPr>
                    <w:adjustRightInd w:val="0"/>
                    <w:snapToGrid w:val="0"/>
                    <w:jc w:val="center"/>
                    <w:rPr>
                      <w:kern w:val="0"/>
                      <w:szCs w:val="21"/>
                    </w:rPr>
                  </w:pPr>
                  <w:r>
                    <w:rPr>
                      <w:rFonts w:hint="eastAsia"/>
                      <w:kern w:val="0"/>
                      <w:szCs w:val="21"/>
                    </w:rPr>
                    <w:t>1台</w:t>
                  </w:r>
                </w:p>
              </w:tc>
              <w:tc>
                <w:tcPr>
                  <w:tcW w:w="765" w:type="pct"/>
                  <w:vAlign w:val="center"/>
                </w:tcPr>
                <w:p w14:paraId="7527BC5B">
                  <w:pPr>
                    <w:adjustRightInd w:val="0"/>
                    <w:snapToGrid w:val="0"/>
                    <w:jc w:val="center"/>
                    <w:rPr>
                      <w:kern w:val="0"/>
                      <w:szCs w:val="21"/>
                    </w:rPr>
                  </w:pPr>
                  <w:r>
                    <w:rPr>
                      <w:kern w:val="0"/>
                      <w:szCs w:val="21"/>
                    </w:rPr>
                    <w:t>新增</w:t>
                  </w:r>
                </w:p>
              </w:tc>
            </w:tr>
            <w:tr w14:paraId="2CB18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5FFCA76">
                  <w:pPr>
                    <w:adjustRightInd w:val="0"/>
                    <w:snapToGrid w:val="0"/>
                    <w:jc w:val="center"/>
                    <w:rPr>
                      <w:szCs w:val="21"/>
                    </w:rPr>
                  </w:pPr>
                  <w:r>
                    <w:rPr>
                      <w:rFonts w:hint="eastAsia"/>
                      <w:szCs w:val="21"/>
                    </w:rPr>
                    <w:t>23</w:t>
                  </w:r>
                </w:p>
              </w:tc>
              <w:tc>
                <w:tcPr>
                  <w:tcW w:w="825" w:type="pct"/>
                  <w:vMerge w:val="restart"/>
                  <w:vAlign w:val="center"/>
                </w:tcPr>
                <w:p w14:paraId="2BCD0859">
                  <w:pPr>
                    <w:adjustRightInd w:val="0"/>
                    <w:snapToGrid w:val="0"/>
                    <w:jc w:val="center"/>
                    <w:rPr>
                      <w:szCs w:val="21"/>
                    </w:rPr>
                  </w:pPr>
                  <w:r>
                    <w:rPr>
                      <w:rFonts w:hint="eastAsia"/>
                      <w:kern w:val="0"/>
                      <w:szCs w:val="21"/>
                    </w:rPr>
                    <w:t>浅圆仓仓群</w:t>
                  </w:r>
                </w:p>
              </w:tc>
              <w:tc>
                <w:tcPr>
                  <w:tcW w:w="1522" w:type="pct"/>
                  <w:vAlign w:val="center"/>
                </w:tcPr>
                <w:p w14:paraId="24D8BEFB">
                  <w:pPr>
                    <w:adjustRightInd w:val="0"/>
                    <w:snapToGrid w:val="0"/>
                    <w:jc w:val="center"/>
                    <w:rPr>
                      <w:szCs w:val="21"/>
                    </w:rPr>
                  </w:pPr>
                  <w:r>
                    <w:rPr>
                      <w:rFonts w:hint="eastAsia"/>
                      <w:szCs w:val="21"/>
                    </w:rPr>
                    <w:t>多点卸料皮带机</w:t>
                  </w:r>
                </w:p>
              </w:tc>
              <w:tc>
                <w:tcPr>
                  <w:tcW w:w="718" w:type="pct"/>
                  <w:vAlign w:val="center"/>
                </w:tcPr>
                <w:p w14:paraId="02BE6E47">
                  <w:pPr>
                    <w:adjustRightInd w:val="0"/>
                    <w:snapToGrid w:val="0"/>
                    <w:jc w:val="center"/>
                    <w:rPr>
                      <w:szCs w:val="21"/>
                    </w:rPr>
                  </w:pPr>
                </w:p>
              </w:tc>
              <w:tc>
                <w:tcPr>
                  <w:tcW w:w="765" w:type="pct"/>
                  <w:vAlign w:val="center"/>
                </w:tcPr>
                <w:p w14:paraId="731A1BB5">
                  <w:pPr>
                    <w:adjustRightInd w:val="0"/>
                    <w:snapToGrid w:val="0"/>
                    <w:jc w:val="center"/>
                    <w:rPr>
                      <w:kern w:val="0"/>
                      <w:szCs w:val="21"/>
                    </w:rPr>
                  </w:pPr>
                  <w:bookmarkStart w:id="34" w:name="OLE_LINK66"/>
                  <w:bookmarkStart w:id="35" w:name="OLE_LINK64"/>
                  <w:r>
                    <w:rPr>
                      <w:rFonts w:hint="eastAsia"/>
                      <w:kern w:val="0"/>
                      <w:szCs w:val="21"/>
                    </w:rPr>
                    <w:t>4台</w:t>
                  </w:r>
                  <w:bookmarkEnd w:id="34"/>
                  <w:bookmarkEnd w:id="35"/>
                </w:p>
              </w:tc>
              <w:tc>
                <w:tcPr>
                  <w:tcW w:w="765" w:type="pct"/>
                  <w:vAlign w:val="center"/>
                </w:tcPr>
                <w:p w14:paraId="4ED72B84">
                  <w:pPr>
                    <w:adjustRightInd w:val="0"/>
                    <w:snapToGrid w:val="0"/>
                    <w:jc w:val="center"/>
                    <w:rPr>
                      <w:kern w:val="0"/>
                      <w:szCs w:val="21"/>
                    </w:rPr>
                  </w:pPr>
                  <w:r>
                    <w:rPr>
                      <w:kern w:val="0"/>
                      <w:szCs w:val="21"/>
                    </w:rPr>
                    <w:t>新增</w:t>
                  </w:r>
                </w:p>
              </w:tc>
            </w:tr>
            <w:tr w14:paraId="0D042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FD17EC4">
                  <w:pPr>
                    <w:adjustRightInd w:val="0"/>
                    <w:snapToGrid w:val="0"/>
                    <w:jc w:val="center"/>
                    <w:rPr>
                      <w:szCs w:val="21"/>
                    </w:rPr>
                  </w:pPr>
                  <w:r>
                    <w:rPr>
                      <w:rFonts w:hint="eastAsia"/>
                      <w:szCs w:val="21"/>
                    </w:rPr>
                    <w:t>24</w:t>
                  </w:r>
                </w:p>
              </w:tc>
              <w:tc>
                <w:tcPr>
                  <w:tcW w:w="825" w:type="pct"/>
                  <w:vMerge w:val="continue"/>
                  <w:vAlign w:val="center"/>
                </w:tcPr>
                <w:p w14:paraId="0BA42EEC">
                  <w:pPr>
                    <w:adjustRightInd w:val="0"/>
                    <w:snapToGrid w:val="0"/>
                    <w:jc w:val="center"/>
                    <w:rPr>
                      <w:szCs w:val="21"/>
                    </w:rPr>
                  </w:pPr>
                </w:p>
              </w:tc>
              <w:tc>
                <w:tcPr>
                  <w:tcW w:w="1522" w:type="pct"/>
                  <w:vAlign w:val="center"/>
                </w:tcPr>
                <w:p w14:paraId="047BA5B4">
                  <w:pPr>
                    <w:adjustRightInd w:val="0"/>
                    <w:snapToGrid w:val="0"/>
                    <w:jc w:val="center"/>
                    <w:rPr>
                      <w:szCs w:val="21"/>
                    </w:rPr>
                  </w:pPr>
                  <w:r>
                    <w:rPr>
                      <w:rFonts w:hint="eastAsia"/>
                      <w:szCs w:val="21"/>
                    </w:rPr>
                    <w:t>降碎装置</w:t>
                  </w:r>
                </w:p>
              </w:tc>
              <w:tc>
                <w:tcPr>
                  <w:tcW w:w="718" w:type="pct"/>
                  <w:vAlign w:val="center"/>
                </w:tcPr>
                <w:p w14:paraId="6C707E5A">
                  <w:pPr>
                    <w:adjustRightInd w:val="0"/>
                    <w:snapToGrid w:val="0"/>
                    <w:jc w:val="center"/>
                    <w:rPr>
                      <w:szCs w:val="21"/>
                    </w:rPr>
                  </w:pPr>
                </w:p>
              </w:tc>
              <w:tc>
                <w:tcPr>
                  <w:tcW w:w="765" w:type="pct"/>
                  <w:vAlign w:val="center"/>
                </w:tcPr>
                <w:p w14:paraId="156E3153">
                  <w:pPr>
                    <w:adjustRightInd w:val="0"/>
                    <w:snapToGrid w:val="0"/>
                    <w:jc w:val="center"/>
                    <w:rPr>
                      <w:kern w:val="0"/>
                      <w:szCs w:val="21"/>
                    </w:rPr>
                  </w:pPr>
                  <w:r>
                    <w:rPr>
                      <w:rFonts w:hint="eastAsia"/>
                      <w:kern w:val="0"/>
                      <w:szCs w:val="21"/>
                    </w:rPr>
                    <w:t>8台</w:t>
                  </w:r>
                </w:p>
              </w:tc>
              <w:tc>
                <w:tcPr>
                  <w:tcW w:w="765" w:type="pct"/>
                  <w:vAlign w:val="center"/>
                </w:tcPr>
                <w:p w14:paraId="0B9B2AF4">
                  <w:pPr>
                    <w:adjustRightInd w:val="0"/>
                    <w:snapToGrid w:val="0"/>
                    <w:jc w:val="center"/>
                    <w:rPr>
                      <w:kern w:val="0"/>
                      <w:szCs w:val="21"/>
                    </w:rPr>
                  </w:pPr>
                  <w:r>
                    <w:rPr>
                      <w:kern w:val="0"/>
                      <w:szCs w:val="21"/>
                    </w:rPr>
                    <w:t>新增</w:t>
                  </w:r>
                </w:p>
              </w:tc>
            </w:tr>
            <w:tr w14:paraId="41137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18915369">
                  <w:pPr>
                    <w:adjustRightInd w:val="0"/>
                    <w:snapToGrid w:val="0"/>
                    <w:jc w:val="center"/>
                    <w:rPr>
                      <w:szCs w:val="21"/>
                    </w:rPr>
                  </w:pPr>
                  <w:r>
                    <w:rPr>
                      <w:rFonts w:hint="eastAsia"/>
                      <w:szCs w:val="21"/>
                    </w:rPr>
                    <w:t>25</w:t>
                  </w:r>
                </w:p>
              </w:tc>
              <w:tc>
                <w:tcPr>
                  <w:tcW w:w="825" w:type="pct"/>
                  <w:vMerge w:val="continue"/>
                  <w:vAlign w:val="center"/>
                </w:tcPr>
                <w:p w14:paraId="095DA1C2">
                  <w:pPr>
                    <w:adjustRightInd w:val="0"/>
                    <w:snapToGrid w:val="0"/>
                    <w:jc w:val="center"/>
                    <w:rPr>
                      <w:szCs w:val="21"/>
                    </w:rPr>
                  </w:pPr>
                </w:p>
              </w:tc>
              <w:tc>
                <w:tcPr>
                  <w:tcW w:w="1522" w:type="pct"/>
                  <w:vAlign w:val="center"/>
                </w:tcPr>
                <w:p w14:paraId="032DB4F6">
                  <w:pPr>
                    <w:adjustRightInd w:val="0"/>
                    <w:snapToGrid w:val="0"/>
                    <w:jc w:val="center"/>
                    <w:rPr>
                      <w:szCs w:val="21"/>
                    </w:rPr>
                  </w:pPr>
                  <w:r>
                    <w:rPr>
                      <w:rFonts w:hint="eastAsia"/>
                      <w:szCs w:val="21"/>
                    </w:rPr>
                    <w:t>侧壁无尘料斗</w:t>
                  </w:r>
                </w:p>
              </w:tc>
              <w:tc>
                <w:tcPr>
                  <w:tcW w:w="718" w:type="pct"/>
                  <w:vAlign w:val="center"/>
                </w:tcPr>
                <w:p w14:paraId="4D39CC93">
                  <w:pPr>
                    <w:adjustRightInd w:val="0"/>
                    <w:snapToGrid w:val="0"/>
                    <w:jc w:val="center"/>
                    <w:rPr>
                      <w:szCs w:val="21"/>
                    </w:rPr>
                  </w:pPr>
                </w:p>
              </w:tc>
              <w:tc>
                <w:tcPr>
                  <w:tcW w:w="765" w:type="pct"/>
                  <w:vAlign w:val="center"/>
                </w:tcPr>
                <w:p w14:paraId="5A8882AE">
                  <w:pPr>
                    <w:adjustRightInd w:val="0"/>
                    <w:snapToGrid w:val="0"/>
                    <w:jc w:val="center"/>
                    <w:rPr>
                      <w:kern w:val="0"/>
                      <w:szCs w:val="21"/>
                    </w:rPr>
                  </w:pPr>
                  <w:r>
                    <w:rPr>
                      <w:rFonts w:hint="eastAsia"/>
                      <w:kern w:val="0"/>
                      <w:szCs w:val="21"/>
                    </w:rPr>
                    <w:t>12台</w:t>
                  </w:r>
                </w:p>
              </w:tc>
              <w:tc>
                <w:tcPr>
                  <w:tcW w:w="765" w:type="pct"/>
                  <w:vAlign w:val="center"/>
                </w:tcPr>
                <w:p w14:paraId="00EF0547">
                  <w:pPr>
                    <w:adjustRightInd w:val="0"/>
                    <w:snapToGrid w:val="0"/>
                    <w:jc w:val="center"/>
                    <w:rPr>
                      <w:kern w:val="0"/>
                      <w:szCs w:val="21"/>
                    </w:rPr>
                  </w:pPr>
                  <w:r>
                    <w:rPr>
                      <w:kern w:val="0"/>
                      <w:szCs w:val="21"/>
                    </w:rPr>
                    <w:t>新增</w:t>
                  </w:r>
                </w:p>
              </w:tc>
            </w:tr>
            <w:tr w14:paraId="560C5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27A4A6F8">
                  <w:pPr>
                    <w:adjustRightInd w:val="0"/>
                    <w:snapToGrid w:val="0"/>
                    <w:jc w:val="center"/>
                    <w:rPr>
                      <w:szCs w:val="21"/>
                    </w:rPr>
                  </w:pPr>
                  <w:r>
                    <w:rPr>
                      <w:rFonts w:hint="eastAsia"/>
                      <w:szCs w:val="21"/>
                    </w:rPr>
                    <w:t>26</w:t>
                  </w:r>
                </w:p>
              </w:tc>
              <w:tc>
                <w:tcPr>
                  <w:tcW w:w="825" w:type="pct"/>
                  <w:vMerge w:val="continue"/>
                  <w:vAlign w:val="center"/>
                </w:tcPr>
                <w:p w14:paraId="0212E8A5">
                  <w:pPr>
                    <w:adjustRightInd w:val="0"/>
                    <w:snapToGrid w:val="0"/>
                    <w:jc w:val="center"/>
                    <w:rPr>
                      <w:szCs w:val="21"/>
                    </w:rPr>
                  </w:pPr>
                </w:p>
              </w:tc>
              <w:tc>
                <w:tcPr>
                  <w:tcW w:w="1522" w:type="pct"/>
                  <w:vAlign w:val="center"/>
                </w:tcPr>
                <w:p w14:paraId="4F512AD0">
                  <w:pPr>
                    <w:adjustRightInd w:val="0"/>
                    <w:snapToGrid w:val="0"/>
                    <w:jc w:val="center"/>
                    <w:rPr>
                      <w:szCs w:val="21"/>
                    </w:rPr>
                  </w:pPr>
                  <w:r>
                    <w:rPr>
                      <w:szCs w:val="21"/>
                    </w:rPr>
                    <w:t>仓顶除尘器</w:t>
                  </w:r>
                </w:p>
              </w:tc>
              <w:tc>
                <w:tcPr>
                  <w:tcW w:w="718" w:type="pct"/>
                  <w:vAlign w:val="center"/>
                </w:tcPr>
                <w:p w14:paraId="6BF7789A">
                  <w:pPr>
                    <w:adjustRightInd w:val="0"/>
                    <w:snapToGrid w:val="0"/>
                    <w:jc w:val="center"/>
                    <w:rPr>
                      <w:szCs w:val="21"/>
                    </w:rPr>
                  </w:pPr>
                </w:p>
              </w:tc>
              <w:tc>
                <w:tcPr>
                  <w:tcW w:w="765" w:type="pct"/>
                  <w:vAlign w:val="center"/>
                </w:tcPr>
                <w:p w14:paraId="5F9168EA">
                  <w:pPr>
                    <w:adjustRightInd w:val="0"/>
                    <w:snapToGrid w:val="0"/>
                    <w:jc w:val="center"/>
                    <w:rPr>
                      <w:kern w:val="0"/>
                      <w:szCs w:val="21"/>
                    </w:rPr>
                  </w:pPr>
                  <w:r>
                    <w:rPr>
                      <w:rFonts w:hint="eastAsia"/>
                      <w:kern w:val="0"/>
                      <w:szCs w:val="21"/>
                    </w:rPr>
                    <w:t>4套</w:t>
                  </w:r>
                </w:p>
              </w:tc>
              <w:tc>
                <w:tcPr>
                  <w:tcW w:w="765" w:type="pct"/>
                  <w:vAlign w:val="center"/>
                </w:tcPr>
                <w:p w14:paraId="74D6A8FF">
                  <w:pPr>
                    <w:adjustRightInd w:val="0"/>
                    <w:snapToGrid w:val="0"/>
                    <w:jc w:val="center"/>
                    <w:rPr>
                      <w:kern w:val="0"/>
                      <w:szCs w:val="21"/>
                    </w:rPr>
                  </w:pPr>
                  <w:r>
                    <w:rPr>
                      <w:kern w:val="0"/>
                      <w:szCs w:val="21"/>
                    </w:rPr>
                    <w:t>新增</w:t>
                  </w:r>
                </w:p>
              </w:tc>
            </w:tr>
            <w:tr w14:paraId="2626A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6B879FD1">
                  <w:pPr>
                    <w:adjustRightInd w:val="0"/>
                    <w:snapToGrid w:val="0"/>
                    <w:jc w:val="center"/>
                    <w:rPr>
                      <w:szCs w:val="21"/>
                    </w:rPr>
                  </w:pPr>
                  <w:r>
                    <w:rPr>
                      <w:rFonts w:hint="eastAsia"/>
                      <w:szCs w:val="21"/>
                    </w:rPr>
                    <w:t>27</w:t>
                  </w:r>
                </w:p>
              </w:tc>
              <w:tc>
                <w:tcPr>
                  <w:tcW w:w="825" w:type="pct"/>
                  <w:vMerge w:val="restart"/>
                  <w:vAlign w:val="center"/>
                </w:tcPr>
                <w:p w14:paraId="6F1BDE72">
                  <w:pPr>
                    <w:adjustRightInd w:val="0"/>
                    <w:snapToGrid w:val="0"/>
                    <w:jc w:val="center"/>
                    <w:rPr>
                      <w:szCs w:val="21"/>
                    </w:rPr>
                  </w:pPr>
                  <w:r>
                    <w:rPr>
                      <w:kern w:val="0"/>
                      <w:szCs w:val="21"/>
                    </w:rPr>
                    <w:t>环保设施</w:t>
                  </w:r>
                </w:p>
              </w:tc>
              <w:tc>
                <w:tcPr>
                  <w:tcW w:w="1522" w:type="pct"/>
                  <w:vAlign w:val="center"/>
                </w:tcPr>
                <w:p w14:paraId="20205DFE">
                  <w:pPr>
                    <w:adjustRightInd w:val="0"/>
                    <w:snapToGrid w:val="0"/>
                    <w:jc w:val="center"/>
                    <w:rPr>
                      <w:szCs w:val="21"/>
                    </w:rPr>
                  </w:pPr>
                  <w:r>
                    <w:rPr>
                      <w:rFonts w:hint="eastAsia"/>
                      <w:szCs w:val="21"/>
                    </w:rPr>
                    <w:t>沉降室+布袋除尘器</w:t>
                  </w:r>
                </w:p>
              </w:tc>
              <w:tc>
                <w:tcPr>
                  <w:tcW w:w="718" w:type="pct"/>
                  <w:vAlign w:val="center"/>
                </w:tcPr>
                <w:p w14:paraId="273FA309">
                  <w:pPr>
                    <w:adjustRightInd w:val="0"/>
                    <w:snapToGrid w:val="0"/>
                    <w:jc w:val="center"/>
                    <w:rPr>
                      <w:szCs w:val="21"/>
                    </w:rPr>
                  </w:pPr>
                </w:p>
              </w:tc>
              <w:tc>
                <w:tcPr>
                  <w:tcW w:w="765" w:type="pct"/>
                  <w:vAlign w:val="center"/>
                </w:tcPr>
                <w:p w14:paraId="76DE20A9">
                  <w:pPr>
                    <w:adjustRightInd w:val="0"/>
                    <w:snapToGrid w:val="0"/>
                    <w:jc w:val="center"/>
                    <w:rPr>
                      <w:kern w:val="0"/>
                      <w:szCs w:val="21"/>
                    </w:rPr>
                  </w:pPr>
                  <w:r>
                    <w:rPr>
                      <w:rFonts w:hint="eastAsia"/>
                      <w:kern w:val="0"/>
                      <w:szCs w:val="21"/>
                    </w:rPr>
                    <w:t>1套</w:t>
                  </w:r>
                </w:p>
              </w:tc>
              <w:tc>
                <w:tcPr>
                  <w:tcW w:w="765" w:type="pct"/>
                  <w:vAlign w:val="center"/>
                </w:tcPr>
                <w:p w14:paraId="5A8ACB9D">
                  <w:pPr>
                    <w:adjustRightInd w:val="0"/>
                    <w:snapToGrid w:val="0"/>
                    <w:jc w:val="center"/>
                    <w:rPr>
                      <w:kern w:val="0"/>
                      <w:szCs w:val="21"/>
                    </w:rPr>
                  </w:pPr>
                  <w:r>
                    <w:rPr>
                      <w:kern w:val="0"/>
                      <w:szCs w:val="21"/>
                    </w:rPr>
                    <w:t>新增</w:t>
                  </w:r>
                </w:p>
              </w:tc>
            </w:tr>
            <w:tr w14:paraId="48CC2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 w:type="pct"/>
                  <w:vAlign w:val="center"/>
                </w:tcPr>
                <w:p w14:paraId="7C691727">
                  <w:pPr>
                    <w:adjustRightInd w:val="0"/>
                    <w:snapToGrid w:val="0"/>
                    <w:jc w:val="center"/>
                    <w:rPr>
                      <w:szCs w:val="21"/>
                    </w:rPr>
                  </w:pPr>
                  <w:r>
                    <w:rPr>
                      <w:rFonts w:hint="eastAsia"/>
                      <w:szCs w:val="21"/>
                    </w:rPr>
                    <w:t>28</w:t>
                  </w:r>
                </w:p>
              </w:tc>
              <w:tc>
                <w:tcPr>
                  <w:tcW w:w="825" w:type="pct"/>
                  <w:vMerge w:val="continue"/>
                  <w:vAlign w:val="center"/>
                </w:tcPr>
                <w:p w14:paraId="6604B499">
                  <w:pPr>
                    <w:adjustRightInd w:val="0"/>
                    <w:snapToGrid w:val="0"/>
                    <w:jc w:val="center"/>
                    <w:rPr>
                      <w:szCs w:val="21"/>
                    </w:rPr>
                  </w:pPr>
                </w:p>
              </w:tc>
              <w:tc>
                <w:tcPr>
                  <w:tcW w:w="1522" w:type="pct"/>
                  <w:vAlign w:val="center"/>
                </w:tcPr>
                <w:p w14:paraId="4E0C0FF0">
                  <w:pPr>
                    <w:adjustRightInd w:val="0"/>
                    <w:snapToGrid w:val="0"/>
                    <w:jc w:val="center"/>
                    <w:rPr>
                      <w:szCs w:val="21"/>
                    </w:rPr>
                  </w:pPr>
                  <w:r>
                    <w:rPr>
                      <w:rFonts w:hint="eastAsia"/>
                      <w:szCs w:val="21"/>
                    </w:rPr>
                    <w:t>旋风+布袋除尘器</w:t>
                  </w:r>
                </w:p>
              </w:tc>
              <w:tc>
                <w:tcPr>
                  <w:tcW w:w="718" w:type="pct"/>
                  <w:vAlign w:val="center"/>
                </w:tcPr>
                <w:p w14:paraId="08145528">
                  <w:pPr>
                    <w:adjustRightInd w:val="0"/>
                    <w:snapToGrid w:val="0"/>
                    <w:jc w:val="center"/>
                    <w:rPr>
                      <w:szCs w:val="21"/>
                    </w:rPr>
                  </w:pPr>
                </w:p>
              </w:tc>
              <w:tc>
                <w:tcPr>
                  <w:tcW w:w="765" w:type="pct"/>
                  <w:vAlign w:val="center"/>
                </w:tcPr>
                <w:p w14:paraId="365362C4">
                  <w:pPr>
                    <w:adjustRightInd w:val="0"/>
                    <w:snapToGrid w:val="0"/>
                    <w:jc w:val="center"/>
                    <w:rPr>
                      <w:kern w:val="0"/>
                      <w:szCs w:val="21"/>
                    </w:rPr>
                  </w:pPr>
                  <w:r>
                    <w:rPr>
                      <w:rFonts w:hint="eastAsia"/>
                      <w:kern w:val="0"/>
                      <w:szCs w:val="21"/>
                    </w:rPr>
                    <w:t>1套</w:t>
                  </w:r>
                </w:p>
              </w:tc>
              <w:tc>
                <w:tcPr>
                  <w:tcW w:w="765" w:type="pct"/>
                  <w:vAlign w:val="center"/>
                </w:tcPr>
                <w:p w14:paraId="26179643">
                  <w:pPr>
                    <w:adjustRightInd w:val="0"/>
                    <w:snapToGrid w:val="0"/>
                    <w:jc w:val="center"/>
                    <w:rPr>
                      <w:kern w:val="0"/>
                      <w:szCs w:val="21"/>
                    </w:rPr>
                  </w:pPr>
                  <w:r>
                    <w:rPr>
                      <w:kern w:val="0"/>
                      <w:szCs w:val="21"/>
                    </w:rPr>
                    <w:t>新增</w:t>
                  </w:r>
                </w:p>
              </w:tc>
            </w:tr>
          </w:tbl>
          <w:p w14:paraId="4711E1C3">
            <w:pPr>
              <w:adjustRightInd w:val="0"/>
              <w:snapToGrid w:val="0"/>
              <w:spacing w:line="360" w:lineRule="auto"/>
              <w:ind w:firstLine="420" w:firstLineChars="200"/>
              <w:rPr>
                <w:b/>
                <w:bCs/>
                <w:sz w:val="24"/>
              </w:rPr>
            </w:pPr>
            <w:r>
              <w:t>注：由《产业结构调整指导目录（2024版本）》和《部分工业行业淘汰落后生产工艺装备和产品指导目录（2010年本）》可知，项目所选设备均不属于国家淘汰和限制的产业类型，可满足正常生产需要。</w:t>
            </w:r>
          </w:p>
          <w:p w14:paraId="30D7A541">
            <w:pPr>
              <w:adjustRightInd w:val="0"/>
              <w:snapToGrid w:val="0"/>
              <w:spacing w:line="360" w:lineRule="auto"/>
              <w:ind w:firstLine="482" w:firstLineChars="200"/>
              <w:rPr>
                <w:b/>
                <w:bCs/>
                <w:sz w:val="24"/>
              </w:rPr>
            </w:pPr>
            <w:r>
              <w:rPr>
                <w:rFonts w:hint="eastAsia"/>
                <w:b/>
                <w:bCs/>
                <w:sz w:val="24"/>
              </w:rPr>
              <w:t>5、原辅材料</w:t>
            </w:r>
          </w:p>
          <w:p w14:paraId="375C692F">
            <w:pPr>
              <w:adjustRightInd w:val="0"/>
              <w:snapToGrid w:val="0"/>
              <w:spacing w:line="360" w:lineRule="auto"/>
              <w:ind w:firstLine="480" w:firstLineChars="200"/>
              <w:rPr>
                <w:bCs/>
                <w:sz w:val="24"/>
              </w:rPr>
            </w:pPr>
            <w:r>
              <w:rPr>
                <w:rFonts w:hint="eastAsia"/>
                <w:bCs/>
                <w:sz w:val="24"/>
              </w:rPr>
              <w:t>项目主要原辅材料及能源消耗用量见表2-5：</w:t>
            </w:r>
          </w:p>
          <w:p w14:paraId="6B045E5F">
            <w:pPr>
              <w:autoSpaceDE w:val="0"/>
              <w:autoSpaceDN w:val="0"/>
              <w:adjustRightInd w:val="0"/>
              <w:spacing w:before="120" w:beforeLines="50"/>
              <w:jc w:val="center"/>
              <w:rPr>
                <w:b/>
                <w:kern w:val="0"/>
                <w:szCs w:val="21"/>
              </w:rPr>
            </w:pPr>
            <w:r>
              <w:rPr>
                <w:b/>
                <w:kern w:val="0"/>
                <w:szCs w:val="21"/>
              </w:rPr>
              <w:t>表2-</w:t>
            </w:r>
            <w:r>
              <w:rPr>
                <w:rFonts w:hint="eastAsia"/>
                <w:b/>
                <w:kern w:val="0"/>
                <w:szCs w:val="21"/>
              </w:rPr>
              <w:t xml:space="preserve">5 </w:t>
            </w:r>
            <w:r>
              <w:rPr>
                <w:b/>
                <w:kern w:val="0"/>
                <w:szCs w:val="21"/>
              </w:rPr>
              <w:t xml:space="preserve"> 主要原辅材料及能源消耗一览表</w:t>
            </w:r>
          </w:p>
          <w:tbl>
            <w:tblPr>
              <w:tblStyle w:val="28"/>
              <w:tblW w:w="48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20"/>
              <w:gridCol w:w="537"/>
              <w:gridCol w:w="1531"/>
              <w:gridCol w:w="1177"/>
              <w:gridCol w:w="1177"/>
              <w:gridCol w:w="1068"/>
              <w:gridCol w:w="3034"/>
            </w:tblGrid>
            <w:tr w14:paraId="18929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shd w:val="clear" w:color="auto" w:fill="auto"/>
                  <w:vAlign w:val="center"/>
                </w:tcPr>
                <w:p w14:paraId="75C33296">
                  <w:pPr>
                    <w:adjustRightInd w:val="0"/>
                    <w:snapToGrid w:val="0"/>
                    <w:jc w:val="center"/>
                    <w:rPr>
                      <w:b/>
                      <w:bCs/>
                      <w:szCs w:val="21"/>
                    </w:rPr>
                  </w:pPr>
                  <w:r>
                    <w:rPr>
                      <w:b/>
                      <w:bCs/>
                      <w:szCs w:val="21"/>
                    </w:rPr>
                    <w:t>类型</w:t>
                  </w:r>
                </w:p>
              </w:tc>
              <w:tc>
                <w:tcPr>
                  <w:tcW w:w="332" w:type="pct"/>
                  <w:shd w:val="clear" w:color="auto" w:fill="auto"/>
                  <w:vAlign w:val="center"/>
                </w:tcPr>
                <w:p w14:paraId="360620CB">
                  <w:pPr>
                    <w:adjustRightInd w:val="0"/>
                    <w:snapToGrid w:val="0"/>
                    <w:jc w:val="center"/>
                    <w:rPr>
                      <w:b/>
                      <w:bCs/>
                      <w:szCs w:val="21"/>
                    </w:rPr>
                  </w:pPr>
                  <w:r>
                    <w:rPr>
                      <w:b/>
                      <w:bCs/>
                      <w:szCs w:val="21"/>
                    </w:rPr>
                    <w:t>序号</w:t>
                  </w:r>
                </w:p>
              </w:tc>
              <w:tc>
                <w:tcPr>
                  <w:tcW w:w="881" w:type="pct"/>
                  <w:shd w:val="clear" w:color="auto" w:fill="auto"/>
                  <w:vAlign w:val="center"/>
                </w:tcPr>
                <w:p w14:paraId="2C1BF5D1">
                  <w:pPr>
                    <w:adjustRightInd w:val="0"/>
                    <w:snapToGrid w:val="0"/>
                    <w:jc w:val="center"/>
                    <w:rPr>
                      <w:b/>
                      <w:bCs/>
                      <w:szCs w:val="21"/>
                    </w:rPr>
                  </w:pPr>
                  <w:r>
                    <w:rPr>
                      <w:b/>
                      <w:bCs/>
                      <w:szCs w:val="21"/>
                    </w:rPr>
                    <w:t>名称</w:t>
                  </w:r>
                </w:p>
              </w:tc>
              <w:tc>
                <w:tcPr>
                  <w:tcW w:w="515" w:type="pct"/>
                  <w:vAlign w:val="center"/>
                </w:tcPr>
                <w:p w14:paraId="161BFFC7">
                  <w:pPr>
                    <w:adjustRightInd w:val="0"/>
                    <w:snapToGrid w:val="0"/>
                    <w:jc w:val="center"/>
                    <w:rPr>
                      <w:b/>
                      <w:bCs/>
                      <w:szCs w:val="21"/>
                    </w:rPr>
                  </w:pPr>
                  <w:r>
                    <w:rPr>
                      <w:rFonts w:hint="eastAsia"/>
                      <w:b/>
                      <w:bCs/>
                      <w:szCs w:val="21"/>
                    </w:rPr>
                    <w:t>改扩建</w:t>
                  </w:r>
                  <w:r>
                    <w:rPr>
                      <w:b/>
                      <w:bCs/>
                      <w:szCs w:val="21"/>
                    </w:rPr>
                    <w:t>前年用量</w:t>
                  </w:r>
                </w:p>
              </w:tc>
              <w:tc>
                <w:tcPr>
                  <w:tcW w:w="652" w:type="pct"/>
                  <w:vAlign w:val="center"/>
                </w:tcPr>
                <w:p w14:paraId="60AA3655">
                  <w:pPr>
                    <w:adjustRightInd w:val="0"/>
                    <w:snapToGrid w:val="0"/>
                    <w:jc w:val="center"/>
                    <w:rPr>
                      <w:b/>
                      <w:bCs/>
                      <w:szCs w:val="21"/>
                    </w:rPr>
                  </w:pPr>
                  <w:r>
                    <w:rPr>
                      <w:b/>
                      <w:bCs/>
                      <w:szCs w:val="21"/>
                    </w:rPr>
                    <w:t>改扩建完成后年用量</w:t>
                  </w:r>
                </w:p>
              </w:tc>
              <w:tc>
                <w:tcPr>
                  <w:tcW w:w="551" w:type="pct"/>
                  <w:vAlign w:val="center"/>
                </w:tcPr>
                <w:p w14:paraId="0EEE8EE2">
                  <w:pPr>
                    <w:adjustRightInd w:val="0"/>
                    <w:snapToGrid w:val="0"/>
                    <w:jc w:val="center"/>
                    <w:rPr>
                      <w:b/>
                      <w:bCs/>
                      <w:szCs w:val="21"/>
                    </w:rPr>
                  </w:pPr>
                  <w:r>
                    <w:rPr>
                      <w:b/>
                      <w:bCs/>
                      <w:szCs w:val="21"/>
                    </w:rPr>
                    <w:t>新增量</w:t>
                  </w:r>
                </w:p>
              </w:tc>
              <w:tc>
                <w:tcPr>
                  <w:tcW w:w="1745" w:type="pct"/>
                  <w:vAlign w:val="center"/>
                </w:tcPr>
                <w:p w14:paraId="5D9D83E5">
                  <w:pPr>
                    <w:adjustRightInd w:val="0"/>
                    <w:snapToGrid w:val="0"/>
                    <w:jc w:val="center"/>
                    <w:rPr>
                      <w:b/>
                      <w:bCs/>
                      <w:szCs w:val="21"/>
                    </w:rPr>
                  </w:pPr>
                  <w:r>
                    <w:rPr>
                      <w:b/>
                      <w:bCs/>
                      <w:szCs w:val="21"/>
                    </w:rPr>
                    <w:t>备注</w:t>
                  </w:r>
                </w:p>
              </w:tc>
            </w:tr>
            <w:tr w14:paraId="5F1A9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restart"/>
                  <w:shd w:val="clear" w:color="auto" w:fill="auto"/>
                  <w:vAlign w:val="center"/>
                </w:tcPr>
                <w:p w14:paraId="00B59627">
                  <w:pPr>
                    <w:adjustRightInd w:val="0"/>
                    <w:snapToGrid w:val="0"/>
                    <w:jc w:val="center"/>
                    <w:rPr>
                      <w:bCs/>
                      <w:szCs w:val="21"/>
                    </w:rPr>
                  </w:pPr>
                  <w:r>
                    <w:rPr>
                      <w:bCs/>
                      <w:szCs w:val="21"/>
                    </w:rPr>
                    <w:t>原料</w:t>
                  </w:r>
                </w:p>
              </w:tc>
              <w:tc>
                <w:tcPr>
                  <w:tcW w:w="332" w:type="pct"/>
                  <w:shd w:val="clear" w:color="auto" w:fill="auto"/>
                  <w:vAlign w:val="center"/>
                </w:tcPr>
                <w:p w14:paraId="73B29F24">
                  <w:pPr>
                    <w:adjustRightInd w:val="0"/>
                    <w:snapToGrid w:val="0"/>
                    <w:jc w:val="center"/>
                    <w:rPr>
                      <w:bCs/>
                      <w:szCs w:val="21"/>
                    </w:rPr>
                  </w:pPr>
                  <w:r>
                    <w:rPr>
                      <w:bCs/>
                      <w:szCs w:val="21"/>
                    </w:rPr>
                    <w:t>1</w:t>
                  </w:r>
                </w:p>
              </w:tc>
              <w:tc>
                <w:tcPr>
                  <w:tcW w:w="881" w:type="pct"/>
                  <w:shd w:val="clear" w:color="auto" w:fill="auto"/>
                  <w:vAlign w:val="center"/>
                </w:tcPr>
                <w:p w14:paraId="7682B76C">
                  <w:pPr>
                    <w:pStyle w:val="27"/>
                    <w:spacing w:after="0"/>
                    <w:ind w:firstLine="0" w:firstLineChars="0"/>
                    <w:jc w:val="center"/>
                    <w:rPr>
                      <w:rFonts w:ascii="Times New Roman" w:hAnsi="Times New Roman"/>
                      <w:szCs w:val="21"/>
                    </w:rPr>
                  </w:pPr>
                  <w:r>
                    <w:rPr>
                      <w:rFonts w:ascii="Times New Roman" w:hAnsi="Times New Roman"/>
                      <w:szCs w:val="21"/>
                    </w:rPr>
                    <w:t>粮食（主要为稻谷）</w:t>
                  </w:r>
                </w:p>
              </w:tc>
              <w:tc>
                <w:tcPr>
                  <w:tcW w:w="515" w:type="pct"/>
                  <w:vAlign w:val="center"/>
                </w:tcPr>
                <w:p w14:paraId="6338DFDD">
                  <w:pPr>
                    <w:pStyle w:val="27"/>
                    <w:spacing w:after="0"/>
                    <w:ind w:firstLine="0" w:firstLineChars="0"/>
                    <w:jc w:val="center"/>
                    <w:rPr>
                      <w:rFonts w:ascii="Times New Roman" w:hAnsi="Times New Roman"/>
                      <w:szCs w:val="21"/>
                    </w:rPr>
                  </w:pPr>
                  <w:r>
                    <w:rPr>
                      <w:rFonts w:hint="eastAsia" w:ascii="Times New Roman" w:hAnsi="Times New Roman"/>
                      <w:szCs w:val="21"/>
                    </w:rPr>
                    <w:t>1.65万吨</w:t>
                  </w:r>
                </w:p>
              </w:tc>
              <w:tc>
                <w:tcPr>
                  <w:tcW w:w="652" w:type="pct"/>
                  <w:vAlign w:val="center"/>
                </w:tcPr>
                <w:p w14:paraId="52AB37FA">
                  <w:pPr>
                    <w:pStyle w:val="27"/>
                    <w:spacing w:after="0"/>
                    <w:ind w:firstLine="0" w:firstLineChars="0"/>
                    <w:jc w:val="center"/>
                    <w:rPr>
                      <w:rFonts w:ascii="Times New Roman" w:hAnsi="Times New Roman"/>
                      <w:szCs w:val="21"/>
                    </w:rPr>
                  </w:pPr>
                  <w:r>
                    <w:rPr>
                      <w:rFonts w:ascii="Times New Roman" w:hAnsi="Times New Roman"/>
                      <w:szCs w:val="21"/>
                    </w:rPr>
                    <w:t>4.68万吨</w:t>
                  </w:r>
                </w:p>
              </w:tc>
              <w:tc>
                <w:tcPr>
                  <w:tcW w:w="551" w:type="pct"/>
                  <w:vAlign w:val="center"/>
                </w:tcPr>
                <w:p w14:paraId="3837FBD4">
                  <w:pPr>
                    <w:pStyle w:val="27"/>
                    <w:spacing w:after="0"/>
                    <w:ind w:firstLine="0" w:firstLineChars="0"/>
                    <w:jc w:val="center"/>
                    <w:rPr>
                      <w:rFonts w:ascii="Times New Roman" w:hAnsi="Times New Roman"/>
                      <w:szCs w:val="21"/>
                    </w:rPr>
                  </w:pPr>
                  <w:r>
                    <w:rPr>
                      <w:rFonts w:hint="eastAsia" w:ascii="Times New Roman" w:hAnsi="Times New Roman"/>
                      <w:szCs w:val="21"/>
                    </w:rPr>
                    <w:t>+3.03万吨</w:t>
                  </w:r>
                </w:p>
              </w:tc>
              <w:tc>
                <w:tcPr>
                  <w:tcW w:w="1745" w:type="pct"/>
                  <w:vAlign w:val="center"/>
                </w:tcPr>
                <w:p w14:paraId="0EB083F3">
                  <w:pPr>
                    <w:adjustRightInd w:val="0"/>
                    <w:snapToGrid w:val="0"/>
                    <w:jc w:val="center"/>
                    <w:rPr>
                      <w:bCs/>
                      <w:szCs w:val="21"/>
                    </w:rPr>
                  </w:pPr>
                  <w:r>
                    <w:rPr>
                      <w:szCs w:val="21"/>
                    </w:rPr>
                    <w:t>外购，最大储存量4.68万吨</w:t>
                  </w:r>
                </w:p>
              </w:tc>
            </w:tr>
            <w:tr w14:paraId="66E60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3BF2898B">
                  <w:pPr>
                    <w:adjustRightInd w:val="0"/>
                    <w:snapToGrid w:val="0"/>
                    <w:jc w:val="center"/>
                    <w:rPr>
                      <w:bCs/>
                      <w:szCs w:val="21"/>
                    </w:rPr>
                  </w:pPr>
                </w:p>
              </w:tc>
              <w:tc>
                <w:tcPr>
                  <w:tcW w:w="332" w:type="pct"/>
                  <w:shd w:val="clear" w:color="auto" w:fill="auto"/>
                  <w:vAlign w:val="center"/>
                </w:tcPr>
                <w:p w14:paraId="2C7EECA5">
                  <w:pPr>
                    <w:adjustRightInd w:val="0"/>
                    <w:snapToGrid w:val="0"/>
                    <w:jc w:val="center"/>
                    <w:rPr>
                      <w:bCs/>
                      <w:szCs w:val="21"/>
                    </w:rPr>
                  </w:pPr>
                  <w:r>
                    <w:rPr>
                      <w:bCs/>
                      <w:szCs w:val="21"/>
                    </w:rPr>
                    <w:t>2</w:t>
                  </w:r>
                </w:p>
              </w:tc>
              <w:tc>
                <w:tcPr>
                  <w:tcW w:w="881" w:type="pct"/>
                  <w:shd w:val="clear" w:color="auto" w:fill="auto"/>
                  <w:vAlign w:val="center"/>
                </w:tcPr>
                <w:p w14:paraId="0D2D9F73">
                  <w:pPr>
                    <w:adjustRightInd w:val="0"/>
                    <w:snapToGrid w:val="0"/>
                    <w:jc w:val="center"/>
                    <w:rPr>
                      <w:szCs w:val="21"/>
                    </w:rPr>
                  </w:pPr>
                  <w:r>
                    <w:rPr>
                      <w:szCs w:val="21"/>
                    </w:rPr>
                    <w:t>湿稻谷</w:t>
                  </w:r>
                </w:p>
              </w:tc>
              <w:tc>
                <w:tcPr>
                  <w:tcW w:w="515" w:type="pct"/>
                  <w:vAlign w:val="center"/>
                </w:tcPr>
                <w:p w14:paraId="1D499ED7">
                  <w:pPr>
                    <w:adjustRightInd w:val="0"/>
                    <w:snapToGrid w:val="0"/>
                    <w:jc w:val="center"/>
                    <w:rPr>
                      <w:szCs w:val="21"/>
                    </w:rPr>
                  </w:pPr>
                  <w:r>
                    <w:rPr>
                      <w:rFonts w:hint="eastAsia"/>
                      <w:szCs w:val="21"/>
                    </w:rPr>
                    <w:t>0</w:t>
                  </w:r>
                </w:p>
              </w:tc>
              <w:tc>
                <w:tcPr>
                  <w:tcW w:w="652" w:type="pct"/>
                  <w:vAlign w:val="center"/>
                </w:tcPr>
                <w:p w14:paraId="237D18B1">
                  <w:pPr>
                    <w:adjustRightInd w:val="0"/>
                    <w:snapToGrid w:val="0"/>
                    <w:jc w:val="center"/>
                    <w:rPr>
                      <w:szCs w:val="21"/>
                    </w:rPr>
                  </w:pPr>
                  <w:r>
                    <w:rPr>
                      <w:szCs w:val="21"/>
                    </w:rPr>
                    <w:t>7.5万吨</w:t>
                  </w:r>
                </w:p>
              </w:tc>
              <w:tc>
                <w:tcPr>
                  <w:tcW w:w="551" w:type="pct"/>
                  <w:vAlign w:val="center"/>
                </w:tcPr>
                <w:p w14:paraId="739604E5">
                  <w:pPr>
                    <w:adjustRightInd w:val="0"/>
                    <w:snapToGrid w:val="0"/>
                    <w:jc w:val="center"/>
                    <w:rPr>
                      <w:szCs w:val="21"/>
                    </w:rPr>
                  </w:pPr>
                  <w:r>
                    <w:rPr>
                      <w:rFonts w:hint="eastAsia"/>
                      <w:szCs w:val="21"/>
                    </w:rPr>
                    <w:t>+7.5万吨</w:t>
                  </w:r>
                </w:p>
              </w:tc>
              <w:tc>
                <w:tcPr>
                  <w:tcW w:w="1745" w:type="pct"/>
                  <w:vAlign w:val="center"/>
                </w:tcPr>
                <w:p w14:paraId="0D083408">
                  <w:pPr>
                    <w:adjustRightInd w:val="0"/>
                    <w:snapToGrid w:val="0"/>
                    <w:jc w:val="center"/>
                    <w:rPr>
                      <w:bCs/>
                      <w:szCs w:val="21"/>
                    </w:rPr>
                  </w:pPr>
                  <w:r>
                    <w:rPr>
                      <w:szCs w:val="21"/>
                    </w:rPr>
                    <w:t>夏、秋两季各3.75万吨，用于烘干车间，产品为干稻谷，烘干后的稻谷含水率最高不超过13.5%，可为周边农户提供代烘干服务</w:t>
                  </w:r>
                </w:p>
              </w:tc>
            </w:tr>
            <w:tr w14:paraId="10B9A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5BA5A230">
                  <w:pPr>
                    <w:adjustRightInd w:val="0"/>
                    <w:snapToGrid w:val="0"/>
                    <w:jc w:val="center"/>
                    <w:rPr>
                      <w:bCs/>
                      <w:szCs w:val="21"/>
                    </w:rPr>
                  </w:pPr>
                </w:p>
              </w:tc>
              <w:tc>
                <w:tcPr>
                  <w:tcW w:w="332" w:type="pct"/>
                  <w:shd w:val="clear" w:color="auto" w:fill="auto"/>
                  <w:vAlign w:val="center"/>
                </w:tcPr>
                <w:p w14:paraId="3FD90C32">
                  <w:pPr>
                    <w:adjustRightInd w:val="0"/>
                    <w:snapToGrid w:val="0"/>
                    <w:jc w:val="center"/>
                    <w:rPr>
                      <w:bCs/>
                      <w:szCs w:val="21"/>
                    </w:rPr>
                  </w:pPr>
                  <w:r>
                    <w:rPr>
                      <w:bCs/>
                      <w:szCs w:val="21"/>
                    </w:rPr>
                    <w:t>3</w:t>
                  </w:r>
                </w:p>
              </w:tc>
              <w:tc>
                <w:tcPr>
                  <w:tcW w:w="881" w:type="pct"/>
                  <w:shd w:val="clear" w:color="auto" w:fill="auto"/>
                  <w:vAlign w:val="center"/>
                </w:tcPr>
                <w:p w14:paraId="5EEFE80F">
                  <w:pPr>
                    <w:adjustRightInd w:val="0"/>
                    <w:snapToGrid w:val="0"/>
                    <w:jc w:val="center"/>
                    <w:rPr>
                      <w:szCs w:val="21"/>
                    </w:rPr>
                  </w:pPr>
                  <w:r>
                    <w:rPr>
                      <w:szCs w:val="21"/>
                    </w:rPr>
                    <w:t>磷化铝（AlP）</w:t>
                  </w:r>
                </w:p>
              </w:tc>
              <w:tc>
                <w:tcPr>
                  <w:tcW w:w="515" w:type="pct"/>
                  <w:vAlign w:val="center"/>
                </w:tcPr>
                <w:p w14:paraId="4D889206">
                  <w:pPr>
                    <w:adjustRightInd w:val="0"/>
                    <w:snapToGrid w:val="0"/>
                    <w:jc w:val="center"/>
                    <w:rPr>
                      <w:szCs w:val="21"/>
                    </w:rPr>
                  </w:pPr>
                  <w:r>
                    <w:rPr>
                      <w:rFonts w:hint="eastAsia"/>
                      <w:szCs w:val="21"/>
                    </w:rPr>
                    <w:t>0.1t</w:t>
                  </w:r>
                </w:p>
              </w:tc>
              <w:tc>
                <w:tcPr>
                  <w:tcW w:w="652" w:type="pct"/>
                  <w:vAlign w:val="center"/>
                </w:tcPr>
                <w:p w14:paraId="755919D1">
                  <w:pPr>
                    <w:adjustRightInd w:val="0"/>
                    <w:snapToGrid w:val="0"/>
                    <w:jc w:val="center"/>
                    <w:rPr>
                      <w:szCs w:val="21"/>
                    </w:rPr>
                  </w:pPr>
                  <w:r>
                    <w:rPr>
                      <w:szCs w:val="21"/>
                    </w:rPr>
                    <w:t>0.</w:t>
                  </w:r>
                  <w:r>
                    <w:rPr>
                      <w:rFonts w:hint="eastAsia"/>
                      <w:szCs w:val="21"/>
                    </w:rPr>
                    <w:t>3</w:t>
                  </w:r>
                  <w:r>
                    <w:rPr>
                      <w:szCs w:val="21"/>
                    </w:rPr>
                    <w:t>t</w:t>
                  </w:r>
                </w:p>
              </w:tc>
              <w:tc>
                <w:tcPr>
                  <w:tcW w:w="551" w:type="pct"/>
                  <w:vAlign w:val="center"/>
                </w:tcPr>
                <w:p w14:paraId="5ED09B6C">
                  <w:pPr>
                    <w:adjustRightInd w:val="0"/>
                    <w:snapToGrid w:val="0"/>
                    <w:jc w:val="center"/>
                    <w:rPr>
                      <w:szCs w:val="21"/>
                    </w:rPr>
                  </w:pPr>
                  <w:r>
                    <w:rPr>
                      <w:rFonts w:hint="eastAsia"/>
                      <w:szCs w:val="21"/>
                    </w:rPr>
                    <w:t>+0.2t</w:t>
                  </w:r>
                </w:p>
              </w:tc>
              <w:tc>
                <w:tcPr>
                  <w:tcW w:w="1745" w:type="pct"/>
                  <w:vAlign w:val="center"/>
                </w:tcPr>
                <w:p w14:paraId="64364DFB">
                  <w:pPr>
                    <w:adjustRightInd w:val="0"/>
                    <w:snapToGrid w:val="0"/>
                    <w:jc w:val="center"/>
                    <w:rPr>
                      <w:bCs/>
                      <w:szCs w:val="21"/>
                    </w:rPr>
                  </w:pPr>
                  <w:r>
                    <w:rPr>
                      <w:szCs w:val="21"/>
                    </w:rPr>
                    <w:t>用量按需申请，即送即用，不在厂内贮存</w:t>
                  </w:r>
                </w:p>
              </w:tc>
            </w:tr>
            <w:tr w14:paraId="4B29DA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3A2FA9A5">
                  <w:pPr>
                    <w:adjustRightInd w:val="0"/>
                    <w:snapToGrid w:val="0"/>
                    <w:jc w:val="center"/>
                    <w:rPr>
                      <w:bCs/>
                      <w:szCs w:val="21"/>
                    </w:rPr>
                  </w:pPr>
                  <w:bookmarkStart w:id="36" w:name="_Hlk226617492"/>
                </w:p>
              </w:tc>
              <w:tc>
                <w:tcPr>
                  <w:tcW w:w="332" w:type="pct"/>
                  <w:shd w:val="clear" w:color="auto" w:fill="auto"/>
                  <w:vAlign w:val="center"/>
                </w:tcPr>
                <w:p w14:paraId="3C285348">
                  <w:pPr>
                    <w:adjustRightInd w:val="0"/>
                    <w:snapToGrid w:val="0"/>
                    <w:jc w:val="center"/>
                    <w:rPr>
                      <w:bCs/>
                      <w:szCs w:val="21"/>
                    </w:rPr>
                  </w:pPr>
                  <w:r>
                    <w:rPr>
                      <w:bCs/>
                      <w:szCs w:val="21"/>
                    </w:rPr>
                    <w:t>4</w:t>
                  </w:r>
                </w:p>
              </w:tc>
              <w:tc>
                <w:tcPr>
                  <w:tcW w:w="881" w:type="pct"/>
                  <w:shd w:val="clear" w:color="auto" w:fill="auto"/>
                  <w:vAlign w:val="center"/>
                </w:tcPr>
                <w:p w14:paraId="08610302">
                  <w:pPr>
                    <w:adjustRightInd w:val="0"/>
                    <w:snapToGrid w:val="0"/>
                    <w:jc w:val="center"/>
                    <w:rPr>
                      <w:szCs w:val="21"/>
                    </w:rPr>
                  </w:pPr>
                  <w:r>
                    <w:rPr>
                      <w:szCs w:val="21"/>
                    </w:rPr>
                    <w:t>液压油</w:t>
                  </w:r>
                </w:p>
              </w:tc>
              <w:tc>
                <w:tcPr>
                  <w:tcW w:w="515" w:type="pct"/>
                  <w:vAlign w:val="center"/>
                </w:tcPr>
                <w:p w14:paraId="4D240BA1">
                  <w:pPr>
                    <w:adjustRightInd w:val="0"/>
                    <w:snapToGrid w:val="0"/>
                    <w:jc w:val="center"/>
                    <w:rPr>
                      <w:szCs w:val="21"/>
                    </w:rPr>
                  </w:pPr>
                  <w:r>
                    <w:rPr>
                      <w:rFonts w:hint="eastAsia"/>
                      <w:szCs w:val="21"/>
                    </w:rPr>
                    <w:t>0.1t</w:t>
                  </w:r>
                </w:p>
              </w:tc>
              <w:tc>
                <w:tcPr>
                  <w:tcW w:w="652" w:type="pct"/>
                  <w:vAlign w:val="center"/>
                </w:tcPr>
                <w:p w14:paraId="2E82A48B">
                  <w:pPr>
                    <w:adjustRightInd w:val="0"/>
                    <w:snapToGrid w:val="0"/>
                    <w:jc w:val="center"/>
                    <w:rPr>
                      <w:szCs w:val="21"/>
                    </w:rPr>
                  </w:pPr>
                  <w:r>
                    <w:rPr>
                      <w:rFonts w:hint="eastAsia"/>
                      <w:szCs w:val="21"/>
                    </w:rPr>
                    <w:t>0.3t</w:t>
                  </w:r>
                </w:p>
              </w:tc>
              <w:tc>
                <w:tcPr>
                  <w:tcW w:w="551" w:type="pct"/>
                  <w:vAlign w:val="center"/>
                </w:tcPr>
                <w:p w14:paraId="45DEEBAB">
                  <w:pPr>
                    <w:adjustRightInd w:val="0"/>
                    <w:snapToGrid w:val="0"/>
                    <w:jc w:val="center"/>
                    <w:rPr>
                      <w:szCs w:val="21"/>
                    </w:rPr>
                  </w:pPr>
                  <w:r>
                    <w:rPr>
                      <w:rFonts w:hint="eastAsia"/>
                      <w:szCs w:val="21"/>
                    </w:rPr>
                    <w:t>+0.2t</w:t>
                  </w:r>
                </w:p>
              </w:tc>
              <w:tc>
                <w:tcPr>
                  <w:tcW w:w="1745" w:type="pct"/>
                  <w:vAlign w:val="center"/>
                </w:tcPr>
                <w:p w14:paraId="58CF7AE7">
                  <w:pPr>
                    <w:adjustRightInd w:val="0"/>
                    <w:snapToGrid w:val="0"/>
                    <w:jc w:val="center"/>
                    <w:rPr>
                      <w:szCs w:val="21"/>
                    </w:rPr>
                  </w:pPr>
                  <w:r>
                    <w:rPr>
                      <w:rFonts w:hint="eastAsia"/>
                      <w:szCs w:val="21"/>
                    </w:rPr>
                    <w:t>外购，最大储存量0.1t</w:t>
                  </w:r>
                </w:p>
              </w:tc>
            </w:tr>
            <w:tr w14:paraId="7C687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3B3A4A51">
                  <w:pPr>
                    <w:adjustRightInd w:val="0"/>
                    <w:snapToGrid w:val="0"/>
                    <w:jc w:val="center"/>
                    <w:rPr>
                      <w:bCs/>
                      <w:szCs w:val="21"/>
                    </w:rPr>
                  </w:pPr>
                </w:p>
              </w:tc>
              <w:tc>
                <w:tcPr>
                  <w:tcW w:w="332" w:type="pct"/>
                  <w:shd w:val="clear" w:color="auto" w:fill="auto"/>
                  <w:vAlign w:val="center"/>
                </w:tcPr>
                <w:p w14:paraId="1D3546FE">
                  <w:pPr>
                    <w:adjustRightInd w:val="0"/>
                    <w:snapToGrid w:val="0"/>
                    <w:jc w:val="center"/>
                    <w:rPr>
                      <w:bCs/>
                      <w:szCs w:val="21"/>
                    </w:rPr>
                  </w:pPr>
                  <w:r>
                    <w:rPr>
                      <w:bCs/>
                      <w:szCs w:val="21"/>
                    </w:rPr>
                    <w:t>5</w:t>
                  </w:r>
                </w:p>
              </w:tc>
              <w:tc>
                <w:tcPr>
                  <w:tcW w:w="881" w:type="pct"/>
                  <w:shd w:val="clear" w:color="auto" w:fill="auto"/>
                  <w:vAlign w:val="center"/>
                </w:tcPr>
                <w:p w14:paraId="2A54AD8B">
                  <w:pPr>
                    <w:pStyle w:val="27"/>
                    <w:spacing w:after="0"/>
                    <w:ind w:firstLine="0" w:firstLineChars="0"/>
                    <w:jc w:val="center"/>
                    <w:rPr>
                      <w:rFonts w:ascii="Times New Roman" w:hAnsi="Times New Roman"/>
                      <w:szCs w:val="21"/>
                    </w:rPr>
                  </w:pPr>
                  <w:r>
                    <w:rPr>
                      <w:rFonts w:ascii="Times New Roman" w:hAnsi="Times New Roman"/>
                      <w:szCs w:val="21"/>
                    </w:rPr>
                    <w:t>润滑油</w:t>
                  </w:r>
                </w:p>
              </w:tc>
              <w:tc>
                <w:tcPr>
                  <w:tcW w:w="515" w:type="pct"/>
                  <w:vAlign w:val="center"/>
                </w:tcPr>
                <w:p w14:paraId="7CA2EF7E">
                  <w:pPr>
                    <w:adjustRightInd w:val="0"/>
                    <w:snapToGrid w:val="0"/>
                    <w:jc w:val="center"/>
                    <w:rPr>
                      <w:szCs w:val="21"/>
                    </w:rPr>
                  </w:pPr>
                  <w:r>
                    <w:rPr>
                      <w:rFonts w:hint="eastAsia"/>
                      <w:szCs w:val="21"/>
                    </w:rPr>
                    <w:t>0.1t</w:t>
                  </w:r>
                </w:p>
              </w:tc>
              <w:tc>
                <w:tcPr>
                  <w:tcW w:w="652" w:type="pct"/>
                  <w:vAlign w:val="center"/>
                </w:tcPr>
                <w:p w14:paraId="145B626C">
                  <w:pPr>
                    <w:adjustRightInd w:val="0"/>
                    <w:snapToGrid w:val="0"/>
                    <w:jc w:val="center"/>
                    <w:rPr>
                      <w:szCs w:val="21"/>
                    </w:rPr>
                  </w:pPr>
                  <w:r>
                    <w:rPr>
                      <w:rFonts w:hint="eastAsia"/>
                      <w:szCs w:val="21"/>
                    </w:rPr>
                    <w:t>0.3t</w:t>
                  </w:r>
                </w:p>
              </w:tc>
              <w:tc>
                <w:tcPr>
                  <w:tcW w:w="551" w:type="pct"/>
                  <w:vAlign w:val="center"/>
                </w:tcPr>
                <w:p w14:paraId="053AAB7E">
                  <w:pPr>
                    <w:adjustRightInd w:val="0"/>
                    <w:snapToGrid w:val="0"/>
                    <w:jc w:val="center"/>
                    <w:rPr>
                      <w:szCs w:val="21"/>
                    </w:rPr>
                  </w:pPr>
                  <w:r>
                    <w:rPr>
                      <w:rFonts w:hint="eastAsia"/>
                      <w:szCs w:val="21"/>
                    </w:rPr>
                    <w:t>+0.2t</w:t>
                  </w:r>
                </w:p>
              </w:tc>
              <w:tc>
                <w:tcPr>
                  <w:tcW w:w="1745" w:type="pct"/>
                  <w:vAlign w:val="center"/>
                </w:tcPr>
                <w:p w14:paraId="3AF79DAD">
                  <w:pPr>
                    <w:adjustRightInd w:val="0"/>
                    <w:snapToGrid w:val="0"/>
                    <w:jc w:val="center"/>
                    <w:rPr>
                      <w:szCs w:val="21"/>
                    </w:rPr>
                  </w:pPr>
                  <w:r>
                    <w:rPr>
                      <w:rFonts w:hint="eastAsia"/>
                      <w:szCs w:val="21"/>
                    </w:rPr>
                    <w:t>外购，最大储存量0.1t</w:t>
                  </w:r>
                </w:p>
              </w:tc>
            </w:tr>
            <w:tr w14:paraId="3E31A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173F624B">
                  <w:pPr>
                    <w:adjustRightInd w:val="0"/>
                    <w:snapToGrid w:val="0"/>
                    <w:jc w:val="center"/>
                    <w:rPr>
                      <w:bCs/>
                      <w:szCs w:val="21"/>
                    </w:rPr>
                  </w:pPr>
                </w:p>
              </w:tc>
              <w:tc>
                <w:tcPr>
                  <w:tcW w:w="332" w:type="pct"/>
                  <w:shd w:val="clear" w:color="auto" w:fill="auto"/>
                  <w:vAlign w:val="center"/>
                </w:tcPr>
                <w:p w14:paraId="541A7EF2">
                  <w:pPr>
                    <w:adjustRightInd w:val="0"/>
                    <w:snapToGrid w:val="0"/>
                    <w:jc w:val="center"/>
                    <w:rPr>
                      <w:bCs/>
                      <w:szCs w:val="21"/>
                    </w:rPr>
                  </w:pPr>
                  <w:r>
                    <w:rPr>
                      <w:bCs/>
                      <w:szCs w:val="21"/>
                    </w:rPr>
                    <w:t>6</w:t>
                  </w:r>
                </w:p>
              </w:tc>
              <w:tc>
                <w:tcPr>
                  <w:tcW w:w="881" w:type="pct"/>
                  <w:shd w:val="clear" w:color="auto" w:fill="auto"/>
                  <w:vAlign w:val="center"/>
                </w:tcPr>
                <w:p w14:paraId="222C50BD">
                  <w:pPr>
                    <w:pStyle w:val="27"/>
                    <w:spacing w:after="0"/>
                    <w:ind w:firstLine="0" w:firstLineChars="0"/>
                    <w:jc w:val="center"/>
                    <w:rPr>
                      <w:rFonts w:ascii="Times New Roman" w:hAnsi="Times New Roman"/>
                      <w:szCs w:val="21"/>
                    </w:rPr>
                  </w:pPr>
                  <w:r>
                    <w:rPr>
                      <w:rFonts w:ascii="Times New Roman" w:hAnsi="Times New Roman"/>
                      <w:szCs w:val="21"/>
                    </w:rPr>
                    <w:t>柴油</w:t>
                  </w:r>
                </w:p>
              </w:tc>
              <w:tc>
                <w:tcPr>
                  <w:tcW w:w="515" w:type="pct"/>
                  <w:vAlign w:val="center"/>
                </w:tcPr>
                <w:p w14:paraId="1F8C3CFC">
                  <w:pPr>
                    <w:adjustRightInd w:val="0"/>
                    <w:snapToGrid w:val="0"/>
                    <w:jc w:val="center"/>
                    <w:rPr>
                      <w:szCs w:val="21"/>
                    </w:rPr>
                  </w:pPr>
                  <w:r>
                    <w:rPr>
                      <w:rFonts w:hint="eastAsia"/>
                      <w:szCs w:val="21"/>
                    </w:rPr>
                    <w:t>0.1t</w:t>
                  </w:r>
                </w:p>
              </w:tc>
              <w:tc>
                <w:tcPr>
                  <w:tcW w:w="652" w:type="pct"/>
                  <w:vAlign w:val="center"/>
                </w:tcPr>
                <w:p w14:paraId="1A064D47">
                  <w:pPr>
                    <w:adjustRightInd w:val="0"/>
                    <w:snapToGrid w:val="0"/>
                    <w:jc w:val="center"/>
                    <w:rPr>
                      <w:szCs w:val="21"/>
                    </w:rPr>
                  </w:pPr>
                  <w:r>
                    <w:rPr>
                      <w:rFonts w:hint="eastAsia"/>
                      <w:szCs w:val="21"/>
                    </w:rPr>
                    <w:t>0.3t</w:t>
                  </w:r>
                </w:p>
              </w:tc>
              <w:tc>
                <w:tcPr>
                  <w:tcW w:w="551" w:type="pct"/>
                  <w:vAlign w:val="center"/>
                </w:tcPr>
                <w:p w14:paraId="519B61A3">
                  <w:pPr>
                    <w:adjustRightInd w:val="0"/>
                    <w:snapToGrid w:val="0"/>
                    <w:jc w:val="center"/>
                    <w:rPr>
                      <w:szCs w:val="21"/>
                    </w:rPr>
                  </w:pPr>
                  <w:r>
                    <w:rPr>
                      <w:rFonts w:hint="eastAsia"/>
                      <w:szCs w:val="21"/>
                    </w:rPr>
                    <w:t>+0.2t</w:t>
                  </w:r>
                </w:p>
              </w:tc>
              <w:tc>
                <w:tcPr>
                  <w:tcW w:w="1745" w:type="pct"/>
                  <w:vAlign w:val="center"/>
                </w:tcPr>
                <w:p w14:paraId="1202BB6D">
                  <w:pPr>
                    <w:adjustRightInd w:val="0"/>
                    <w:snapToGrid w:val="0"/>
                    <w:jc w:val="center"/>
                    <w:rPr>
                      <w:szCs w:val="21"/>
                    </w:rPr>
                  </w:pPr>
                  <w:r>
                    <w:rPr>
                      <w:rFonts w:hint="eastAsia"/>
                      <w:szCs w:val="21"/>
                    </w:rPr>
                    <w:t>外购，最大储存量0.1t</w:t>
                  </w:r>
                </w:p>
              </w:tc>
            </w:tr>
            <w:bookmarkEnd w:id="36"/>
            <w:tr w14:paraId="0EA6F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restart"/>
                  <w:shd w:val="clear" w:color="auto" w:fill="auto"/>
                  <w:vAlign w:val="center"/>
                </w:tcPr>
                <w:p w14:paraId="2D7DD595">
                  <w:pPr>
                    <w:adjustRightInd w:val="0"/>
                    <w:snapToGrid w:val="0"/>
                    <w:jc w:val="center"/>
                    <w:rPr>
                      <w:bCs/>
                      <w:szCs w:val="21"/>
                    </w:rPr>
                  </w:pPr>
                  <w:r>
                    <w:rPr>
                      <w:bCs/>
                      <w:szCs w:val="21"/>
                    </w:rPr>
                    <w:t>辅料</w:t>
                  </w:r>
                </w:p>
              </w:tc>
              <w:tc>
                <w:tcPr>
                  <w:tcW w:w="332" w:type="pct"/>
                  <w:shd w:val="clear" w:color="auto" w:fill="auto"/>
                  <w:vAlign w:val="center"/>
                </w:tcPr>
                <w:p w14:paraId="06F04712">
                  <w:pPr>
                    <w:adjustRightInd w:val="0"/>
                    <w:snapToGrid w:val="0"/>
                    <w:jc w:val="center"/>
                    <w:rPr>
                      <w:bCs/>
                      <w:szCs w:val="21"/>
                    </w:rPr>
                  </w:pPr>
                  <w:r>
                    <w:rPr>
                      <w:rFonts w:hint="eastAsia"/>
                      <w:bCs/>
                      <w:szCs w:val="21"/>
                    </w:rPr>
                    <w:t>1</w:t>
                  </w:r>
                </w:p>
              </w:tc>
              <w:tc>
                <w:tcPr>
                  <w:tcW w:w="881" w:type="pct"/>
                  <w:shd w:val="clear" w:color="auto" w:fill="auto"/>
                  <w:vAlign w:val="center"/>
                </w:tcPr>
                <w:p w14:paraId="0FC593D3">
                  <w:pPr>
                    <w:pStyle w:val="27"/>
                    <w:spacing w:after="0"/>
                    <w:ind w:firstLine="0" w:firstLineChars="0"/>
                    <w:jc w:val="center"/>
                    <w:rPr>
                      <w:rFonts w:ascii="Times New Roman" w:hAnsi="Times New Roman"/>
                      <w:szCs w:val="21"/>
                    </w:rPr>
                  </w:pPr>
                  <w:r>
                    <w:rPr>
                      <w:rFonts w:hint="eastAsia" w:ascii="Times New Roman" w:hAnsi="Times New Roman"/>
                      <w:szCs w:val="21"/>
                    </w:rPr>
                    <w:t>80%甲醇</w:t>
                  </w:r>
                </w:p>
              </w:tc>
              <w:tc>
                <w:tcPr>
                  <w:tcW w:w="515" w:type="pct"/>
                  <w:vAlign w:val="center"/>
                </w:tcPr>
                <w:p w14:paraId="236E52C0">
                  <w:pPr>
                    <w:adjustRightInd w:val="0"/>
                    <w:snapToGrid w:val="0"/>
                    <w:jc w:val="center"/>
                    <w:rPr>
                      <w:szCs w:val="21"/>
                    </w:rPr>
                  </w:pPr>
                  <w:r>
                    <w:rPr>
                      <w:rFonts w:hint="eastAsia"/>
                      <w:szCs w:val="21"/>
                    </w:rPr>
                    <w:t>500mL</w:t>
                  </w:r>
                </w:p>
              </w:tc>
              <w:tc>
                <w:tcPr>
                  <w:tcW w:w="652" w:type="pct"/>
                  <w:vAlign w:val="center"/>
                </w:tcPr>
                <w:p w14:paraId="40D6E4F9">
                  <w:pPr>
                    <w:adjustRightInd w:val="0"/>
                    <w:snapToGrid w:val="0"/>
                    <w:jc w:val="center"/>
                    <w:rPr>
                      <w:szCs w:val="21"/>
                    </w:rPr>
                  </w:pPr>
                  <w:r>
                    <w:rPr>
                      <w:rFonts w:hint="eastAsia"/>
                      <w:szCs w:val="21"/>
                    </w:rPr>
                    <w:t>1500mL</w:t>
                  </w:r>
                </w:p>
              </w:tc>
              <w:tc>
                <w:tcPr>
                  <w:tcW w:w="551" w:type="pct"/>
                  <w:vAlign w:val="center"/>
                </w:tcPr>
                <w:p w14:paraId="62366998">
                  <w:pPr>
                    <w:adjustRightInd w:val="0"/>
                    <w:snapToGrid w:val="0"/>
                    <w:jc w:val="center"/>
                    <w:rPr>
                      <w:szCs w:val="21"/>
                    </w:rPr>
                  </w:pPr>
                  <w:r>
                    <w:rPr>
                      <w:rFonts w:hint="eastAsia"/>
                      <w:szCs w:val="21"/>
                    </w:rPr>
                    <w:t>+1000mL</w:t>
                  </w:r>
                </w:p>
              </w:tc>
              <w:tc>
                <w:tcPr>
                  <w:tcW w:w="1745" w:type="pct"/>
                  <w:vMerge w:val="restart"/>
                  <w:vAlign w:val="center"/>
                </w:tcPr>
                <w:p w14:paraId="2A69A83F">
                  <w:pPr>
                    <w:adjustRightInd w:val="0"/>
                    <w:snapToGrid w:val="0"/>
                    <w:jc w:val="center"/>
                    <w:rPr>
                      <w:szCs w:val="21"/>
                    </w:rPr>
                  </w:pPr>
                  <w:r>
                    <w:rPr>
                      <w:rFonts w:hint="eastAsia"/>
                      <w:szCs w:val="21"/>
                    </w:rPr>
                    <w:t>检验试剂，500mL/瓶，用于检测</w:t>
                  </w:r>
                  <w:bookmarkStart w:id="37" w:name="OLE_LINK25"/>
                  <w:bookmarkStart w:id="38" w:name="OLE_LINK20"/>
                  <w:r>
                    <w:rPr>
                      <w:rFonts w:hint="eastAsia"/>
                      <w:szCs w:val="21"/>
                    </w:rPr>
                    <w:t>脂肪酸</w:t>
                  </w:r>
                  <w:bookmarkEnd w:id="37"/>
                  <w:bookmarkEnd w:id="38"/>
                  <w:r>
                    <w:rPr>
                      <w:rFonts w:hint="eastAsia"/>
                      <w:szCs w:val="21"/>
                    </w:rPr>
                    <w:t>值</w:t>
                  </w:r>
                </w:p>
              </w:tc>
            </w:tr>
            <w:tr w14:paraId="41313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591DF93D">
                  <w:pPr>
                    <w:adjustRightInd w:val="0"/>
                    <w:snapToGrid w:val="0"/>
                    <w:jc w:val="center"/>
                    <w:rPr>
                      <w:bCs/>
                      <w:szCs w:val="21"/>
                    </w:rPr>
                  </w:pPr>
                </w:p>
              </w:tc>
              <w:tc>
                <w:tcPr>
                  <w:tcW w:w="332" w:type="pct"/>
                  <w:shd w:val="clear" w:color="auto" w:fill="auto"/>
                  <w:vAlign w:val="center"/>
                </w:tcPr>
                <w:p w14:paraId="0DA5AF75">
                  <w:pPr>
                    <w:adjustRightInd w:val="0"/>
                    <w:snapToGrid w:val="0"/>
                    <w:jc w:val="center"/>
                    <w:rPr>
                      <w:bCs/>
                      <w:szCs w:val="21"/>
                    </w:rPr>
                  </w:pPr>
                  <w:r>
                    <w:rPr>
                      <w:rFonts w:hint="eastAsia"/>
                      <w:bCs/>
                      <w:szCs w:val="21"/>
                    </w:rPr>
                    <w:t>2</w:t>
                  </w:r>
                </w:p>
              </w:tc>
              <w:tc>
                <w:tcPr>
                  <w:tcW w:w="881" w:type="pct"/>
                  <w:shd w:val="clear" w:color="auto" w:fill="auto"/>
                  <w:vAlign w:val="center"/>
                </w:tcPr>
                <w:p w14:paraId="5FAB33CB">
                  <w:pPr>
                    <w:pStyle w:val="27"/>
                    <w:spacing w:after="0"/>
                    <w:ind w:firstLine="0" w:firstLineChars="0"/>
                    <w:jc w:val="center"/>
                    <w:rPr>
                      <w:rFonts w:ascii="Times New Roman" w:hAnsi="Times New Roman"/>
                      <w:szCs w:val="21"/>
                    </w:rPr>
                  </w:pPr>
                  <w:r>
                    <w:rPr>
                      <w:rFonts w:hint="eastAsia" w:ascii="Times New Roman" w:hAnsi="Times New Roman"/>
                      <w:szCs w:val="21"/>
                    </w:rPr>
                    <w:t>无水乙醇</w:t>
                  </w:r>
                </w:p>
              </w:tc>
              <w:tc>
                <w:tcPr>
                  <w:tcW w:w="515" w:type="pct"/>
                  <w:vAlign w:val="center"/>
                </w:tcPr>
                <w:p w14:paraId="4F4DDA99">
                  <w:pPr>
                    <w:adjustRightInd w:val="0"/>
                    <w:snapToGrid w:val="0"/>
                    <w:jc w:val="center"/>
                    <w:rPr>
                      <w:szCs w:val="21"/>
                    </w:rPr>
                  </w:pPr>
                  <w:r>
                    <w:rPr>
                      <w:rFonts w:hint="eastAsia"/>
                      <w:szCs w:val="21"/>
                    </w:rPr>
                    <w:t>500mL</w:t>
                  </w:r>
                </w:p>
              </w:tc>
              <w:tc>
                <w:tcPr>
                  <w:tcW w:w="652" w:type="pct"/>
                  <w:vAlign w:val="center"/>
                </w:tcPr>
                <w:p w14:paraId="5930EE05">
                  <w:pPr>
                    <w:adjustRightInd w:val="0"/>
                    <w:snapToGrid w:val="0"/>
                    <w:jc w:val="center"/>
                    <w:rPr>
                      <w:szCs w:val="21"/>
                    </w:rPr>
                  </w:pPr>
                  <w:r>
                    <w:rPr>
                      <w:rFonts w:hint="eastAsia"/>
                      <w:szCs w:val="21"/>
                    </w:rPr>
                    <w:t>1500mL</w:t>
                  </w:r>
                </w:p>
              </w:tc>
              <w:tc>
                <w:tcPr>
                  <w:tcW w:w="551" w:type="pct"/>
                  <w:vAlign w:val="center"/>
                </w:tcPr>
                <w:p w14:paraId="77E32A24">
                  <w:pPr>
                    <w:adjustRightInd w:val="0"/>
                    <w:snapToGrid w:val="0"/>
                    <w:jc w:val="center"/>
                    <w:rPr>
                      <w:szCs w:val="21"/>
                    </w:rPr>
                  </w:pPr>
                  <w:r>
                    <w:rPr>
                      <w:rFonts w:hint="eastAsia"/>
                      <w:szCs w:val="21"/>
                    </w:rPr>
                    <w:t>+1000mL</w:t>
                  </w:r>
                </w:p>
              </w:tc>
              <w:tc>
                <w:tcPr>
                  <w:tcW w:w="1745" w:type="pct"/>
                  <w:vMerge w:val="continue"/>
                  <w:vAlign w:val="center"/>
                </w:tcPr>
                <w:p w14:paraId="2895657B">
                  <w:pPr>
                    <w:adjustRightInd w:val="0"/>
                    <w:snapToGrid w:val="0"/>
                    <w:jc w:val="center"/>
                    <w:rPr>
                      <w:szCs w:val="21"/>
                    </w:rPr>
                  </w:pPr>
                </w:p>
              </w:tc>
            </w:tr>
            <w:tr w14:paraId="6E167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23" w:type="pct"/>
                  <w:vMerge w:val="continue"/>
                  <w:shd w:val="clear" w:color="auto" w:fill="auto"/>
                  <w:vAlign w:val="center"/>
                </w:tcPr>
                <w:p w14:paraId="2E6796E4">
                  <w:pPr>
                    <w:adjustRightInd w:val="0"/>
                    <w:snapToGrid w:val="0"/>
                    <w:jc w:val="center"/>
                    <w:rPr>
                      <w:bCs/>
                      <w:szCs w:val="21"/>
                    </w:rPr>
                  </w:pPr>
                </w:p>
              </w:tc>
              <w:tc>
                <w:tcPr>
                  <w:tcW w:w="332" w:type="pct"/>
                  <w:shd w:val="clear" w:color="auto" w:fill="auto"/>
                  <w:vAlign w:val="center"/>
                </w:tcPr>
                <w:p w14:paraId="73A37208">
                  <w:pPr>
                    <w:adjustRightInd w:val="0"/>
                    <w:snapToGrid w:val="0"/>
                    <w:jc w:val="center"/>
                    <w:rPr>
                      <w:bCs/>
                      <w:szCs w:val="21"/>
                    </w:rPr>
                  </w:pPr>
                  <w:r>
                    <w:rPr>
                      <w:rFonts w:hint="eastAsia"/>
                      <w:bCs/>
                      <w:szCs w:val="21"/>
                    </w:rPr>
                    <w:t>3</w:t>
                  </w:r>
                </w:p>
              </w:tc>
              <w:tc>
                <w:tcPr>
                  <w:tcW w:w="881" w:type="pct"/>
                  <w:shd w:val="clear" w:color="auto" w:fill="auto"/>
                  <w:vAlign w:val="center"/>
                </w:tcPr>
                <w:p w14:paraId="5109B479">
                  <w:pPr>
                    <w:pStyle w:val="27"/>
                    <w:spacing w:after="0"/>
                    <w:ind w:firstLine="0" w:firstLineChars="0"/>
                    <w:jc w:val="center"/>
                    <w:rPr>
                      <w:rFonts w:ascii="Times New Roman" w:hAnsi="Times New Roman"/>
                      <w:szCs w:val="21"/>
                    </w:rPr>
                  </w:pPr>
                  <w:r>
                    <w:rPr>
                      <w:rFonts w:hint="eastAsia" w:ascii="Times New Roman" w:hAnsi="Times New Roman"/>
                      <w:szCs w:val="21"/>
                    </w:rPr>
                    <w:t>酚酞指示剂</w:t>
                  </w:r>
                </w:p>
              </w:tc>
              <w:tc>
                <w:tcPr>
                  <w:tcW w:w="515" w:type="pct"/>
                  <w:vAlign w:val="center"/>
                </w:tcPr>
                <w:p w14:paraId="29923079">
                  <w:pPr>
                    <w:adjustRightInd w:val="0"/>
                    <w:snapToGrid w:val="0"/>
                    <w:jc w:val="center"/>
                    <w:rPr>
                      <w:szCs w:val="21"/>
                    </w:rPr>
                  </w:pPr>
                  <w:r>
                    <w:rPr>
                      <w:rFonts w:hint="eastAsia"/>
                      <w:szCs w:val="21"/>
                    </w:rPr>
                    <w:t>500mL</w:t>
                  </w:r>
                </w:p>
              </w:tc>
              <w:tc>
                <w:tcPr>
                  <w:tcW w:w="652" w:type="pct"/>
                  <w:vAlign w:val="center"/>
                </w:tcPr>
                <w:p w14:paraId="76F99073">
                  <w:pPr>
                    <w:adjustRightInd w:val="0"/>
                    <w:snapToGrid w:val="0"/>
                    <w:jc w:val="center"/>
                    <w:rPr>
                      <w:szCs w:val="21"/>
                    </w:rPr>
                  </w:pPr>
                  <w:r>
                    <w:rPr>
                      <w:rFonts w:hint="eastAsia"/>
                      <w:szCs w:val="21"/>
                    </w:rPr>
                    <w:t>1500mL</w:t>
                  </w:r>
                </w:p>
              </w:tc>
              <w:tc>
                <w:tcPr>
                  <w:tcW w:w="551" w:type="pct"/>
                  <w:vAlign w:val="center"/>
                </w:tcPr>
                <w:p w14:paraId="4469D672">
                  <w:pPr>
                    <w:adjustRightInd w:val="0"/>
                    <w:snapToGrid w:val="0"/>
                    <w:jc w:val="center"/>
                    <w:rPr>
                      <w:szCs w:val="21"/>
                    </w:rPr>
                  </w:pPr>
                  <w:r>
                    <w:rPr>
                      <w:rFonts w:hint="eastAsia"/>
                      <w:szCs w:val="21"/>
                    </w:rPr>
                    <w:t>+1000mL</w:t>
                  </w:r>
                </w:p>
              </w:tc>
              <w:tc>
                <w:tcPr>
                  <w:tcW w:w="1745" w:type="pct"/>
                  <w:vMerge w:val="continue"/>
                  <w:vAlign w:val="center"/>
                </w:tcPr>
                <w:p w14:paraId="4F98952A">
                  <w:pPr>
                    <w:adjustRightInd w:val="0"/>
                    <w:snapToGrid w:val="0"/>
                    <w:jc w:val="center"/>
                    <w:rPr>
                      <w:szCs w:val="21"/>
                    </w:rPr>
                  </w:pPr>
                </w:p>
              </w:tc>
            </w:tr>
            <w:tr w14:paraId="115AF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2C0ABC08">
                  <w:pPr>
                    <w:adjustRightInd w:val="0"/>
                    <w:snapToGrid w:val="0"/>
                    <w:jc w:val="center"/>
                    <w:rPr>
                      <w:bCs/>
                      <w:szCs w:val="21"/>
                    </w:rPr>
                  </w:pPr>
                </w:p>
              </w:tc>
              <w:tc>
                <w:tcPr>
                  <w:tcW w:w="332" w:type="pct"/>
                  <w:shd w:val="clear" w:color="auto" w:fill="auto"/>
                  <w:vAlign w:val="center"/>
                </w:tcPr>
                <w:p w14:paraId="4BCC70C3">
                  <w:pPr>
                    <w:adjustRightInd w:val="0"/>
                    <w:snapToGrid w:val="0"/>
                    <w:jc w:val="center"/>
                    <w:rPr>
                      <w:bCs/>
                      <w:szCs w:val="21"/>
                    </w:rPr>
                  </w:pPr>
                  <w:r>
                    <w:rPr>
                      <w:rFonts w:hint="eastAsia"/>
                      <w:bCs/>
                      <w:szCs w:val="21"/>
                    </w:rPr>
                    <w:t>4</w:t>
                  </w:r>
                </w:p>
              </w:tc>
              <w:tc>
                <w:tcPr>
                  <w:tcW w:w="881" w:type="pct"/>
                  <w:shd w:val="clear" w:color="auto" w:fill="auto"/>
                  <w:vAlign w:val="center"/>
                </w:tcPr>
                <w:p w14:paraId="5F04158F">
                  <w:pPr>
                    <w:adjustRightInd w:val="0"/>
                    <w:snapToGrid w:val="0"/>
                    <w:jc w:val="center"/>
                    <w:rPr>
                      <w:szCs w:val="21"/>
                    </w:rPr>
                  </w:pPr>
                  <w:r>
                    <w:rPr>
                      <w:rFonts w:hint="eastAsia"/>
                      <w:szCs w:val="21"/>
                    </w:rPr>
                    <w:t>氢氧化钾</w:t>
                  </w:r>
                </w:p>
              </w:tc>
              <w:tc>
                <w:tcPr>
                  <w:tcW w:w="515" w:type="pct"/>
                  <w:vAlign w:val="center"/>
                </w:tcPr>
                <w:p w14:paraId="7B69AD64">
                  <w:pPr>
                    <w:adjustRightInd w:val="0"/>
                    <w:snapToGrid w:val="0"/>
                    <w:jc w:val="center"/>
                    <w:rPr>
                      <w:szCs w:val="21"/>
                    </w:rPr>
                  </w:pPr>
                  <w:r>
                    <w:rPr>
                      <w:rFonts w:hint="eastAsia"/>
                      <w:szCs w:val="21"/>
                    </w:rPr>
                    <w:t>500mL</w:t>
                  </w:r>
                </w:p>
              </w:tc>
              <w:tc>
                <w:tcPr>
                  <w:tcW w:w="652" w:type="pct"/>
                  <w:vAlign w:val="center"/>
                </w:tcPr>
                <w:p w14:paraId="1A8D79AA">
                  <w:pPr>
                    <w:adjustRightInd w:val="0"/>
                    <w:snapToGrid w:val="0"/>
                    <w:jc w:val="center"/>
                    <w:rPr>
                      <w:szCs w:val="21"/>
                    </w:rPr>
                  </w:pPr>
                  <w:r>
                    <w:rPr>
                      <w:rFonts w:hint="eastAsia"/>
                      <w:szCs w:val="21"/>
                    </w:rPr>
                    <w:t>1500mL</w:t>
                  </w:r>
                </w:p>
              </w:tc>
              <w:tc>
                <w:tcPr>
                  <w:tcW w:w="551" w:type="pct"/>
                  <w:vAlign w:val="center"/>
                </w:tcPr>
                <w:p w14:paraId="2395ECDB">
                  <w:pPr>
                    <w:adjustRightInd w:val="0"/>
                    <w:snapToGrid w:val="0"/>
                    <w:jc w:val="center"/>
                    <w:rPr>
                      <w:szCs w:val="21"/>
                    </w:rPr>
                  </w:pPr>
                  <w:r>
                    <w:rPr>
                      <w:rFonts w:hint="eastAsia"/>
                      <w:szCs w:val="21"/>
                    </w:rPr>
                    <w:t>+1000mL</w:t>
                  </w:r>
                </w:p>
              </w:tc>
              <w:tc>
                <w:tcPr>
                  <w:tcW w:w="1745" w:type="pct"/>
                  <w:vMerge w:val="continue"/>
                  <w:vAlign w:val="center"/>
                </w:tcPr>
                <w:p w14:paraId="3B817BC2">
                  <w:pPr>
                    <w:adjustRightInd w:val="0"/>
                    <w:snapToGrid w:val="0"/>
                    <w:jc w:val="center"/>
                    <w:rPr>
                      <w:bCs/>
                      <w:szCs w:val="21"/>
                    </w:rPr>
                  </w:pPr>
                </w:p>
              </w:tc>
            </w:tr>
            <w:tr w14:paraId="16253B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restart"/>
                  <w:shd w:val="clear" w:color="auto" w:fill="auto"/>
                  <w:vAlign w:val="center"/>
                </w:tcPr>
                <w:p w14:paraId="4C728B7F">
                  <w:pPr>
                    <w:adjustRightInd w:val="0"/>
                    <w:snapToGrid w:val="0"/>
                    <w:jc w:val="center"/>
                    <w:rPr>
                      <w:bCs/>
                      <w:szCs w:val="21"/>
                    </w:rPr>
                  </w:pPr>
                  <w:r>
                    <w:rPr>
                      <w:bCs/>
                      <w:szCs w:val="21"/>
                    </w:rPr>
                    <w:t>能源消耗</w:t>
                  </w:r>
                </w:p>
              </w:tc>
              <w:tc>
                <w:tcPr>
                  <w:tcW w:w="332" w:type="pct"/>
                  <w:shd w:val="clear" w:color="auto" w:fill="auto"/>
                  <w:vAlign w:val="center"/>
                </w:tcPr>
                <w:p w14:paraId="2F2CAD3A">
                  <w:pPr>
                    <w:adjustRightInd w:val="0"/>
                    <w:snapToGrid w:val="0"/>
                    <w:jc w:val="center"/>
                    <w:rPr>
                      <w:bCs/>
                      <w:szCs w:val="21"/>
                    </w:rPr>
                  </w:pPr>
                  <w:r>
                    <w:rPr>
                      <w:bCs/>
                      <w:szCs w:val="21"/>
                    </w:rPr>
                    <w:t>1</w:t>
                  </w:r>
                </w:p>
              </w:tc>
              <w:tc>
                <w:tcPr>
                  <w:tcW w:w="881" w:type="pct"/>
                  <w:shd w:val="clear" w:color="auto" w:fill="auto"/>
                  <w:vAlign w:val="center"/>
                </w:tcPr>
                <w:p w14:paraId="505D472F">
                  <w:pPr>
                    <w:adjustRightInd w:val="0"/>
                    <w:snapToGrid w:val="0"/>
                    <w:jc w:val="center"/>
                    <w:rPr>
                      <w:bCs/>
                      <w:szCs w:val="21"/>
                    </w:rPr>
                  </w:pPr>
                  <w:r>
                    <w:rPr>
                      <w:bCs/>
                      <w:szCs w:val="21"/>
                    </w:rPr>
                    <w:t>水</w:t>
                  </w:r>
                </w:p>
              </w:tc>
              <w:tc>
                <w:tcPr>
                  <w:tcW w:w="515" w:type="pct"/>
                  <w:vAlign w:val="center"/>
                </w:tcPr>
                <w:p w14:paraId="20471311">
                  <w:pPr>
                    <w:adjustRightInd w:val="0"/>
                    <w:snapToGrid w:val="0"/>
                    <w:jc w:val="center"/>
                    <w:rPr>
                      <w:bCs/>
                      <w:szCs w:val="21"/>
                    </w:rPr>
                  </w:pPr>
                  <w:r>
                    <w:rPr>
                      <w:rFonts w:hint="eastAsia"/>
                      <w:bCs/>
                      <w:szCs w:val="21"/>
                    </w:rPr>
                    <w:t>432.12m</w:t>
                  </w:r>
                  <w:r>
                    <w:rPr>
                      <w:rFonts w:hint="eastAsia"/>
                      <w:bCs/>
                      <w:szCs w:val="21"/>
                      <w:vertAlign w:val="superscript"/>
                    </w:rPr>
                    <w:t>3</w:t>
                  </w:r>
                  <w:r>
                    <w:rPr>
                      <w:rFonts w:hint="eastAsia"/>
                      <w:bCs/>
                      <w:szCs w:val="21"/>
                    </w:rPr>
                    <w:t>/a</w:t>
                  </w:r>
                </w:p>
              </w:tc>
              <w:tc>
                <w:tcPr>
                  <w:tcW w:w="652" w:type="pct"/>
                  <w:vAlign w:val="center"/>
                </w:tcPr>
                <w:p w14:paraId="55D4B542">
                  <w:pPr>
                    <w:adjustRightInd w:val="0"/>
                    <w:snapToGrid w:val="0"/>
                    <w:jc w:val="center"/>
                    <w:rPr>
                      <w:bCs/>
                      <w:szCs w:val="21"/>
                    </w:rPr>
                  </w:pPr>
                  <w:r>
                    <w:rPr>
                      <w:rFonts w:hint="eastAsia"/>
                      <w:bCs/>
                      <w:szCs w:val="21"/>
                    </w:rPr>
                    <w:t>540.36m</w:t>
                  </w:r>
                  <w:r>
                    <w:rPr>
                      <w:rFonts w:hint="eastAsia"/>
                      <w:bCs/>
                      <w:szCs w:val="21"/>
                      <w:vertAlign w:val="superscript"/>
                    </w:rPr>
                    <w:t>3</w:t>
                  </w:r>
                  <w:r>
                    <w:rPr>
                      <w:rFonts w:hint="eastAsia"/>
                      <w:bCs/>
                      <w:szCs w:val="21"/>
                    </w:rPr>
                    <w:t>/a</w:t>
                  </w:r>
                </w:p>
              </w:tc>
              <w:tc>
                <w:tcPr>
                  <w:tcW w:w="551" w:type="pct"/>
                  <w:vAlign w:val="center"/>
                </w:tcPr>
                <w:p w14:paraId="4C023252">
                  <w:pPr>
                    <w:adjustRightInd w:val="0"/>
                    <w:snapToGrid w:val="0"/>
                    <w:jc w:val="center"/>
                    <w:rPr>
                      <w:bCs/>
                      <w:szCs w:val="21"/>
                    </w:rPr>
                  </w:pPr>
                  <w:r>
                    <w:rPr>
                      <w:rFonts w:hint="eastAsia"/>
                      <w:bCs/>
                      <w:szCs w:val="21"/>
                    </w:rPr>
                    <w:t>+108.24 m</w:t>
                  </w:r>
                  <w:r>
                    <w:rPr>
                      <w:rFonts w:hint="eastAsia"/>
                      <w:bCs/>
                      <w:szCs w:val="21"/>
                      <w:vertAlign w:val="superscript"/>
                    </w:rPr>
                    <w:t>3</w:t>
                  </w:r>
                  <w:r>
                    <w:rPr>
                      <w:rFonts w:hint="eastAsia"/>
                      <w:bCs/>
                      <w:szCs w:val="21"/>
                    </w:rPr>
                    <w:t>/a</w:t>
                  </w:r>
                </w:p>
              </w:tc>
              <w:tc>
                <w:tcPr>
                  <w:tcW w:w="1745" w:type="pct"/>
                  <w:vAlign w:val="center"/>
                </w:tcPr>
                <w:p w14:paraId="312E4232">
                  <w:pPr>
                    <w:adjustRightInd w:val="0"/>
                    <w:snapToGrid w:val="0"/>
                    <w:jc w:val="center"/>
                    <w:rPr>
                      <w:bCs/>
                      <w:szCs w:val="21"/>
                    </w:rPr>
                  </w:pPr>
                  <w:r>
                    <w:rPr>
                      <w:bCs/>
                      <w:szCs w:val="21"/>
                    </w:rPr>
                    <w:t>市政供水</w:t>
                  </w:r>
                </w:p>
              </w:tc>
            </w:tr>
            <w:tr w14:paraId="7AFB8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5F591001">
                  <w:pPr>
                    <w:adjustRightInd w:val="0"/>
                    <w:snapToGrid w:val="0"/>
                    <w:jc w:val="center"/>
                    <w:rPr>
                      <w:bCs/>
                      <w:szCs w:val="21"/>
                    </w:rPr>
                  </w:pPr>
                </w:p>
              </w:tc>
              <w:tc>
                <w:tcPr>
                  <w:tcW w:w="332" w:type="pct"/>
                  <w:shd w:val="clear" w:color="auto" w:fill="auto"/>
                  <w:vAlign w:val="center"/>
                </w:tcPr>
                <w:p w14:paraId="52DD80E5">
                  <w:pPr>
                    <w:adjustRightInd w:val="0"/>
                    <w:snapToGrid w:val="0"/>
                    <w:jc w:val="center"/>
                    <w:rPr>
                      <w:bCs/>
                      <w:szCs w:val="21"/>
                    </w:rPr>
                  </w:pPr>
                  <w:r>
                    <w:rPr>
                      <w:bCs/>
                      <w:szCs w:val="21"/>
                    </w:rPr>
                    <w:t>2</w:t>
                  </w:r>
                </w:p>
              </w:tc>
              <w:tc>
                <w:tcPr>
                  <w:tcW w:w="881" w:type="pct"/>
                  <w:shd w:val="clear" w:color="auto" w:fill="auto"/>
                  <w:vAlign w:val="center"/>
                </w:tcPr>
                <w:p w14:paraId="41421D83">
                  <w:pPr>
                    <w:adjustRightInd w:val="0"/>
                    <w:snapToGrid w:val="0"/>
                    <w:jc w:val="center"/>
                    <w:rPr>
                      <w:bCs/>
                      <w:szCs w:val="21"/>
                    </w:rPr>
                  </w:pPr>
                  <w:r>
                    <w:rPr>
                      <w:bCs/>
                      <w:szCs w:val="21"/>
                    </w:rPr>
                    <w:t>电</w:t>
                  </w:r>
                </w:p>
              </w:tc>
              <w:tc>
                <w:tcPr>
                  <w:tcW w:w="515" w:type="pct"/>
                  <w:vAlign w:val="center"/>
                </w:tcPr>
                <w:p w14:paraId="58558278">
                  <w:pPr>
                    <w:adjustRightInd w:val="0"/>
                    <w:snapToGrid w:val="0"/>
                    <w:jc w:val="center"/>
                    <w:rPr>
                      <w:szCs w:val="21"/>
                    </w:rPr>
                  </w:pPr>
                  <w:r>
                    <w:rPr>
                      <w:rFonts w:hint="eastAsia"/>
                      <w:szCs w:val="21"/>
                    </w:rPr>
                    <w:t>2.5</w:t>
                  </w:r>
                  <w:r>
                    <w:rPr>
                      <w:szCs w:val="21"/>
                    </w:rPr>
                    <w:t>万度/年</w:t>
                  </w:r>
                </w:p>
              </w:tc>
              <w:tc>
                <w:tcPr>
                  <w:tcW w:w="652" w:type="pct"/>
                  <w:vAlign w:val="center"/>
                </w:tcPr>
                <w:p w14:paraId="5A1183F8">
                  <w:pPr>
                    <w:adjustRightInd w:val="0"/>
                    <w:snapToGrid w:val="0"/>
                    <w:jc w:val="center"/>
                    <w:rPr>
                      <w:bCs/>
                      <w:szCs w:val="21"/>
                    </w:rPr>
                  </w:pPr>
                  <w:r>
                    <w:rPr>
                      <w:rFonts w:hint="eastAsia"/>
                      <w:szCs w:val="21"/>
                    </w:rPr>
                    <w:t>7.5</w:t>
                  </w:r>
                  <w:r>
                    <w:rPr>
                      <w:szCs w:val="21"/>
                    </w:rPr>
                    <w:t>万度/年</w:t>
                  </w:r>
                </w:p>
              </w:tc>
              <w:tc>
                <w:tcPr>
                  <w:tcW w:w="551" w:type="pct"/>
                  <w:vAlign w:val="center"/>
                </w:tcPr>
                <w:p w14:paraId="1633950D">
                  <w:pPr>
                    <w:adjustRightInd w:val="0"/>
                    <w:snapToGrid w:val="0"/>
                    <w:jc w:val="center"/>
                    <w:rPr>
                      <w:szCs w:val="21"/>
                    </w:rPr>
                  </w:pPr>
                  <w:r>
                    <w:rPr>
                      <w:rFonts w:hint="eastAsia"/>
                      <w:szCs w:val="21"/>
                    </w:rPr>
                    <w:t>+5</w:t>
                  </w:r>
                  <w:r>
                    <w:rPr>
                      <w:szCs w:val="21"/>
                    </w:rPr>
                    <w:t>万度/年</w:t>
                  </w:r>
                </w:p>
              </w:tc>
              <w:tc>
                <w:tcPr>
                  <w:tcW w:w="1745" w:type="pct"/>
                  <w:vAlign w:val="center"/>
                </w:tcPr>
                <w:p w14:paraId="48125DEF">
                  <w:pPr>
                    <w:adjustRightInd w:val="0"/>
                    <w:snapToGrid w:val="0"/>
                    <w:jc w:val="center"/>
                    <w:rPr>
                      <w:bCs/>
                      <w:szCs w:val="21"/>
                    </w:rPr>
                  </w:pPr>
                  <w:r>
                    <w:rPr>
                      <w:bCs/>
                      <w:szCs w:val="21"/>
                    </w:rPr>
                    <w:t>市政供电</w:t>
                  </w:r>
                </w:p>
              </w:tc>
            </w:tr>
            <w:tr w14:paraId="37BA7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 w:type="pct"/>
                  <w:vMerge w:val="continue"/>
                  <w:shd w:val="clear" w:color="auto" w:fill="auto"/>
                  <w:vAlign w:val="center"/>
                </w:tcPr>
                <w:p w14:paraId="3E55D230">
                  <w:pPr>
                    <w:adjustRightInd w:val="0"/>
                    <w:snapToGrid w:val="0"/>
                    <w:jc w:val="center"/>
                    <w:rPr>
                      <w:bCs/>
                      <w:szCs w:val="21"/>
                    </w:rPr>
                  </w:pPr>
                </w:p>
              </w:tc>
              <w:tc>
                <w:tcPr>
                  <w:tcW w:w="332" w:type="pct"/>
                  <w:shd w:val="clear" w:color="auto" w:fill="auto"/>
                  <w:vAlign w:val="center"/>
                </w:tcPr>
                <w:p w14:paraId="43D8458D">
                  <w:pPr>
                    <w:adjustRightInd w:val="0"/>
                    <w:snapToGrid w:val="0"/>
                    <w:jc w:val="center"/>
                    <w:rPr>
                      <w:bCs/>
                      <w:szCs w:val="21"/>
                    </w:rPr>
                  </w:pPr>
                  <w:r>
                    <w:rPr>
                      <w:rFonts w:hint="eastAsia"/>
                      <w:bCs/>
                      <w:szCs w:val="21"/>
                    </w:rPr>
                    <w:t>3</w:t>
                  </w:r>
                </w:p>
              </w:tc>
              <w:tc>
                <w:tcPr>
                  <w:tcW w:w="881" w:type="pct"/>
                  <w:shd w:val="clear" w:color="auto" w:fill="auto"/>
                  <w:vAlign w:val="center"/>
                </w:tcPr>
                <w:p w14:paraId="5CA91D9B">
                  <w:pPr>
                    <w:adjustRightInd w:val="0"/>
                    <w:snapToGrid w:val="0"/>
                    <w:jc w:val="center"/>
                    <w:rPr>
                      <w:szCs w:val="21"/>
                    </w:rPr>
                  </w:pPr>
                  <w:r>
                    <w:rPr>
                      <w:szCs w:val="21"/>
                    </w:rPr>
                    <w:t>生物质成型燃料</w:t>
                  </w:r>
                </w:p>
              </w:tc>
              <w:tc>
                <w:tcPr>
                  <w:tcW w:w="515" w:type="pct"/>
                  <w:vAlign w:val="center"/>
                </w:tcPr>
                <w:p w14:paraId="32DFD6AF">
                  <w:pPr>
                    <w:adjustRightInd w:val="0"/>
                    <w:snapToGrid w:val="0"/>
                    <w:jc w:val="center"/>
                    <w:rPr>
                      <w:szCs w:val="21"/>
                    </w:rPr>
                  </w:pPr>
                  <w:r>
                    <w:rPr>
                      <w:rFonts w:hint="eastAsia"/>
                      <w:szCs w:val="21"/>
                    </w:rPr>
                    <w:t>0</w:t>
                  </w:r>
                </w:p>
              </w:tc>
              <w:tc>
                <w:tcPr>
                  <w:tcW w:w="652" w:type="pct"/>
                  <w:vAlign w:val="center"/>
                </w:tcPr>
                <w:p w14:paraId="195C04F7">
                  <w:pPr>
                    <w:adjustRightInd w:val="0"/>
                    <w:snapToGrid w:val="0"/>
                    <w:jc w:val="center"/>
                    <w:rPr>
                      <w:szCs w:val="21"/>
                    </w:rPr>
                  </w:pPr>
                  <w:r>
                    <w:rPr>
                      <w:rFonts w:hint="eastAsia"/>
                      <w:szCs w:val="21"/>
                    </w:rPr>
                    <w:t>1163.25</w:t>
                  </w:r>
                  <w:r>
                    <w:rPr>
                      <w:szCs w:val="21"/>
                    </w:rPr>
                    <w:t>t</w:t>
                  </w:r>
                </w:p>
              </w:tc>
              <w:tc>
                <w:tcPr>
                  <w:tcW w:w="551" w:type="pct"/>
                  <w:vAlign w:val="center"/>
                </w:tcPr>
                <w:p w14:paraId="3AEEF13F">
                  <w:pPr>
                    <w:adjustRightInd w:val="0"/>
                    <w:snapToGrid w:val="0"/>
                    <w:jc w:val="center"/>
                    <w:rPr>
                      <w:szCs w:val="21"/>
                    </w:rPr>
                  </w:pPr>
                  <w:r>
                    <w:rPr>
                      <w:rFonts w:hint="eastAsia"/>
                      <w:szCs w:val="21"/>
                    </w:rPr>
                    <w:t>+1163.25t</w:t>
                  </w:r>
                </w:p>
              </w:tc>
              <w:tc>
                <w:tcPr>
                  <w:tcW w:w="1745" w:type="pct"/>
                  <w:vAlign w:val="center"/>
                </w:tcPr>
                <w:p w14:paraId="0100A9B0">
                  <w:pPr>
                    <w:adjustRightInd w:val="0"/>
                    <w:snapToGrid w:val="0"/>
                    <w:jc w:val="center"/>
                    <w:rPr>
                      <w:bCs/>
                      <w:szCs w:val="21"/>
                    </w:rPr>
                  </w:pPr>
                  <w:r>
                    <w:rPr>
                      <w:bCs/>
                      <w:szCs w:val="21"/>
                    </w:rPr>
                    <w:t>外购，含硫量</w:t>
                  </w:r>
                  <w:r>
                    <w:rPr>
                      <w:rFonts w:hint="eastAsia"/>
                      <w:bCs/>
                      <w:szCs w:val="21"/>
                    </w:rPr>
                    <w:t>0.033</w:t>
                  </w:r>
                  <w:r>
                    <w:rPr>
                      <w:bCs/>
                      <w:szCs w:val="21"/>
                    </w:rPr>
                    <w:t>%</w:t>
                  </w:r>
                </w:p>
              </w:tc>
            </w:tr>
          </w:tbl>
          <w:p w14:paraId="36AF82DB">
            <w:pPr>
              <w:adjustRightInd w:val="0"/>
              <w:snapToGrid w:val="0"/>
              <w:spacing w:line="360" w:lineRule="auto"/>
              <w:ind w:firstLine="482" w:firstLineChars="200"/>
              <w:rPr>
                <w:b/>
                <w:bCs/>
                <w:sz w:val="24"/>
              </w:rPr>
            </w:pPr>
            <w:r>
              <w:rPr>
                <w:rFonts w:hint="eastAsia"/>
                <w:b/>
                <w:bCs/>
                <w:sz w:val="24"/>
              </w:rPr>
              <w:t>理化性质：</w:t>
            </w:r>
          </w:p>
          <w:p w14:paraId="65F2EE34">
            <w:pPr>
              <w:adjustRightInd w:val="0"/>
              <w:snapToGrid w:val="0"/>
              <w:spacing w:line="360" w:lineRule="auto"/>
              <w:ind w:firstLine="480" w:firstLineChars="200"/>
              <w:rPr>
                <w:sz w:val="24"/>
              </w:rPr>
            </w:pPr>
            <w:r>
              <w:rPr>
                <w:rFonts w:hint="eastAsia"/>
                <w:sz w:val="24"/>
              </w:rPr>
              <w:t>（1）</w:t>
            </w:r>
            <w:r>
              <w:rPr>
                <w:sz w:val="24"/>
                <w:szCs w:val="32"/>
              </w:rPr>
              <w:t>湿稻谷：本项目外购脱粒的湿稻谷，含水率一般</w:t>
            </w:r>
            <w:r>
              <w:rPr>
                <w:rFonts w:hint="eastAsia"/>
                <w:sz w:val="24"/>
                <w:szCs w:val="32"/>
              </w:rPr>
              <w:t>18</w:t>
            </w:r>
            <w:r>
              <w:rPr>
                <w:sz w:val="24"/>
                <w:szCs w:val="32"/>
              </w:rPr>
              <w:t>%左右。烘干到安全储存水分大约是13.5%，则需要烘干掉</w:t>
            </w:r>
            <w:r>
              <w:rPr>
                <w:rFonts w:hint="eastAsia"/>
                <w:sz w:val="24"/>
                <w:szCs w:val="32"/>
              </w:rPr>
              <w:t>4</w:t>
            </w:r>
            <w:r>
              <w:rPr>
                <w:sz w:val="24"/>
                <w:szCs w:val="32"/>
              </w:rPr>
              <w:t>.5%的水分</w:t>
            </w:r>
            <w:r>
              <w:rPr>
                <w:rFonts w:hint="eastAsia"/>
                <w:sz w:val="24"/>
              </w:rPr>
              <w:t>。</w:t>
            </w:r>
          </w:p>
          <w:p w14:paraId="3522D6A5">
            <w:pPr>
              <w:spacing w:line="360" w:lineRule="auto"/>
              <w:ind w:firstLine="480" w:firstLineChars="200"/>
              <w:rPr>
                <w:sz w:val="24"/>
                <w:szCs w:val="32"/>
              </w:rPr>
            </w:pPr>
            <w:r>
              <w:rPr>
                <w:rFonts w:hint="eastAsia"/>
                <w:sz w:val="24"/>
              </w:rPr>
              <w:t>（2）</w:t>
            </w:r>
            <w:r>
              <w:rPr>
                <w:sz w:val="24"/>
                <w:szCs w:val="32"/>
              </w:rPr>
              <w:t>磷化铝：化学式为AlP，是一种高毒性的无机化合物。熔点：2000℃，密度：2.42g/cm</w:t>
            </w:r>
            <w:r>
              <w:rPr>
                <w:sz w:val="24"/>
                <w:szCs w:val="32"/>
                <w:vertAlign w:val="superscript"/>
              </w:rPr>
              <w:t>3</w:t>
            </w:r>
            <w:r>
              <w:rPr>
                <w:sz w:val="24"/>
                <w:szCs w:val="32"/>
              </w:rPr>
              <w:t>，外观：黄色或灰色晶体。危险性类别，第4.3 类遇湿易燃物品。急性毒性，LD50：11.5mg/kg（大鼠经口） LC50：15.5mg/m³（大鼠吸入，4h），磷化铝在粮食仓储行业中一般被用作熏蒸杀除虫害的用途，用作粮仓熏蒸的AlP含量约56%-58.5%，常制成片剂，3.20g/片的规格较多。熏蒸每吨粮食只需约2片，磷化铝能自行吸湿逐渐放出PH3气体，或遇水时迅速分解放出磷化氢（PH</w:t>
            </w:r>
            <w:r>
              <w:rPr>
                <w:sz w:val="24"/>
                <w:szCs w:val="32"/>
                <w:vertAlign w:val="subscript"/>
              </w:rPr>
              <w:t>3</w:t>
            </w:r>
            <w:r>
              <w:rPr>
                <w:sz w:val="24"/>
                <w:szCs w:val="32"/>
              </w:rPr>
              <w:t>）气体。</w:t>
            </w:r>
          </w:p>
          <w:p w14:paraId="42D25A94">
            <w:pPr>
              <w:spacing w:line="360" w:lineRule="auto"/>
              <w:ind w:firstLine="480" w:firstLineChars="200"/>
              <w:rPr>
                <w:sz w:val="24"/>
                <w:szCs w:val="32"/>
              </w:rPr>
            </w:pPr>
            <w:r>
              <w:rPr>
                <w:sz w:val="24"/>
                <w:szCs w:val="32"/>
              </w:rPr>
              <w:t>反应方程式为：AlP+3H</w:t>
            </w:r>
            <w:r>
              <w:rPr>
                <w:sz w:val="24"/>
                <w:szCs w:val="32"/>
                <w:vertAlign w:val="subscript"/>
              </w:rPr>
              <w:t>2</w:t>
            </w:r>
            <w:r>
              <w:rPr>
                <w:sz w:val="24"/>
                <w:szCs w:val="32"/>
              </w:rPr>
              <w:t>O→PH</w:t>
            </w:r>
            <w:r>
              <w:rPr>
                <w:sz w:val="24"/>
                <w:szCs w:val="32"/>
                <w:vertAlign w:val="subscript"/>
              </w:rPr>
              <w:t>3</w:t>
            </w:r>
            <w:r>
              <w:rPr>
                <w:sz w:val="24"/>
                <w:szCs w:val="32"/>
              </w:rPr>
              <w:t>+Al（OH）</w:t>
            </w:r>
            <w:r>
              <w:rPr>
                <w:sz w:val="24"/>
                <w:szCs w:val="32"/>
                <w:vertAlign w:val="subscript"/>
              </w:rPr>
              <w:t>3</w:t>
            </w:r>
          </w:p>
          <w:p w14:paraId="54E5DA31">
            <w:pPr>
              <w:spacing w:line="360" w:lineRule="auto"/>
              <w:ind w:firstLine="480" w:firstLineChars="200"/>
              <w:rPr>
                <w:sz w:val="24"/>
                <w:szCs w:val="32"/>
              </w:rPr>
            </w:pPr>
            <w:r>
              <w:rPr>
                <w:sz w:val="24"/>
                <w:szCs w:val="32"/>
              </w:rPr>
              <w:t>当粮质稳定情况下不进行熏蒸杀虫，只在粮虫泛滥时采用。使用后当PH</w:t>
            </w:r>
            <w:r>
              <w:rPr>
                <w:sz w:val="24"/>
                <w:szCs w:val="32"/>
                <w:vertAlign w:val="subscript"/>
              </w:rPr>
              <w:t>3</w:t>
            </w:r>
            <w:r>
              <w:rPr>
                <w:sz w:val="24"/>
                <w:szCs w:val="32"/>
              </w:rPr>
              <w:t>在密闭仓库氧化分解成无毒物质，直至PH</w:t>
            </w:r>
            <w:r>
              <w:rPr>
                <w:sz w:val="24"/>
                <w:szCs w:val="32"/>
                <w:vertAlign w:val="subscript"/>
              </w:rPr>
              <w:t>3</w:t>
            </w:r>
            <w:r>
              <w:rPr>
                <w:sz w:val="24"/>
                <w:szCs w:val="32"/>
              </w:rPr>
              <w:t>浓度降为安全值才打开仓门。</w:t>
            </w:r>
          </w:p>
          <w:p w14:paraId="09CEAEEC">
            <w:pPr>
              <w:adjustRightInd w:val="0"/>
              <w:snapToGrid w:val="0"/>
              <w:spacing w:line="360" w:lineRule="auto"/>
              <w:ind w:firstLine="480" w:firstLineChars="200"/>
              <w:rPr>
                <w:sz w:val="24"/>
              </w:rPr>
            </w:pPr>
            <w:r>
              <w:rPr>
                <w:sz w:val="24"/>
                <w:szCs w:val="32"/>
              </w:rPr>
              <w:t>本项目磷化铝实行零库存制度，磷化铝委托有资质的供应商统一采购及运输，并由供应商委派技术人员按照《磷化氢环流熏蒸技术规程》（LS/T1201-2002）及《中华人民共和国粮食行业标准》（LS/T1211-2008）的相关规范要求进行操作使用，熏蒸后产生的少量残渣由磷化铝供应商统一收集处理</w:t>
            </w:r>
            <w:r>
              <w:rPr>
                <w:rFonts w:hint="eastAsia"/>
                <w:sz w:val="24"/>
              </w:rPr>
              <w:t>。</w:t>
            </w:r>
          </w:p>
          <w:p w14:paraId="629130BD">
            <w:pPr>
              <w:adjustRightInd w:val="0"/>
              <w:snapToGrid w:val="0"/>
              <w:spacing w:line="360" w:lineRule="auto"/>
              <w:ind w:firstLine="480" w:firstLineChars="200"/>
              <w:rPr>
                <w:rFonts w:hAnsi="宋体"/>
                <w:sz w:val="24"/>
              </w:rPr>
            </w:pPr>
            <w:r>
              <w:rPr>
                <w:rFonts w:hint="eastAsia"/>
                <w:sz w:val="24"/>
              </w:rPr>
              <w:t>（3）</w:t>
            </w:r>
            <w:r>
              <w:rPr>
                <w:sz w:val="24"/>
                <w:szCs w:val="32"/>
              </w:rPr>
              <w:t>液压油：抗磨液压油（HM液压油）是从防锈、抗氧液压油基础上发展而来的，它有碱性高锌、碱性低锌、中性高锌型及无灰型等系列产品，它们均按40℃运动粘度分为22、32、46、68四个牌号。可广泛用于工业、航运和移动式的液压及传动系统中，也适用于普通负载的齿轮传动装置、轴承及其他工业机械的润滑可用于高压柱塞泵系统</w:t>
            </w:r>
            <w:r>
              <w:rPr>
                <w:rFonts w:hint="eastAsia"/>
                <w:sz w:val="24"/>
              </w:rPr>
              <w:t>。</w:t>
            </w:r>
          </w:p>
          <w:p w14:paraId="48E8DC4B">
            <w:pPr>
              <w:adjustRightInd w:val="0"/>
              <w:snapToGrid w:val="0"/>
              <w:spacing w:line="360" w:lineRule="auto"/>
              <w:ind w:firstLine="480" w:firstLineChars="200"/>
              <w:rPr>
                <w:rFonts w:hAnsi="宋体"/>
                <w:sz w:val="24"/>
              </w:rPr>
            </w:pPr>
            <w:r>
              <w:rPr>
                <w:rFonts w:hint="eastAsia" w:hAnsi="宋体"/>
                <w:sz w:val="24"/>
              </w:rPr>
              <w:t>（4）乙醇：无色液体，有酒香。熔点-114℃，沸点78.3℃，密度（水=1）0.79g/cm</w:t>
            </w:r>
            <w:r>
              <w:rPr>
                <w:rFonts w:hint="eastAsia" w:hAnsi="宋体"/>
                <w:sz w:val="24"/>
                <w:vertAlign w:val="superscript"/>
              </w:rPr>
              <w:t>3</w:t>
            </w:r>
            <w:r>
              <w:rPr>
                <w:rFonts w:hint="eastAsia" w:hAnsi="宋体"/>
                <w:sz w:val="24"/>
              </w:rPr>
              <w:t>。与水混溶，可溶于醚、氯仿、甘油等多数有机溶剂。</w:t>
            </w:r>
          </w:p>
          <w:p w14:paraId="4676EC3A">
            <w:pPr>
              <w:adjustRightInd w:val="0"/>
              <w:snapToGrid w:val="0"/>
              <w:spacing w:line="360" w:lineRule="auto"/>
              <w:ind w:firstLine="480" w:firstLineChars="200"/>
              <w:rPr>
                <w:rFonts w:hAnsi="宋体"/>
                <w:sz w:val="24"/>
              </w:rPr>
            </w:pPr>
            <w:r>
              <w:rPr>
                <w:rFonts w:hint="eastAsia" w:hAnsi="宋体"/>
                <w:sz w:val="24"/>
              </w:rPr>
              <w:t>（5）甲醇：无色澄清液体，有刺激性气味，熔点：-97.8℃，沸点：64.8℃，相对密度（水=1）0.79g/cm</w:t>
            </w:r>
            <w:r>
              <w:rPr>
                <w:rFonts w:hint="eastAsia" w:hAnsi="宋体"/>
                <w:sz w:val="24"/>
                <w:vertAlign w:val="superscript"/>
              </w:rPr>
              <w:t>3</w:t>
            </w:r>
            <w:r>
              <w:rPr>
                <w:rFonts w:hint="eastAsia" w:hAnsi="宋体"/>
                <w:sz w:val="24"/>
              </w:rPr>
              <w:t>；相对密度（空气=1）1.11，溶于水，可混溶于醇、醚等多数有机溶剂。</w:t>
            </w:r>
          </w:p>
          <w:p w14:paraId="2305EB55">
            <w:pPr>
              <w:adjustRightInd w:val="0"/>
              <w:snapToGrid w:val="0"/>
              <w:spacing w:line="360" w:lineRule="auto"/>
              <w:ind w:firstLine="480" w:firstLineChars="200"/>
              <w:rPr>
                <w:rFonts w:hAnsi="宋体"/>
                <w:sz w:val="24"/>
              </w:rPr>
            </w:pPr>
            <w:r>
              <w:rPr>
                <w:rFonts w:hint="eastAsia" w:hAnsi="宋体"/>
                <w:sz w:val="24"/>
              </w:rPr>
              <w:t>（6）项目所用成型生物质颗粒成分检测结果见下表（详见附件6）</w:t>
            </w:r>
          </w:p>
          <w:p w14:paraId="0371FFE0">
            <w:pPr>
              <w:spacing w:before="120" w:beforeLines="50"/>
              <w:jc w:val="center"/>
              <w:rPr>
                <w:b/>
              </w:rPr>
            </w:pPr>
            <w:r>
              <w:rPr>
                <w:b/>
              </w:rPr>
              <w:t>表</w:t>
            </w:r>
            <w:r>
              <w:rPr>
                <w:rFonts w:hint="eastAsia"/>
                <w:b/>
              </w:rPr>
              <w:t>2-6</w:t>
            </w:r>
            <w:r>
              <w:rPr>
                <w:b/>
              </w:rPr>
              <w:t xml:space="preserve"> </w:t>
            </w:r>
            <w:r>
              <w:rPr>
                <w:rFonts w:hint="eastAsia"/>
                <w:b/>
              </w:rPr>
              <w:t xml:space="preserve"> 项目所用成型生物质颗粒</w:t>
            </w:r>
            <w:r>
              <w:rPr>
                <w:b/>
              </w:rPr>
              <w:t>成分表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78"/>
              <w:gridCol w:w="3079"/>
              <w:gridCol w:w="3081"/>
            </w:tblGrid>
            <w:tr w14:paraId="7D735C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6F80EB3C">
                  <w:pPr>
                    <w:autoSpaceDE w:val="0"/>
                    <w:jc w:val="center"/>
                    <w:rPr>
                      <w:b/>
                      <w:szCs w:val="21"/>
                    </w:rPr>
                  </w:pPr>
                  <w:r>
                    <w:rPr>
                      <w:rFonts w:hAnsi="宋体"/>
                      <w:b/>
                    </w:rPr>
                    <w:t>成分</w:t>
                  </w:r>
                </w:p>
              </w:tc>
              <w:tc>
                <w:tcPr>
                  <w:tcW w:w="1666" w:type="pct"/>
                  <w:vAlign w:val="center"/>
                </w:tcPr>
                <w:p w14:paraId="4F00D59E">
                  <w:pPr>
                    <w:autoSpaceDE w:val="0"/>
                    <w:jc w:val="center"/>
                    <w:rPr>
                      <w:rFonts w:hAnsi="宋体"/>
                      <w:b/>
                    </w:rPr>
                  </w:pPr>
                  <w:r>
                    <w:rPr>
                      <w:rFonts w:hAnsi="宋体"/>
                      <w:b/>
                    </w:rPr>
                    <w:t>符号</w:t>
                  </w:r>
                </w:p>
              </w:tc>
              <w:tc>
                <w:tcPr>
                  <w:tcW w:w="1667" w:type="pct"/>
                  <w:vAlign w:val="center"/>
                </w:tcPr>
                <w:p w14:paraId="4F89AAC5">
                  <w:pPr>
                    <w:autoSpaceDE w:val="0"/>
                    <w:jc w:val="center"/>
                    <w:rPr>
                      <w:b/>
                      <w:szCs w:val="21"/>
                    </w:rPr>
                  </w:pPr>
                  <w:r>
                    <w:rPr>
                      <w:rFonts w:hint="eastAsia" w:hAnsi="宋体"/>
                      <w:b/>
                    </w:rPr>
                    <w:t>检测结果</w:t>
                  </w:r>
                </w:p>
              </w:tc>
            </w:tr>
            <w:tr w14:paraId="0FCFD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4B6EB207">
                  <w:pPr>
                    <w:autoSpaceDE w:val="0"/>
                    <w:jc w:val="center"/>
                    <w:rPr>
                      <w:szCs w:val="21"/>
                    </w:rPr>
                  </w:pPr>
                  <w:r>
                    <w:rPr>
                      <w:rFonts w:hint="eastAsia"/>
                    </w:rPr>
                    <w:t>全</w:t>
                  </w:r>
                  <w:r>
                    <w:t>水份</w:t>
                  </w:r>
                </w:p>
              </w:tc>
              <w:tc>
                <w:tcPr>
                  <w:tcW w:w="1666" w:type="pct"/>
                  <w:vAlign w:val="center"/>
                </w:tcPr>
                <w:p w14:paraId="280049F0">
                  <w:pPr>
                    <w:autoSpaceDE w:val="0"/>
                    <w:jc w:val="center"/>
                  </w:pPr>
                  <w:r>
                    <w:rPr>
                      <w:rFonts w:hint="eastAsia"/>
                    </w:rPr>
                    <w:t>MT</w:t>
                  </w:r>
                </w:p>
              </w:tc>
              <w:tc>
                <w:tcPr>
                  <w:tcW w:w="1667" w:type="pct"/>
                  <w:vAlign w:val="center"/>
                </w:tcPr>
                <w:p w14:paraId="4A4E404E">
                  <w:pPr>
                    <w:autoSpaceDE w:val="0"/>
                    <w:jc w:val="center"/>
                    <w:rPr>
                      <w:szCs w:val="21"/>
                    </w:rPr>
                  </w:pPr>
                  <w:r>
                    <w:rPr>
                      <w:rFonts w:hint="eastAsia"/>
                    </w:rPr>
                    <w:t>7.10%</w:t>
                  </w:r>
                </w:p>
              </w:tc>
            </w:tr>
            <w:tr w14:paraId="2E79E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1C976D7B">
                  <w:pPr>
                    <w:autoSpaceDE w:val="0"/>
                    <w:jc w:val="center"/>
                    <w:rPr>
                      <w:szCs w:val="21"/>
                    </w:rPr>
                  </w:pPr>
                  <w:r>
                    <w:t>灰份</w:t>
                  </w:r>
                </w:p>
              </w:tc>
              <w:tc>
                <w:tcPr>
                  <w:tcW w:w="1666" w:type="pct"/>
                  <w:vAlign w:val="center"/>
                </w:tcPr>
                <w:p w14:paraId="49749153">
                  <w:pPr>
                    <w:autoSpaceDE w:val="0"/>
                    <w:jc w:val="center"/>
                  </w:pPr>
                  <w:r>
                    <w:rPr>
                      <w:rFonts w:hint="eastAsia"/>
                    </w:rPr>
                    <w:t>Aad</w:t>
                  </w:r>
                </w:p>
              </w:tc>
              <w:tc>
                <w:tcPr>
                  <w:tcW w:w="1667" w:type="pct"/>
                  <w:vAlign w:val="center"/>
                </w:tcPr>
                <w:p w14:paraId="7CEB37B8">
                  <w:pPr>
                    <w:autoSpaceDE w:val="0"/>
                    <w:jc w:val="center"/>
                    <w:rPr>
                      <w:szCs w:val="21"/>
                    </w:rPr>
                  </w:pPr>
                  <w:r>
                    <w:rPr>
                      <w:rFonts w:hint="eastAsia"/>
                    </w:rPr>
                    <w:t>1.74%</w:t>
                  </w:r>
                </w:p>
              </w:tc>
            </w:tr>
            <w:tr w14:paraId="2D6B8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0DEC8153">
                  <w:pPr>
                    <w:autoSpaceDE w:val="0"/>
                    <w:jc w:val="center"/>
                  </w:pPr>
                  <w:r>
                    <w:t>挥发份</w:t>
                  </w:r>
                </w:p>
              </w:tc>
              <w:tc>
                <w:tcPr>
                  <w:tcW w:w="1666" w:type="pct"/>
                  <w:vAlign w:val="center"/>
                </w:tcPr>
                <w:p w14:paraId="42D4DB9B">
                  <w:pPr>
                    <w:autoSpaceDE w:val="0"/>
                    <w:jc w:val="center"/>
                  </w:pPr>
                  <w:r>
                    <w:rPr>
                      <w:rFonts w:hint="eastAsia"/>
                    </w:rPr>
                    <w:t>Vad</w:t>
                  </w:r>
                </w:p>
              </w:tc>
              <w:tc>
                <w:tcPr>
                  <w:tcW w:w="1667" w:type="pct"/>
                  <w:vAlign w:val="center"/>
                </w:tcPr>
                <w:p w14:paraId="17A229C0">
                  <w:pPr>
                    <w:autoSpaceDE w:val="0"/>
                    <w:jc w:val="center"/>
                  </w:pPr>
                  <w:r>
                    <w:rPr>
                      <w:rFonts w:hint="eastAsia"/>
                    </w:rPr>
                    <w:t>73.05%</w:t>
                  </w:r>
                </w:p>
              </w:tc>
            </w:tr>
            <w:tr w14:paraId="6848F8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2358AF8B">
                  <w:pPr>
                    <w:autoSpaceDE w:val="0"/>
                    <w:jc w:val="center"/>
                    <w:rPr>
                      <w:szCs w:val="21"/>
                    </w:rPr>
                  </w:pPr>
                  <w:r>
                    <w:rPr>
                      <w:szCs w:val="21"/>
                    </w:rPr>
                    <w:t>焦渣特征</w:t>
                  </w:r>
                </w:p>
              </w:tc>
              <w:tc>
                <w:tcPr>
                  <w:tcW w:w="1666" w:type="pct"/>
                  <w:vAlign w:val="center"/>
                </w:tcPr>
                <w:p w14:paraId="2EF1A962">
                  <w:pPr>
                    <w:autoSpaceDE w:val="0"/>
                    <w:jc w:val="center"/>
                  </w:pPr>
                  <w:r>
                    <w:rPr>
                      <w:rFonts w:hint="eastAsia"/>
                    </w:rPr>
                    <w:t>CRC</w:t>
                  </w:r>
                </w:p>
              </w:tc>
              <w:tc>
                <w:tcPr>
                  <w:tcW w:w="1667" w:type="pct"/>
                  <w:vAlign w:val="center"/>
                </w:tcPr>
                <w:p w14:paraId="7D489A25">
                  <w:pPr>
                    <w:autoSpaceDE w:val="0"/>
                    <w:jc w:val="center"/>
                    <w:rPr>
                      <w:szCs w:val="21"/>
                    </w:rPr>
                  </w:pPr>
                  <w:r>
                    <w:rPr>
                      <w:rFonts w:hint="eastAsia"/>
                      <w:szCs w:val="21"/>
                    </w:rPr>
                    <w:t>2类</w:t>
                  </w:r>
                </w:p>
              </w:tc>
            </w:tr>
            <w:tr w14:paraId="1EAB1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4A7E6ECE">
                  <w:pPr>
                    <w:autoSpaceDE w:val="0"/>
                    <w:jc w:val="center"/>
                    <w:rPr>
                      <w:szCs w:val="21"/>
                    </w:rPr>
                  </w:pPr>
                  <w:r>
                    <w:t>固定炭</w:t>
                  </w:r>
                </w:p>
              </w:tc>
              <w:tc>
                <w:tcPr>
                  <w:tcW w:w="1666" w:type="pct"/>
                  <w:vAlign w:val="center"/>
                </w:tcPr>
                <w:p w14:paraId="35AA49C4">
                  <w:pPr>
                    <w:autoSpaceDE w:val="0"/>
                    <w:jc w:val="center"/>
                  </w:pPr>
                  <w:r>
                    <w:rPr>
                      <w:rFonts w:hint="eastAsia"/>
                    </w:rPr>
                    <w:t>FCad</w:t>
                  </w:r>
                </w:p>
              </w:tc>
              <w:tc>
                <w:tcPr>
                  <w:tcW w:w="1667" w:type="pct"/>
                  <w:vAlign w:val="center"/>
                </w:tcPr>
                <w:p w14:paraId="0144A1E7">
                  <w:pPr>
                    <w:autoSpaceDE w:val="0"/>
                    <w:jc w:val="center"/>
                  </w:pPr>
                  <w:r>
                    <w:rPr>
                      <w:rFonts w:hint="eastAsia"/>
                    </w:rPr>
                    <w:t>18.12%</w:t>
                  </w:r>
                </w:p>
              </w:tc>
            </w:tr>
            <w:tr w14:paraId="50338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1BA27C52">
                  <w:pPr>
                    <w:autoSpaceDE w:val="0"/>
                    <w:jc w:val="center"/>
                    <w:rPr>
                      <w:szCs w:val="21"/>
                    </w:rPr>
                  </w:pPr>
                  <w:r>
                    <w:t>全硫</w:t>
                  </w:r>
                </w:p>
              </w:tc>
              <w:tc>
                <w:tcPr>
                  <w:tcW w:w="1666" w:type="pct"/>
                  <w:vAlign w:val="center"/>
                </w:tcPr>
                <w:p w14:paraId="4E016008">
                  <w:pPr>
                    <w:autoSpaceDE w:val="0"/>
                    <w:jc w:val="center"/>
                  </w:pPr>
                  <w:r>
                    <w:rPr>
                      <w:rFonts w:hint="eastAsia"/>
                    </w:rPr>
                    <w:t>St,ad</w:t>
                  </w:r>
                </w:p>
              </w:tc>
              <w:tc>
                <w:tcPr>
                  <w:tcW w:w="1667" w:type="pct"/>
                  <w:vAlign w:val="center"/>
                </w:tcPr>
                <w:p w14:paraId="342D6289">
                  <w:pPr>
                    <w:autoSpaceDE w:val="0"/>
                    <w:jc w:val="center"/>
                    <w:rPr>
                      <w:szCs w:val="21"/>
                    </w:rPr>
                  </w:pPr>
                  <w:r>
                    <w:rPr>
                      <w:rFonts w:hint="eastAsia"/>
                    </w:rPr>
                    <w:t>0.033%</w:t>
                  </w:r>
                </w:p>
              </w:tc>
            </w:tr>
            <w:tr w14:paraId="5D517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58DCEA60">
                  <w:pPr>
                    <w:autoSpaceDE w:val="0"/>
                    <w:jc w:val="center"/>
                    <w:rPr>
                      <w:szCs w:val="21"/>
                    </w:rPr>
                  </w:pPr>
                  <w:r>
                    <w:rPr>
                      <w:szCs w:val="21"/>
                    </w:rPr>
                    <w:t>高位发热量（空干基）</w:t>
                  </w:r>
                </w:p>
              </w:tc>
              <w:tc>
                <w:tcPr>
                  <w:tcW w:w="1666" w:type="pct"/>
                  <w:vAlign w:val="center"/>
                </w:tcPr>
                <w:p w14:paraId="4014FFFA">
                  <w:pPr>
                    <w:autoSpaceDE w:val="0"/>
                    <w:jc w:val="center"/>
                  </w:pPr>
                  <w:r>
                    <w:rPr>
                      <w:rFonts w:hint="eastAsia"/>
                    </w:rPr>
                    <w:t>Qnet,ar</w:t>
                  </w:r>
                </w:p>
              </w:tc>
              <w:tc>
                <w:tcPr>
                  <w:tcW w:w="1667" w:type="pct"/>
                  <w:vAlign w:val="center"/>
                </w:tcPr>
                <w:p w14:paraId="05A9B999">
                  <w:pPr>
                    <w:autoSpaceDE w:val="0"/>
                    <w:jc w:val="center"/>
                    <w:rPr>
                      <w:szCs w:val="21"/>
                    </w:rPr>
                  </w:pPr>
                  <w:r>
                    <w:rPr>
                      <w:rFonts w:hint="eastAsia"/>
                    </w:rPr>
                    <w:t>4521</w:t>
                  </w:r>
                  <w:bookmarkStart w:id="39" w:name="OLE_LINK123"/>
                  <w:bookmarkStart w:id="40" w:name="OLE_LINK122"/>
                  <w:r>
                    <w:rPr>
                      <w:rFonts w:hint="eastAsia"/>
                    </w:rPr>
                    <w:t>Kcal/kg</w:t>
                  </w:r>
                  <w:bookmarkEnd w:id="39"/>
                  <w:bookmarkEnd w:id="40"/>
                </w:p>
              </w:tc>
            </w:tr>
            <w:tr w14:paraId="15FD6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66" w:type="pct"/>
                  <w:vAlign w:val="center"/>
                </w:tcPr>
                <w:p w14:paraId="088D8BDF">
                  <w:pPr>
                    <w:autoSpaceDE w:val="0"/>
                    <w:jc w:val="center"/>
                  </w:pPr>
                  <w:r>
                    <w:t>低位发热量（收到基）</w:t>
                  </w:r>
                </w:p>
              </w:tc>
              <w:tc>
                <w:tcPr>
                  <w:tcW w:w="1666" w:type="pct"/>
                  <w:vAlign w:val="center"/>
                </w:tcPr>
                <w:p w14:paraId="49A6D7CD">
                  <w:pPr>
                    <w:autoSpaceDE w:val="0"/>
                    <w:jc w:val="center"/>
                  </w:pPr>
                  <w:r>
                    <w:rPr>
                      <w:rFonts w:hint="eastAsia"/>
                    </w:rPr>
                    <w:t>Qnet,ar</w:t>
                  </w:r>
                </w:p>
              </w:tc>
              <w:tc>
                <w:tcPr>
                  <w:tcW w:w="1667" w:type="pct"/>
                  <w:vAlign w:val="center"/>
                </w:tcPr>
                <w:p w14:paraId="19EFA682">
                  <w:pPr>
                    <w:autoSpaceDE w:val="0"/>
                    <w:jc w:val="center"/>
                  </w:pPr>
                  <w:r>
                    <w:rPr>
                      <w:rFonts w:hint="eastAsia"/>
                    </w:rPr>
                    <w:t>4282Kcal/kg</w:t>
                  </w:r>
                </w:p>
              </w:tc>
            </w:tr>
          </w:tbl>
          <w:p w14:paraId="3E834F62">
            <w:pPr>
              <w:adjustRightInd w:val="0"/>
              <w:snapToGrid w:val="0"/>
              <w:spacing w:line="360" w:lineRule="auto"/>
              <w:ind w:firstLine="480" w:firstLineChars="200"/>
              <w:rPr>
                <w:rFonts w:hAnsi="宋体"/>
                <w:sz w:val="24"/>
              </w:rPr>
            </w:pPr>
            <w:r>
              <w:rPr>
                <w:rFonts w:hint="eastAsia" w:hAnsi="宋体"/>
                <w:sz w:val="24"/>
              </w:rPr>
              <w:t>生物质热风炉燃料用量估算：</w:t>
            </w:r>
          </w:p>
          <w:p w14:paraId="5B43FC58">
            <w:pPr>
              <w:adjustRightInd w:val="0"/>
              <w:snapToGrid w:val="0"/>
              <w:spacing w:line="360" w:lineRule="auto"/>
              <w:ind w:firstLine="480" w:firstLineChars="200"/>
              <w:rPr>
                <w:rFonts w:hAnsi="宋体"/>
                <w:sz w:val="24"/>
              </w:rPr>
            </w:pPr>
            <w:r>
              <w:rPr>
                <w:rFonts w:hint="eastAsia" w:hAnsi="宋体"/>
                <w:sz w:val="24"/>
              </w:rPr>
              <w:t>①计算需要去除的水分量</w:t>
            </w:r>
          </w:p>
          <w:p w14:paraId="3D1DE032">
            <w:pPr>
              <w:adjustRightInd w:val="0"/>
              <w:snapToGrid w:val="0"/>
              <w:spacing w:line="360" w:lineRule="auto"/>
              <w:ind w:firstLine="480" w:firstLineChars="200"/>
              <w:rPr>
                <w:rFonts w:hAnsi="宋体"/>
                <w:sz w:val="24"/>
              </w:rPr>
            </w:pPr>
            <w:r>
              <w:rPr>
                <w:rFonts w:hint="eastAsia" w:hAnsi="宋体"/>
                <w:sz w:val="24"/>
              </w:rPr>
              <w:t>初始湿稻谷质量：1000kg</w:t>
            </w:r>
          </w:p>
          <w:p w14:paraId="436C7BC6">
            <w:pPr>
              <w:adjustRightInd w:val="0"/>
              <w:snapToGrid w:val="0"/>
              <w:spacing w:line="360" w:lineRule="auto"/>
              <w:ind w:firstLine="480" w:firstLineChars="200"/>
              <w:rPr>
                <w:rFonts w:hAnsi="宋体"/>
                <w:sz w:val="24"/>
              </w:rPr>
            </w:pPr>
            <w:r>
              <w:rPr>
                <w:rFonts w:hint="eastAsia" w:hAnsi="宋体"/>
                <w:sz w:val="24"/>
              </w:rPr>
              <w:t>初始含水率：18%，初始水分质量=180kg</w:t>
            </w:r>
          </w:p>
          <w:p w14:paraId="4D6DB37B">
            <w:pPr>
              <w:adjustRightInd w:val="0"/>
              <w:snapToGrid w:val="0"/>
              <w:spacing w:line="360" w:lineRule="auto"/>
              <w:ind w:firstLine="480" w:firstLineChars="200"/>
              <w:rPr>
                <w:rFonts w:hAnsi="宋体"/>
                <w:sz w:val="24"/>
              </w:rPr>
            </w:pPr>
            <w:r>
              <w:rPr>
                <w:rFonts w:hint="eastAsia" w:hAnsi="宋体"/>
                <w:sz w:val="24"/>
              </w:rPr>
              <w:t>干物质质量（恒定）：1000-180=820kg</w:t>
            </w:r>
          </w:p>
          <w:p w14:paraId="5D2BA9A4">
            <w:pPr>
              <w:adjustRightInd w:val="0"/>
              <w:snapToGrid w:val="0"/>
              <w:spacing w:line="360" w:lineRule="auto"/>
              <w:ind w:firstLine="480" w:firstLineChars="200"/>
              <w:rPr>
                <w:rFonts w:hAnsi="宋体"/>
                <w:sz w:val="24"/>
              </w:rPr>
            </w:pPr>
            <w:r>
              <w:rPr>
                <w:rFonts w:hint="eastAsia" w:hAnsi="宋体"/>
                <w:sz w:val="24"/>
              </w:rPr>
              <w:t>最终含水率：13.5%，设最终总质量为M</w:t>
            </w:r>
            <w:r>
              <w:rPr>
                <w:rFonts w:hint="eastAsia" w:hAnsi="宋体"/>
                <w:sz w:val="24"/>
                <w:vertAlign w:val="subscript"/>
              </w:rPr>
              <w:t>f</w:t>
            </w:r>
            <w:r>
              <w:rPr>
                <w:rFonts w:hint="eastAsia" w:hAnsi="宋体"/>
                <w:sz w:val="24"/>
              </w:rPr>
              <w:t>，干物质守恒：</w:t>
            </w:r>
          </w:p>
          <w:p w14:paraId="16B4BC6C">
            <w:pPr>
              <w:adjustRightInd w:val="0"/>
              <w:snapToGrid w:val="0"/>
              <w:spacing w:line="360" w:lineRule="auto"/>
              <w:jc w:val="center"/>
              <w:rPr>
                <w:rFonts w:hAnsi="宋体"/>
                <w:sz w:val="24"/>
              </w:rPr>
            </w:pPr>
            <w:r>
              <w:rPr>
                <w:rFonts w:hint="eastAsia" w:hAnsi="宋体"/>
                <w:sz w:val="24"/>
              </w:rPr>
              <w:t>M</w:t>
            </w:r>
            <w:r>
              <w:rPr>
                <w:rFonts w:hint="eastAsia" w:hAnsi="宋体"/>
                <w:sz w:val="24"/>
                <w:vertAlign w:val="subscript"/>
              </w:rPr>
              <w:t>f</w:t>
            </w:r>
            <w:r>
              <w:rPr>
                <w:rFonts w:hAnsi="宋体"/>
                <w:sz w:val="24"/>
              </w:rPr>
              <w:t>×</w:t>
            </w:r>
            <w:r>
              <w:rPr>
                <w:rFonts w:hint="eastAsia" w:hAnsi="宋体"/>
                <w:sz w:val="24"/>
              </w:rPr>
              <w:t>（</w:t>
            </w:r>
            <w:r>
              <w:rPr>
                <w:rFonts w:hAnsi="宋体"/>
                <w:sz w:val="24"/>
              </w:rPr>
              <w:t>1-0.135</w:t>
            </w:r>
            <w:r>
              <w:rPr>
                <w:rFonts w:hint="eastAsia" w:hAnsi="宋体"/>
                <w:sz w:val="24"/>
              </w:rPr>
              <w:t>）</w:t>
            </w:r>
            <w:r>
              <w:rPr>
                <w:rFonts w:hAnsi="宋体"/>
                <w:sz w:val="24"/>
              </w:rPr>
              <w:t>=</w:t>
            </w:r>
            <w:r>
              <w:rPr>
                <w:rFonts w:hint="eastAsia" w:hAnsi="宋体"/>
                <w:sz w:val="24"/>
              </w:rPr>
              <w:t>82</w:t>
            </w:r>
            <w:r>
              <w:rPr>
                <w:rFonts w:hAnsi="宋体"/>
                <w:sz w:val="24"/>
              </w:rPr>
              <w:t>0</w:t>
            </w:r>
          </w:p>
          <w:p w14:paraId="6ABE0B79">
            <w:pPr>
              <w:adjustRightInd w:val="0"/>
              <w:snapToGrid w:val="0"/>
              <w:spacing w:line="360" w:lineRule="auto"/>
              <w:jc w:val="center"/>
              <w:rPr>
                <w:rFonts w:hAnsi="宋体"/>
                <w:sz w:val="24"/>
              </w:rPr>
            </w:pPr>
            <w:r>
              <w:rPr>
                <w:rFonts w:hint="eastAsia" w:hAnsi="宋体"/>
                <w:sz w:val="24"/>
              </w:rPr>
              <w:t>M</w:t>
            </w:r>
            <w:r>
              <w:rPr>
                <w:rFonts w:hint="eastAsia" w:hAnsi="宋体"/>
                <w:sz w:val="24"/>
                <w:vertAlign w:val="subscript"/>
              </w:rPr>
              <w:t>f</w:t>
            </w:r>
            <w:r>
              <w:rPr>
                <w:rFonts w:hAnsi="宋体"/>
                <w:sz w:val="24"/>
              </w:rPr>
              <w:t>×0.865=</w:t>
            </w:r>
            <w:r>
              <w:rPr>
                <w:rFonts w:hint="eastAsia" w:hAnsi="宋体"/>
                <w:sz w:val="24"/>
              </w:rPr>
              <w:t>82</w:t>
            </w:r>
            <w:r>
              <w:rPr>
                <w:rFonts w:hAnsi="宋体"/>
                <w:sz w:val="24"/>
              </w:rPr>
              <w:t>0</w:t>
            </w:r>
          </w:p>
          <w:p w14:paraId="5504A178">
            <w:pPr>
              <w:adjustRightInd w:val="0"/>
              <w:snapToGrid w:val="0"/>
              <w:spacing w:line="360" w:lineRule="auto"/>
              <w:ind w:firstLine="480" w:firstLineChars="200"/>
              <w:rPr>
                <w:rFonts w:hAnsi="宋体"/>
                <w:sz w:val="24"/>
              </w:rPr>
            </w:pPr>
            <w:r>
              <w:rPr>
                <w:rFonts w:hint="eastAsia" w:hAnsi="宋体"/>
                <w:sz w:val="24"/>
              </w:rPr>
              <w:t>最终水分质量=M</w:t>
            </w:r>
            <w:r>
              <w:rPr>
                <w:rFonts w:hint="eastAsia" w:hAnsi="宋体"/>
                <w:sz w:val="24"/>
                <w:vertAlign w:val="subscript"/>
              </w:rPr>
              <w:t>f</w:t>
            </w:r>
            <w:r>
              <w:rPr>
                <w:rFonts w:hint="eastAsia" w:hAnsi="宋体"/>
                <w:sz w:val="24"/>
              </w:rPr>
              <w:t>×0.135=947.9769×0.135≈127.9769kg</w:t>
            </w:r>
          </w:p>
          <w:p w14:paraId="5F3B2278">
            <w:pPr>
              <w:adjustRightInd w:val="0"/>
              <w:snapToGrid w:val="0"/>
              <w:spacing w:line="360" w:lineRule="auto"/>
              <w:ind w:firstLine="480" w:firstLineChars="200"/>
              <w:rPr>
                <w:rFonts w:hAnsi="宋体"/>
                <w:sz w:val="24"/>
              </w:rPr>
            </w:pPr>
            <w:r>
              <w:rPr>
                <w:rFonts w:hint="eastAsia" w:hAnsi="宋体"/>
                <w:sz w:val="24"/>
              </w:rPr>
              <w:t>需要去除的水分质量：</w:t>
            </w:r>
          </w:p>
          <w:p w14:paraId="5C8FC0B4">
            <w:pPr>
              <w:adjustRightInd w:val="0"/>
              <w:snapToGrid w:val="0"/>
              <w:spacing w:line="360" w:lineRule="auto"/>
              <w:ind w:firstLine="480" w:firstLineChars="200"/>
              <w:rPr>
                <w:rFonts w:hAnsi="宋体"/>
                <w:sz w:val="24"/>
              </w:rPr>
            </w:pPr>
            <w:r>
              <w:rPr>
                <w:rFonts w:hint="eastAsia" w:hAnsi="宋体"/>
                <w:sz w:val="24"/>
              </w:rPr>
              <w:t>Δ</w:t>
            </w:r>
            <w:r>
              <w:rPr>
                <w:rFonts w:hAnsi="宋体"/>
                <w:sz w:val="24"/>
              </w:rPr>
              <w:t>W=</w:t>
            </w:r>
            <w:r>
              <w:rPr>
                <w:rFonts w:hint="eastAsia" w:hAnsi="宋体"/>
                <w:sz w:val="24"/>
              </w:rPr>
              <w:t>18</w:t>
            </w:r>
            <w:r>
              <w:rPr>
                <w:rFonts w:hAnsi="宋体"/>
                <w:sz w:val="24"/>
              </w:rPr>
              <w:t>0-1</w:t>
            </w:r>
            <w:r>
              <w:rPr>
                <w:rFonts w:hint="eastAsia" w:hAnsi="宋体"/>
                <w:sz w:val="24"/>
              </w:rPr>
              <w:t>27.9769</w:t>
            </w:r>
            <w:r>
              <w:rPr>
                <w:rFonts w:hAnsi="宋体"/>
                <w:sz w:val="24"/>
              </w:rPr>
              <w:t>=</w:t>
            </w:r>
            <w:r>
              <w:rPr>
                <w:rFonts w:hint="eastAsia" w:hAnsi="宋体"/>
                <w:sz w:val="24"/>
              </w:rPr>
              <w:t>52.0231</w:t>
            </w:r>
            <w:r>
              <w:rPr>
                <w:rFonts w:hAnsi="宋体"/>
                <w:sz w:val="24"/>
              </w:rPr>
              <w:t>kg</w:t>
            </w:r>
          </w:p>
          <w:p w14:paraId="5EAC3D5C">
            <w:pPr>
              <w:adjustRightInd w:val="0"/>
              <w:snapToGrid w:val="0"/>
              <w:spacing w:line="360" w:lineRule="auto"/>
              <w:ind w:firstLine="480" w:firstLineChars="200"/>
              <w:rPr>
                <w:rFonts w:hAnsi="宋体"/>
                <w:sz w:val="24"/>
              </w:rPr>
            </w:pPr>
            <w:r>
              <w:rPr>
                <w:rFonts w:hint="eastAsia" w:hAnsi="宋体"/>
                <w:sz w:val="24"/>
              </w:rPr>
              <w:t>②计算蒸发水分所需的有效热能（潜热）</w:t>
            </w:r>
          </w:p>
          <w:p w14:paraId="2286840D">
            <w:pPr>
              <w:adjustRightInd w:val="0"/>
              <w:snapToGrid w:val="0"/>
              <w:spacing w:line="360" w:lineRule="auto"/>
              <w:ind w:firstLine="480" w:firstLineChars="200"/>
              <w:rPr>
                <w:rFonts w:hAnsi="宋体"/>
                <w:sz w:val="24"/>
              </w:rPr>
            </w:pPr>
            <w:r>
              <w:rPr>
                <w:rFonts w:hint="eastAsia" w:hAnsi="宋体"/>
                <w:sz w:val="24"/>
              </w:rPr>
              <w:t>水的蒸发潜热（标准值）：2260kJ/kg。</w:t>
            </w:r>
          </w:p>
          <w:p w14:paraId="12BB21CE">
            <w:pPr>
              <w:adjustRightInd w:val="0"/>
              <w:snapToGrid w:val="0"/>
              <w:spacing w:line="360" w:lineRule="auto"/>
              <w:ind w:firstLine="480" w:firstLineChars="200"/>
              <w:rPr>
                <w:rFonts w:hAnsi="宋体"/>
                <w:sz w:val="24"/>
              </w:rPr>
            </w:pPr>
            <w:r>
              <w:rPr>
                <w:rFonts w:hint="eastAsia" w:hAnsi="宋体"/>
                <w:sz w:val="24"/>
              </w:rPr>
              <w:t>潜热Q</w:t>
            </w:r>
            <w:r>
              <w:rPr>
                <w:rFonts w:hint="eastAsia" w:hAnsi="宋体"/>
                <w:sz w:val="24"/>
                <w:vertAlign w:val="subscript"/>
              </w:rPr>
              <w:t>1</w:t>
            </w:r>
            <w:r>
              <w:rPr>
                <w:rFonts w:hint="eastAsia" w:hAnsi="宋体"/>
                <w:sz w:val="24"/>
              </w:rPr>
              <w:t>：</w:t>
            </w:r>
          </w:p>
          <w:p w14:paraId="3807329D">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1</w:t>
            </w:r>
            <w:r>
              <w:rPr>
                <w:rFonts w:hint="eastAsia" w:hAnsi="宋体"/>
                <w:sz w:val="24"/>
              </w:rPr>
              <w:t>=ΔW×2260=52.0231×2260≈117572.206kJ</w:t>
            </w:r>
          </w:p>
          <w:p w14:paraId="521BF236">
            <w:pPr>
              <w:adjustRightInd w:val="0"/>
              <w:snapToGrid w:val="0"/>
              <w:spacing w:line="360" w:lineRule="auto"/>
              <w:ind w:firstLine="480" w:firstLineChars="200"/>
              <w:rPr>
                <w:rFonts w:hAnsi="宋体"/>
                <w:sz w:val="24"/>
              </w:rPr>
            </w:pPr>
            <w:r>
              <w:rPr>
                <w:rFonts w:hint="eastAsia" w:hAnsi="宋体"/>
                <w:sz w:val="24"/>
              </w:rPr>
              <w:t>③计算稻谷升温所需的有效热能（显热）</w:t>
            </w:r>
          </w:p>
          <w:p w14:paraId="738E767D">
            <w:pPr>
              <w:adjustRightInd w:val="0"/>
              <w:snapToGrid w:val="0"/>
              <w:spacing w:line="360" w:lineRule="auto"/>
              <w:ind w:firstLine="480" w:firstLineChars="200"/>
              <w:rPr>
                <w:rFonts w:hAnsi="宋体"/>
                <w:sz w:val="24"/>
              </w:rPr>
            </w:pPr>
            <w:r>
              <w:rPr>
                <w:rFonts w:hint="eastAsia" w:hAnsi="宋体"/>
                <w:sz w:val="24"/>
              </w:rPr>
              <w:t>稻谷温度提升：20℃</w:t>
            </w:r>
          </w:p>
          <w:p w14:paraId="61E55835">
            <w:pPr>
              <w:adjustRightInd w:val="0"/>
              <w:snapToGrid w:val="0"/>
              <w:spacing w:line="360" w:lineRule="auto"/>
              <w:ind w:firstLine="480" w:firstLineChars="200"/>
              <w:rPr>
                <w:rFonts w:hAnsi="宋体"/>
                <w:sz w:val="24"/>
              </w:rPr>
            </w:pPr>
            <w:r>
              <w:rPr>
                <w:rFonts w:hint="eastAsia" w:hAnsi="宋体"/>
                <w:sz w:val="24"/>
              </w:rPr>
              <w:t>最终稻谷总质量：947.9769kg（包括干物质和剩余水分）</w:t>
            </w:r>
          </w:p>
          <w:p w14:paraId="7CD00258">
            <w:pPr>
              <w:adjustRightInd w:val="0"/>
              <w:snapToGrid w:val="0"/>
              <w:spacing w:line="360" w:lineRule="auto"/>
              <w:ind w:firstLine="480" w:firstLineChars="200"/>
              <w:rPr>
                <w:rFonts w:hAnsi="宋体"/>
                <w:sz w:val="24"/>
              </w:rPr>
            </w:pPr>
            <w:r>
              <w:rPr>
                <w:rFonts w:hint="eastAsia" w:hAnsi="宋体"/>
                <w:sz w:val="24"/>
              </w:rPr>
              <w:t>稻谷比热容基于最终质量（947.9769kg）和标准值（干物质1.67kJ/kg·℃，水4.18kj/kg·℃）计算采用加权平均。烘干后水的比例为13.5%，因此水和干物质权重比为27：173。</w:t>
            </w:r>
          </w:p>
          <w:p w14:paraId="5FF78D39">
            <w:pPr>
              <w:adjustRightInd w:val="0"/>
              <w:snapToGrid w:val="0"/>
              <w:spacing w:line="360" w:lineRule="auto"/>
              <w:jc w:val="center"/>
              <w:rPr>
                <w:rFonts w:hAnsi="宋体"/>
                <w:sz w:val="24"/>
              </w:rPr>
            </w:pPr>
            <w:r>
              <w:rPr>
                <w:rFonts w:hint="eastAsia" w:hAnsi="宋体"/>
                <w:sz w:val="24"/>
              </w:rPr>
              <w:t>稻谷比热容＝（27×4.18+173×1.67）/（27+1730）=2.00885</w:t>
            </w:r>
          </w:p>
          <w:p w14:paraId="1FE5B7C1">
            <w:pPr>
              <w:adjustRightInd w:val="0"/>
              <w:snapToGrid w:val="0"/>
              <w:spacing w:line="360" w:lineRule="auto"/>
              <w:ind w:firstLine="480" w:firstLineChars="200"/>
              <w:rPr>
                <w:rFonts w:hAnsi="宋体"/>
                <w:sz w:val="24"/>
              </w:rPr>
            </w:pPr>
            <w:r>
              <w:rPr>
                <w:rFonts w:hint="eastAsia" w:hAnsi="宋体"/>
                <w:sz w:val="24"/>
              </w:rPr>
              <w:t>显热Q</w:t>
            </w:r>
            <w:r>
              <w:rPr>
                <w:rFonts w:hint="eastAsia" w:hAnsi="宋体"/>
                <w:sz w:val="24"/>
                <w:vertAlign w:val="subscript"/>
              </w:rPr>
              <w:t>2</w:t>
            </w:r>
            <w:r>
              <w:rPr>
                <w:rFonts w:hint="eastAsia" w:hAnsi="宋体"/>
                <w:sz w:val="24"/>
              </w:rPr>
              <w:t>：</w:t>
            </w:r>
          </w:p>
          <w:p w14:paraId="6C2BE8AA">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2</w:t>
            </w:r>
            <w:r>
              <w:rPr>
                <w:rFonts w:hint="eastAsia" w:hAnsi="宋体"/>
                <w:sz w:val="24"/>
              </w:rPr>
              <w:t>=质量×c×ΔT=947.9769×2.00885×20≈38086.87kJ</w:t>
            </w:r>
          </w:p>
          <w:p w14:paraId="6EDB981D">
            <w:pPr>
              <w:adjustRightInd w:val="0"/>
              <w:snapToGrid w:val="0"/>
              <w:spacing w:line="360" w:lineRule="auto"/>
              <w:ind w:firstLine="480" w:firstLineChars="200"/>
              <w:rPr>
                <w:rFonts w:hAnsi="宋体"/>
                <w:sz w:val="24"/>
              </w:rPr>
            </w:pPr>
            <w:r>
              <w:rPr>
                <w:rFonts w:hint="eastAsia" w:hAnsi="宋体"/>
                <w:sz w:val="24"/>
              </w:rPr>
              <w:t>④计算总有效热能</w:t>
            </w:r>
          </w:p>
          <w:p w14:paraId="3F76ED8A">
            <w:pPr>
              <w:adjustRightInd w:val="0"/>
              <w:snapToGrid w:val="0"/>
              <w:spacing w:line="360" w:lineRule="auto"/>
              <w:jc w:val="center"/>
              <w:rPr>
                <w:rFonts w:hAnsi="宋体"/>
                <w:sz w:val="24"/>
              </w:rPr>
            </w:pPr>
            <w:r>
              <w:rPr>
                <w:rFonts w:hAnsi="宋体"/>
                <w:sz w:val="24"/>
              </w:rPr>
              <w:t>Q=Q</w:t>
            </w:r>
            <w:r>
              <w:rPr>
                <w:rFonts w:hAnsi="宋体"/>
                <w:sz w:val="24"/>
                <w:vertAlign w:val="subscript"/>
              </w:rPr>
              <w:t>1</w:t>
            </w:r>
            <w:r>
              <w:rPr>
                <w:rFonts w:hAnsi="宋体"/>
                <w:sz w:val="24"/>
              </w:rPr>
              <w:t>+Q</w:t>
            </w:r>
            <w:r>
              <w:rPr>
                <w:rFonts w:hAnsi="宋体"/>
                <w:sz w:val="24"/>
                <w:vertAlign w:val="subscript"/>
              </w:rPr>
              <w:t>2</w:t>
            </w:r>
            <w:r>
              <w:rPr>
                <w:rFonts w:hAnsi="宋体"/>
                <w:sz w:val="24"/>
              </w:rPr>
              <w:t>=</w:t>
            </w:r>
            <w:r>
              <w:rPr>
                <w:rFonts w:hint="eastAsia" w:hAnsi="宋体"/>
                <w:sz w:val="24"/>
              </w:rPr>
              <w:t>117572.206</w:t>
            </w:r>
            <w:r>
              <w:rPr>
                <w:rFonts w:hAnsi="宋体"/>
                <w:sz w:val="24"/>
              </w:rPr>
              <w:t>+</w:t>
            </w:r>
            <w:r>
              <w:rPr>
                <w:rFonts w:hint="eastAsia" w:hAnsi="宋体"/>
                <w:sz w:val="24"/>
              </w:rPr>
              <w:t>38086.87</w:t>
            </w:r>
            <w:r>
              <w:rPr>
                <w:rFonts w:hAnsi="宋体"/>
                <w:sz w:val="24"/>
              </w:rPr>
              <w:t>=</w:t>
            </w:r>
            <w:r>
              <w:rPr>
                <w:rFonts w:hint="eastAsia" w:hAnsi="宋体"/>
                <w:sz w:val="24"/>
              </w:rPr>
              <w:t>155659.076</w:t>
            </w:r>
            <w:r>
              <w:rPr>
                <w:rFonts w:hAnsi="宋体"/>
                <w:sz w:val="24"/>
              </w:rPr>
              <w:t>kJ</w:t>
            </w:r>
          </w:p>
          <w:p w14:paraId="41076B00">
            <w:pPr>
              <w:adjustRightInd w:val="0"/>
              <w:snapToGrid w:val="0"/>
              <w:spacing w:line="360" w:lineRule="auto"/>
              <w:ind w:firstLine="480" w:firstLineChars="200"/>
              <w:rPr>
                <w:rFonts w:hAnsi="宋体"/>
                <w:sz w:val="24"/>
              </w:rPr>
            </w:pPr>
            <w:r>
              <w:rPr>
                <w:rFonts w:hint="eastAsia" w:hAnsi="宋体"/>
                <w:sz w:val="24"/>
              </w:rPr>
              <w:t>考虑热交换、烟气等热量损失等，热效率计为70%，则总有效热能为155659.076/70%=222370.109</w:t>
            </w:r>
            <w:r>
              <w:rPr>
                <w:rFonts w:hAnsi="宋体"/>
                <w:sz w:val="24"/>
              </w:rPr>
              <w:t>kJ。</w:t>
            </w:r>
          </w:p>
          <w:p w14:paraId="0B4D0AB2">
            <w:pPr>
              <w:adjustRightInd w:val="0"/>
              <w:snapToGrid w:val="0"/>
              <w:spacing w:line="360" w:lineRule="auto"/>
              <w:ind w:firstLine="480" w:firstLineChars="200"/>
              <w:rPr>
                <w:rFonts w:hAnsi="宋体"/>
                <w:sz w:val="24"/>
              </w:rPr>
            </w:pPr>
            <w:r>
              <w:rPr>
                <w:rFonts w:hint="eastAsia" w:hAnsi="宋体"/>
                <w:sz w:val="24"/>
              </w:rPr>
              <w:t>⑤计算生物质颗粒输入的总热能</w:t>
            </w:r>
          </w:p>
          <w:p w14:paraId="0BAB8F0B">
            <w:pPr>
              <w:adjustRightInd w:val="0"/>
              <w:snapToGrid w:val="0"/>
              <w:spacing w:line="360" w:lineRule="auto"/>
              <w:ind w:firstLine="480" w:firstLineChars="200"/>
              <w:rPr>
                <w:rFonts w:hAnsi="宋体"/>
                <w:sz w:val="24"/>
              </w:rPr>
            </w:pPr>
            <w:r>
              <w:rPr>
                <w:rFonts w:hint="eastAsia" w:hAnsi="宋体"/>
                <w:sz w:val="24"/>
              </w:rPr>
              <w:t>热风炉热效率：80%=0.8</w:t>
            </w:r>
          </w:p>
          <w:p w14:paraId="4C835FF9">
            <w:pPr>
              <w:adjustRightInd w:val="0"/>
              <w:snapToGrid w:val="0"/>
              <w:spacing w:line="360" w:lineRule="auto"/>
              <w:ind w:firstLine="480" w:firstLineChars="200"/>
              <w:rPr>
                <w:rFonts w:hAnsi="宋体"/>
                <w:sz w:val="24"/>
              </w:rPr>
            </w:pPr>
            <w:r>
              <w:rPr>
                <w:rFonts w:hint="eastAsia" w:hAnsi="宋体"/>
                <w:sz w:val="24"/>
              </w:rPr>
              <w:t>输入热能Q</w:t>
            </w:r>
            <w:r>
              <w:rPr>
                <w:rFonts w:hint="eastAsia" w:hAnsi="宋体"/>
                <w:sz w:val="24"/>
                <w:vertAlign w:val="subscript"/>
              </w:rPr>
              <w:t>3</w:t>
            </w:r>
            <w:r>
              <w:rPr>
                <w:rFonts w:hint="eastAsia" w:hAnsi="宋体"/>
                <w:sz w:val="24"/>
              </w:rPr>
              <w:t>：</w:t>
            </w:r>
          </w:p>
          <w:p w14:paraId="6177BCA8">
            <w:pPr>
              <w:adjustRightInd w:val="0"/>
              <w:snapToGrid w:val="0"/>
              <w:spacing w:line="360" w:lineRule="auto"/>
              <w:jc w:val="center"/>
              <w:rPr>
                <w:rFonts w:hAnsi="宋体"/>
                <w:sz w:val="24"/>
              </w:rPr>
            </w:pPr>
            <w:r>
              <w:rPr>
                <w:rFonts w:hint="eastAsia" w:hAnsi="宋体"/>
                <w:sz w:val="24"/>
              </w:rPr>
              <w:t>Q</w:t>
            </w:r>
            <w:r>
              <w:rPr>
                <w:rFonts w:hint="eastAsia" w:hAnsi="宋体"/>
                <w:sz w:val="24"/>
                <w:vertAlign w:val="subscript"/>
              </w:rPr>
              <w:t>3</w:t>
            </w:r>
            <w:r>
              <w:rPr>
                <w:rFonts w:hint="eastAsia" w:hAnsi="宋体"/>
                <w:sz w:val="24"/>
              </w:rPr>
              <w:t>=222370.109/0.8=277962.636</w:t>
            </w:r>
            <w:r>
              <w:rPr>
                <w:rFonts w:hAnsi="宋体"/>
                <w:sz w:val="24"/>
              </w:rPr>
              <w:t>kJ</w:t>
            </w:r>
          </w:p>
          <w:p w14:paraId="3C163E98">
            <w:pPr>
              <w:adjustRightInd w:val="0"/>
              <w:snapToGrid w:val="0"/>
              <w:spacing w:line="360" w:lineRule="auto"/>
              <w:ind w:firstLine="480" w:firstLineChars="200"/>
              <w:rPr>
                <w:rFonts w:hAnsi="宋体"/>
                <w:sz w:val="24"/>
              </w:rPr>
            </w:pPr>
            <w:r>
              <w:rPr>
                <w:rFonts w:hint="eastAsia" w:hAnsi="宋体"/>
                <w:sz w:val="24"/>
              </w:rPr>
              <w:t>⑥计算所需生物质颗粒质量</w:t>
            </w:r>
          </w:p>
          <w:p w14:paraId="6C078408">
            <w:pPr>
              <w:adjustRightInd w:val="0"/>
              <w:snapToGrid w:val="0"/>
              <w:spacing w:line="360" w:lineRule="auto"/>
              <w:ind w:firstLine="480" w:firstLineChars="200"/>
              <w:rPr>
                <w:sz w:val="24"/>
              </w:rPr>
            </w:pPr>
            <w:r>
              <w:rPr>
                <w:rFonts w:hint="eastAsia" w:hAnsi="宋体"/>
                <w:sz w:val="24"/>
              </w:rPr>
              <w:t>生物质颗粒低位发热量：</w:t>
            </w:r>
            <w:r>
              <w:rPr>
                <w:rFonts w:hint="eastAsia"/>
                <w:sz w:val="24"/>
              </w:rPr>
              <w:t>4282Kcal/kg（</w:t>
            </w:r>
            <w:r>
              <w:rPr>
                <w:rFonts w:hint="eastAsia" w:hAnsi="宋体"/>
                <w:sz w:val="24"/>
              </w:rPr>
              <w:t>17915.89</w:t>
            </w:r>
            <w:r>
              <w:rPr>
                <w:rFonts w:hAnsi="宋体"/>
                <w:sz w:val="24"/>
              </w:rPr>
              <w:t>Kj</w:t>
            </w:r>
            <w:r>
              <w:rPr>
                <w:rFonts w:hint="eastAsia" w:hAnsi="宋体"/>
                <w:sz w:val="24"/>
              </w:rPr>
              <w:t>/kg</w:t>
            </w:r>
            <w:r>
              <w:rPr>
                <w:rFonts w:hint="eastAsia"/>
                <w:sz w:val="24"/>
              </w:rPr>
              <w:t>）</w:t>
            </w:r>
          </w:p>
          <w:p w14:paraId="724B2569">
            <w:pPr>
              <w:adjustRightInd w:val="0"/>
              <w:snapToGrid w:val="0"/>
              <w:spacing w:line="360" w:lineRule="auto"/>
              <w:ind w:firstLine="480" w:firstLineChars="200"/>
              <w:rPr>
                <w:rFonts w:hAnsi="宋体"/>
                <w:sz w:val="24"/>
              </w:rPr>
            </w:pPr>
            <w:r>
              <w:rPr>
                <w:rFonts w:hint="eastAsia" w:hAnsi="宋体"/>
                <w:sz w:val="24"/>
              </w:rPr>
              <w:t>生物质颗粒质量M：</w:t>
            </w:r>
          </w:p>
          <w:p w14:paraId="35EAC97C">
            <w:pPr>
              <w:adjustRightInd w:val="0"/>
              <w:snapToGrid w:val="0"/>
              <w:spacing w:line="360" w:lineRule="auto"/>
              <w:jc w:val="center"/>
              <w:rPr>
                <w:rFonts w:hAnsi="宋体"/>
                <w:sz w:val="24"/>
              </w:rPr>
            </w:pPr>
            <w:r>
              <w:rPr>
                <w:rFonts w:hint="eastAsia" w:hAnsi="宋体"/>
                <w:sz w:val="24"/>
              </w:rPr>
              <w:t>M=Q</w:t>
            </w:r>
            <w:r>
              <w:rPr>
                <w:rFonts w:hint="eastAsia" w:hAnsi="宋体"/>
                <w:sz w:val="24"/>
                <w:vertAlign w:val="subscript"/>
              </w:rPr>
              <w:t>3</w:t>
            </w:r>
            <w:r>
              <w:rPr>
                <w:rFonts w:hint="eastAsia" w:hAnsi="宋体"/>
                <w:sz w:val="24"/>
              </w:rPr>
              <w:t>/发热量=277962.636/17915.89=15.51kg</w:t>
            </w:r>
          </w:p>
          <w:p w14:paraId="74F75604">
            <w:pPr>
              <w:adjustRightInd w:val="0"/>
              <w:snapToGrid w:val="0"/>
              <w:spacing w:line="360" w:lineRule="auto"/>
              <w:ind w:firstLine="480" w:firstLineChars="200"/>
              <w:rPr>
                <w:rFonts w:hAnsi="宋体"/>
                <w:sz w:val="24"/>
              </w:rPr>
            </w:pPr>
            <w:r>
              <w:rPr>
                <w:rFonts w:hint="eastAsia" w:hAnsi="宋体"/>
                <w:sz w:val="24"/>
              </w:rPr>
              <w:t>根据以上计算可知，烘干1t粮食需要使用0.01551t生物质颗粒。本项目年烘干稻谷 75000t，因此需使用生物质颗粒1163.25t。</w:t>
            </w:r>
          </w:p>
          <w:p w14:paraId="61796223">
            <w:pPr>
              <w:adjustRightInd w:val="0"/>
              <w:snapToGrid w:val="0"/>
              <w:spacing w:line="360" w:lineRule="auto"/>
              <w:ind w:firstLine="482" w:firstLineChars="200"/>
              <w:rPr>
                <w:rFonts w:hAnsi="宋体"/>
                <w:b/>
                <w:sz w:val="24"/>
              </w:rPr>
            </w:pPr>
            <w:r>
              <w:rPr>
                <w:rFonts w:hint="eastAsia" w:hAnsi="宋体"/>
                <w:b/>
                <w:sz w:val="24"/>
              </w:rPr>
              <w:t>6</w:t>
            </w:r>
            <w:r>
              <w:rPr>
                <w:rFonts w:hAnsi="宋体"/>
                <w:b/>
                <w:sz w:val="24"/>
              </w:rPr>
              <w:t>、公用工程</w:t>
            </w:r>
          </w:p>
          <w:p w14:paraId="0D3D817D">
            <w:pPr>
              <w:adjustRightInd w:val="0"/>
              <w:snapToGrid w:val="0"/>
              <w:spacing w:line="360" w:lineRule="auto"/>
              <w:ind w:firstLine="480" w:firstLineChars="200"/>
              <w:rPr>
                <w:sz w:val="24"/>
              </w:rPr>
            </w:pPr>
            <w:r>
              <w:rPr>
                <w:sz w:val="24"/>
              </w:rPr>
              <w:t>（1）给排水工程</w:t>
            </w:r>
          </w:p>
          <w:p w14:paraId="19B941B4">
            <w:pPr>
              <w:adjustRightInd w:val="0"/>
              <w:snapToGrid w:val="0"/>
              <w:spacing w:line="360" w:lineRule="auto"/>
              <w:ind w:firstLine="480" w:firstLineChars="200"/>
              <w:rPr>
                <w:sz w:val="24"/>
              </w:rPr>
            </w:pPr>
            <w:r>
              <w:rPr>
                <w:rFonts w:hint="eastAsia"/>
                <w:sz w:val="24"/>
              </w:rPr>
              <w:t>本项目</w:t>
            </w:r>
            <w:r>
              <w:rPr>
                <w:rFonts w:hint="eastAsia" w:hAnsi="宋体"/>
                <w:sz w:val="24"/>
              </w:rPr>
              <w:t>地面清洁方式为扫帚清扫，无地面冲洗废水产生。项目用水主要包括生活用水、实验用水、器皿清洗用水。</w:t>
            </w:r>
          </w:p>
          <w:p w14:paraId="4D21D16F">
            <w:pPr>
              <w:adjustRightInd w:val="0"/>
              <w:snapToGrid w:val="0"/>
              <w:spacing w:line="360" w:lineRule="auto"/>
              <w:ind w:firstLine="480" w:firstLineChars="200"/>
              <w:rPr>
                <w:sz w:val="24"/>
              </w:rPr>
            </w:pPr>
            <w:r>
              <w:rPr>
                <w:rFonts w:hint="eastAsia"/>
                <w:sz w:val="24"/>
              </w:rPr>
              <w:t>①生活用水</w:t>
            </w:r>
          </w:p>
          <w:p w14:paraId="76133124">
            <w:pPr>
              <w:adjustRightInd w:val="0"/>
              <w:snapToGrid w:val="0"/>
              <w:spacing w:line="360" w:lineRule="auto"/>
              <w:ind w:firstLine="480" w:firstLineChars="200"/>
              <w:rPr>
                <w:sz w:val="24"/>
              </w:rPr>
            </w:pPr>
            <w:r>
              <w:rPr>
                <w:sz w:val="24"/>
              </w:rPr>
              <w:t>项目改扩建完成后劳动定员</w:t>
            </w:r>
            <w:r>
              <w:rPr>
                <w:rFonts w:hint="eastAsia"/>
                <w:sz w:val="24"/>
              </w:rPr>
              <w:t>20</w:t>
            </w:r>
            <w:r>
              <w:rPr>
                <w:sz w:val="24"/>
              </w:rPr>
              <w:t>人，厂区</w:t>
            </w:r>
            <w:r>
              <w:rPr>
                <w:rFonts w:hint="eastAsia"/>
                <w:sz w:val="24"/>
              </w:rPr>
              <w:t>不提供食宿。根据</w:t>
            </w:r>
            <w:r>
              <w:rPr>
                <w:rFonts w:hint="eastAsia"/>
                <w:spacing w:val="-6"/>
                <w:sz w:val="24"/>
              </w:rPr>
              <w:t>湖南省地方标准</w:t>
            </w:r>
            <w:r>
              <w:rPr>
                <w:rFonts w:hint="eastAsia"/>
                <w:sz w:val="24"/>
              </w:rPr>
              <w:t>《用水定额 第3部分：生活、服务业及建筑业》（DB43/T388.3-2025），项目生活用水量按员工90L/（人·d）计，则生活用水量为</w:t>
            </w:r>
            <w:bookmarkStart w:id="41" w:name="OLE_LINK100"/>
            <w:bookmarkStart w:id="42" w:name="OLE_LINK99"/>
            <w:bookmarkStart w:id="43" w:name="OLE_LINK98"/>
            <w:r>
              <w:rPr>
                <w:rFonts w:hint="eastAsia"/>
                <w:sz w:val="24"/>
              </w:rPr>
              <w:t>1.8</w:t>
            </w:r>
            <w:r>
              <w:rPr>
                <w:sz w:val="24"/>
              </w:rPr>
              <w:t>m</w:t>
            </w:r>
            <w:r>
              <w:rPr>
                <w:sz w:val="24"/>
                <w:vertAlign w:val="superscript"/>
              </w:rPr>
              <w:t>3</w:t>
            </w:r>
            <w:r>
              <w:rPr>
                <w:rFonts w:hint="eastAsia"/>
                <w:sz w:val="24"/>
              </w:rPr>
              <w:t>/d（540</w:t>
            </w:r>
            <w:r>
              <w:rPr>
                <w:sz w:val="24"/>
              </w:rPr>
              <w:t>m</w:t>
            </w:r>
            <w:r>
              <w:rPr>
                <w:sz w:val="24"/>
                <w:vertAlign w:val="superscript"/>
              </w:rPr>
              <w:t>3</w:t>
            </w:r>
            <w:r>
              <w:rPr>
                <w:rFonts w:hint="eastAsia"/>
                <w:sz w:val="24"/>
              </w:rPr>
              <w:t>/a），生活污水按其用水量的80%计，则污水量为1.44</w:t>
            </w:r>
            <w:r>
              <w:rPr>
                <w:sz w:val="24"/>
              </w:rPr>
              <w:t>m</w:t>
            </w:r>
            <w:r>
              <w:rPr>
                <w:sz w:val="24"/>
                <w:vertAlign w:val="superscript"/>
              </w:rPr>
              <w:t>3</w:t>
            </w:r>
            <w:r>
              <w:rPr>
                <w:rFonts w:hint="eastAsia"/>
                <w:sz w:val="24"/>
              </w:rPr>
              <w:t>/d（432</w:t>
            </w:r>
            <w:r>
              <w:rPr>
                <w:sz w:val="24"/>
              </w:rPr>
              <w:t>m</w:t>
            </w:r>
            <w:r>
              <w:rPr>
                <w:sz w:val="24"/>
                <w:vertAlign w:val="superscript"/>
              </w:rPr>
              <w:t>3</w:t>
            </w:r>
            <w:r>
              <w:rPr>
                <w:rFonts w:hint="eastAsia"/>
                <w:sz w:val="24"/>
              </w:rPr>
              <w:t>/a）</w:t>
            </w:r>
            <w:bookmarkEnd w:id="41"/>
            <w:bookmarkEnd w:id="42"/>
            <w:bookmarkEnd w:id="43"/>
            <w:r>
              <w:rPr>
                <w:sz w:val="24"/>
              </w:rPr>
              <w:t>。</w:t>
            </w:r>
            <w:bookmarkStart w:id="44" w:name="OLE_LINK101"/>
            <w:bookmarkStart w:id="45" w:name="OLE_LINK102"/>
            <w:r>
              <w:rPr>
                <w:rFonts w:hint="eastAsia"/>
                <w:sz w:val="24"/>
              </w:rPr>
              <w:t>项目生活污水依托现有化粪池处理后排入市政污水管网，纳入白果镇污水处理厂深度处理后排入涓水</w:t>
            </w:r>
            <w:bookmarkEnd w:id="44"/>
            <w:bookmarkEnd w:id="45"/>
            <w:r>
              <w:rPr>
                <w:rFonts w:hint="eastAsia"/>
                <w:sz w:val="24"/>
              </w:rPr>
              <w:t>。</w:t>
            </w:r>
          </w:p>
          <w:p w14:paraId="2D313D3C">
            <w:pPr>
              <w:adjustRightInd w:val="0"/>
              <w:snapToGrid w:val="0"/>
              <w:spacing w:line="360" w:lineRule="auto"/>
              <w:ind w:firstLine="480" w:firstLineChars="200"/>
              <w:rPr>
                <w:sz w:val="24"/>
              </w:rPr>
            </w:pPr>
            <w:r>
              <w:rPr>
                <w:rFonts w:hint="eastAsia"/>
                <w:sz w:val="24"/>
              </w:rPr>
              <w:t>②</w:t>
            </w:r>
            <w:r>
              <w:rPr>
                <w:rFonts w:hint="eastAsia" w:hAnsi="宋体"/>
                <w:sz w:val="24"/>
              </w:rPr>
              <w:t>实验用水、器皿清洗用水</w:t>
            </w:r>
          </w:p>
          <w:p w14:paraId="48C9A488">
            <w:pPr>
              <w:adjustRightInd w:val="0"/>
              <w:snapToGrid w:val="0"/>
              <w:spacing w:line="360" w:lineRule="auto"/>
              <w:ind w:firstLine="480" w:firstLineChars="200"/>
              <w:rPr>
                <w:sz w:val="24"/>
              </w:rPr>
            </w:pPr>
            <w:r>
              <w:rPr>
                <w:sz w:val="24"/>
                <w:szCs w:val="32"/>
              </w:rPr>
              <w:t>粮食进场后，先经地秤衡称重，然后取样化验，主要检测内容为色泽、气味、水分、</w:t>
            </w:r>
            <w:r>
              <w:rPr>
                <w:rFonts w:hint="eastAsia"/>
                <w:sz w:val="24"/>
                <w:szCs w:val="32"/>
              </w:rPr>
              <w:t>脂肪酸值</w:t>
            </w:r>
            <w:r>
              <w:rPr>
                <w:sz w:val="24"/>
                <w:szCs w:val="32"/>
              </w:rPr>
              <w:t>等，不合格的原粮送回原厂家，检测合格的原粮按相同水分和相同品质的粮合并堆放，以利于后续的加工。本项目属于小型检验室，检验产生的有机废气可忽略不计，检验过程会产生检验废液。项目实验过程试剂配制工序，水用量约为0.0</w:t>
            </w:r>
            <w:r>
              <w:rPr>
                <w:rFonts w:hint="eastAsia"/>
                <w:sz w:val="24"/>
                <w:szCs w:val="32"/>
              </w:rPr>
              <w:t>6</w:t>
            </w:r>
            <w:r>
              <w:rPr>
                <w:sz w:val="24"/>
                <w:szCs w:val="32"/>
              </w:rPr>
              <w:t>m</w:t>
            </w:r>
            <w:r>
              <w:rPr>
                <w:sz w:val="24"/>
                <w:szCs w:val="32"/>
                <w:vertAlign w:val="superscript"/>
              </w:rPr>
              <w:t>3</w:t>
            </w:r>
            <w:r>
              <w:rPr>
                <w:sz w:val="24"/>
                <w:szCs w:val="32"/>
              </w:rPr>
              <w:t>/a。玻璃器皿等仪器清洗，清洗用水量约为0.</w:t>
            </w:r>
            <w:r>
              <w:rPr>
                <w:rFonts w:hint="eastAsia"/>
                <w:sz w:val="24"/>
                <w:szCs w:val="32"/>
              </w:rPr>
              <w:t>3</w:t>
            </w:r>
            <w:r>
              <w:rPr>
                <w:sz w:val="24"/>
                <w:szCs w:val="32"/>
              </w:rPr>
              <w:t>m</w:t>
            </w:r>
            <w:r>
              <w:rPr>
                <w:sz w:val="24"/>
                <w:szCs w:val="32"/>
                <w:vertAlign w:val="superscript"/>
              </w:rPr>
              <w:t>3</w:t>
            </w:r>
            <w:r>
              <w:rPr>
                <w:sz w:val="24"/>
                <w:szCs w:val="32"/>
              </w:rPr>
              <w:t>/a</w:t>
            </w:r>
            <w:r>
              <w:rPr>
                <w:sz w:val="24"/>
              </w:rPr>
              <w:t>。</w:t>
            </w:r>
            <w:r>
              <w:rPr>
                <w:rFonts w:hint="eastAsia"/>
                <w:sz w:val="24"/>
              </w:rPr>
              <w:t>实验及清洗废液约0.2t/a，采用废液桶收集后做危险废物处置</w:t>
            </w:r>
            <w:r>
              <w:rPr>
                <w:rFonts w:hint="eastAsia"/>
                <w:kern w:val="0"/>
                <w:sz w:val="24"/>
              </w:rPr>
              <w:t>。</w:t>
            </w:r>
          </w:p>
          <w:p w14:paraId="5C5E2823">
            <w:pPr>
              <w:adjustRightInd w:val="0"/>
              <w:snapToGrid w:val="0"/>
              <w:spacing w:line="360" w:lineRule="auto"/>
              <w:ind w:firstLine="480" w:firstLineChars="200"/>
              <w:rPr>
                <w:sz w:val="24"/>
              </w:rPr>
            </w:pPr>
            <w:r>
              <w:rPr>
                <w:sz w:val="24"/>
              </w:rPr>
              <w:t>（2）供配电</w:t>
            </w:r>
          </w:p>
          <w:p w14:paraId="2B2805FF">
            <w:pPr>
              <w:adjustRightInd w:val="0"/>
              <w:snapToGrid w:val="0"/>
              <w:spacing w:line="360" w:lineRule="auto"/>
              <w:ind w:firstLine="480" w:firstLineChars="200"/>
              <w:rPr>
                <w:bCs/>
                <w:sz w:val="24"/>
              </w:rPr>
            </w:pPr>
            <w:r>
              <w:rPr>
                <w:bCs/>
                <w:sz w:val="24"/>
              </w:rPr>
              <w:t>本项目供电由市政电网供电，年用电量约为</w:t>
            </w:r>
            <w:r>
              <w:rPr>
                <w:rFonts w:hint="eastAsia"/>
                <w:bCs/>
                <w:sz w:val="24"/>
              </w:rPr>
              <w:t>7.5</w:t>
            </w:r>
            <w:r>
              <w:rPr>
                <w:rFonts w:hint="eastAsia"/>
                <w:bCs/>
                <w:szCs w:val="21"/>
              </w:rPr>
              <w:t>万kW</w:t>
            </w:r>
            <w:r>
              <w:rPr>
                <w:rFonts w:ascii="Arial" w:hAnsi="Arial" w:cs="Arial"/>
                <w:szCs w:val="21"/>
                <w:shd w:val="clear" w:color="auto" w:fill="FFFFFF"/>
              </w:rPr>
              <w:t>·</w:t>
            </w:r>
            <w:r>
              <w:rPr>
                <w:rFonts w:hint="eastAsia"/>
                <w:bCs/>
                <w:szCs w:val="21"/>
              </w:rPr>
              <w:t>h/a</w:t>
            </w:r>
            <w:r>
              <w:rPr>
                <w:bCs/>
                <w:sz w:val="24"/>
              </w:rPr>
              <w:t>。</w:t>
            </w:r>
          </w:p>
          <w:p w14:paraId="360027E6">
            <w:pPr>
              <w:adjustRightInd w:val="0"/>
              <w:snapToGrid w:val="0"/>
              <w:spacing w:line="360" w:lineRule="auto"/>
              <w:ind w:firstLine="480" w:firstLineChars="200"/>
              <w:rPr>
                <w:bCs/>
                <w:sz w:val="24"/>
              </w:rPr>
            </w:pPr>
            <w:r>
              <w:rPr>
                <w:rFonts w:hint="eastAsia"/>
                <w:bCs/>
                <w:sz w:val="24"/>
              </w:rPr>
              <w:t>（3）运输</w:t>
            </w:r>
          </w:p>
          <w:p w14:paraId="6D14D6EC">
            <w:pPr>
              <w:spacing w:line="360" w:lineRule="auto"/>
              <w:ind w:firstLine="480" w:firstLineChars="200"/>
              <w:rPr>
                <w:bCs/>
                <w:sz w:val="24"/>
              </w:rPr>
            </w:pPr>
            <w:r>
              <w:rPr>
                <w:sz w:val="24"/>
                <w:szCs w:val="32"/>
              </w:rPr>
              <w:t>场外运输均由专业运输公司运输。运输过程建议采用密封运输车，防止洒落污染环境。运输过程禁止采用车箱破损、密封性能差的运输车运输，以减少对沿途环境的影响。在正常车况下，运输沿途环境影响不大。运输车辆在运输过程中，控制好车辆的行驶速度，经过村庄或居民区时夜间禁止鸣笛，避免噪声扰民现象</w:t>
            </w:r>
            <w:r>
              <w:rPr>
                <w:rFonts w:hint="eastAsia"/>
                <w:bCs/>
                <w:sz w:val="24"/>
              </w:rPr>
              <w:t>。</w:t>
            </w:r>
          </w:p>
          <w:p w14:paraId="33D951E3">
            <w:pPr>
              <w:adjustRightInd w:val="0"/>
              <w:snapToGrid w:val="0"/>
              <w:spacing w:line="360" w:lineRule="auto"/>
              <w:ind w:firstLine="482" w:firstLineChars="200"/>
              <w:rPr>
                <w:b/>
                <w:bCs/>
                <w:sz w:val="24"/>
              </w:rPr>
            </w:pPr>
            <w:r>
              <w:rPr>
                <w:rFonts w:hint="eastAsia"/>
                <w:b/>
                <w:bCs/>
                <w:sz w:val="24"/>
              </w:rPr>
              <w:t>7</w:t>
            </w:r>
            <w:r>
              <w:rPr>
                <w:b/>
                <w:bCs/>
                <w:sz w:val="24"/>
              </w:rPr>
              <w:t>、劳动定员及工作制度</w:t>
            </w:r>
          </w:p>
          <w:p w14:paraId="65F1F982">
            <w:pPr>
              <w:adjustRightInd w:val="0"/>
              <w:snapToGrid w:val="0"/>
              <w:spacing w:line="360" w:lineRule="auto"/>
              <w:ind w:firstLine="480" w:firstLineChars="200"/>
              <w:rPr>
                <w:bCs/>
                <w:sz w:val="24"/>
              </w:rPr>
            </w:pPr>
            <w:r>
              <w:rPr>
                <w:bCs/>
                <w:sz w:val="24"/>
              </w:rPr>
              <w:t>项目现有员工</w:t>
            </w:r>
            <w:r>
              <w:rPr>
                <w:rFonts w:hint="eastAsia"/>
                <w:bCs/>
                <w:sz w:val="24"/>
              </w:rPr>
              <w:t>16人，</w:t>
            </w:r>
            <w:r>
              <w:rPr>
                <w:bCs/>
                <w:sz w:val="24"/>
              </w:rPr>
              <w:t>本次</w:t>
            </w:r>
            <w:r>
              <w:rPr>
                <w:rFonts w:hint="eastAsia"/>
                <w:bCs/>
                <w:sz w:val="24"/>
              </w:rPr>
              <w:t>拟</w:t>
            </w:r>
            <w:r>
              <w:rPr>
                <w:bCs/>
                <w:sz w:val="24"/>
              </w:rPr>
              <w:t>新增员工</w:t>
            </w:r>
            <w:r>
              <w:rPr>
                <w:rFonts w:hint="eastAsia"/>
                <w:bCs/>
                <w:sz w:val="24"/>
              </w:rPr>
              <w:t>4人</w:t>
            </w:r>
            <w:r>
              <w:rPr>
                <w:bCs/>
                <w:sz w:val="24"/>
              </w:rPr>
              <w:t>，最终劳动定员</w:t>
            </w:r>
            <w:r>
              <w:rPr>
                <w:rFonts w:hint="eastAsia"/>
                <w:bCs/>
                <w:sz w:val="24"/>
              </w:rPr>
              <w:t>20</w:t>
            </w:r>
            <w:r>
              <w:rPr>
                <w:bCs/>
                <w:sz w:val="24"/>
              </w:rPr>
              <w:t>人，均</w:t>
            </w:r>
            <w:r>
              <w:rPr>
                <w:rFonts w:hint="eastAsia"/>
                <w:bCs/>
                <w:sz w:val="24"/>
              </w:rPr>
              <w:t>不提供食宿</w:t>
            </w:r>
            <w:r>
              <w:rPr>
                <w:bCs/>
                <w:sz w:val="24"/>
              </w:rPr>
              <w:t>。</w:t>
            </w:r>
          </w:p>
          <w:p w14:paraId="6E93EC28">
            <w:pPr>
              <w:adjustRightInd w:val="0"/>
              <w:snapToGrid w:val="0"/>
              <w:spacing w:line="360" w:lineRule="auto"/>
              <w:ind w:firstLine="480" w:firstLineChars="200"/>
              <w:rPr>
                <w:sz w:val="24"/>
                <w:szCs w:val="32"/>
              </w:rPr>
            </w:pPr>
            <w:r>
              <w:rPr>
                <w:sz w:val="24"/>
                <w:szCs w:val="32"/>
              </w:rPr>
              <w:t>（1）办公室，全</w:t>
            </w:r>
            <w:r>
              <w:rPr>
                <w:bCs/>
                <w:sz w:val="24"/>
              </w:rPr>
              <w:t>年工作</w:t>
            </w:r>
            <w:r>
              <w:rPr>
                <w:rFonts w:hint="eastAsia"/>
                <w:bCs/>
                <w:sz w:val="24"/>
              </w:rPr>
              <w:t>300</w:t>
            </w:r>
            <w:r>
              <w:rPr>
                <w:bCs/>
                <w:sz w:val="24"/>
              </w:rPr>
              <w:t>天，</w:t>
            </w:r>
            <w:r>
              <w:rPr>
                <w:sz w:val="24"/>
                <w:szCs w:val="32"/>
              </w:rPr>
              <w:t>实行1班制，每班8小时，全年工作时数2400h。</w:t>
            </w:r>
          </w:p>
          <w:p w14:paraId="52E988F2">
            <w:pPr>
              <w:adjustRightInd w:val="0"/>
              <w:snapToGrid w:val="0"/>
              <w:spacing w:line="360" w:lineRule="auto"/>
              <w:ind w:firstLine="480" w:firstLineChars="200"/>
              <w:rPr>
                <w:bCs/>
                <w:sz w:val="24"/>
              </w:rPr>
            </w:pPr>
            <w:r>
              <w:rPr>
                <w:sz w:val="24"/>
                <w:szCs w:val="32"/>
              </w:rPr>
              <w:t>（2）湿稻谷烘干，年烘干</w:t>
            </w:r>
            <w:r>
              <w:rPr>
                <w:rFonts w:hint="eastAsia"/>
                <w:sz w:val="24"/>
                <w:szCs w:val="32"/>
              </w:rPr>
              <w:t>7.5</w:t>
            </w:r>
            <w:r>
              <w:rPr>
                <w:sz w:val="24"/>
                <w:szCs w:val="32"/>
              </w:rPr>
              <w:t>万吨，夏、秋两季各3</w:t>
            </w:r>
            <w:r>
              <w:rPr>
                <w:rFonts w:hint="eastAsia"/>
                <w:sz w:val="24"/>
                <w:szCs w:val="32"/>
              </w:rPr>
              <w:t>.75</w:t>
            </w:r>
            <w:r>
              <w:rPr>
                <w:sz w:val="24"/>
                <w:szCs w:val="32"/>
              </w:rPr>
              <w:t>万吨，处理能力300吨每天，全年工作天数2</w:t>
            </w:r>
            <w:r>
              <w:rPr>
                <w:rFonts w:hint="eastAsia"/>
                <w:sz w:val="24"/>
                <w:szCs w:val="32"/>
              </w:rPr>
              <w:t>5</w:t>
            </w:r>
            <w:r>
              <w:rPr>
                <w:sz w:val="24"/>
                <w:szCs w:val="32"/>
              </w:rPr>
              <w:t>0天</w:t>
            </w:r>
            <w:r>
              <w:rPr>
                <w:rFonts w:hint="eastAsia"/>
                <w:bCs/>
                <w:sz w:val="24"/>
              </w:rPr>
              <w:t>。</w:t>
            </w:r>
          </w:p>
        </w:tc>
      </w:tr>
      <w:tr w14:paraId="58156C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vAlign w:val="center"/>
          </w:tcPr>
          <w:p w14:paraId="45988D11">
            <w:pPr>
              <w:pStyle w:val="25"/>
              <w:adjustRightInd w:val="0"/>
              <w:snapToGrid w:val="0"/>
              <w:spacing w:before="0" w:beforeAutospacing="0" w:after="0" w:afterAutospacing="0"/>
              <w:jc w:val="center"/>
              <w:rPr>
                <w:rFonts w:cs="宋体"/>
                <w:b/>
                <w:szCs w:val="24"/>
              </w:rPr>
            </w:pPr>
            <w:r>
              <w:rPr>
                <w:rFonts w:hint="eastAsia" w:cs="宋体"/>
                <w:b/>
                <w:szCs w:val="24"/>
              </w:rPr>
              <w:t>工艺流程和产排污环节</w:t>
            </w:r>
          </w:p>
        </w:tc>
        <w:tc>
          <w:tcPr>
            <w:tcW w:w="8957" w:type="dxa"/>
          </w:tcPr>
          <w:p w14:paraId="2E897C56">
            <w:pPr>
              <w:adjustRightInd w:val="0"/>
              <w:snapToGrid w:val="0"/>
              <w:spacing w:line="360" w:lineRule="auto"/>
              <w:ind w:firstLine="482" w:firstLineChars="200"/>
              <w:rPr>
                <w:rFonts w:eastAsiaTheme="minorEastAsia"/>
                <w:b/>
                <w:bCs/>
                <w:kern w:val="0"/>
                <w:sz w:val="24"/>
              </w:rPr>
            </w:pPr>
            <w:r>
              <w:rPr>
                <w:rFonts w:hint="eastAsia" w:eastAsiaTheme="minorEastAsia"/>
                <w:b/>
                <w:bCs/>
                <w:kern w:val="0"/>
                <w:sz w:val="24"/>
              </w:rPr>
              <w:t>一</w:t>
            </w:r>
            <w:r>
              <w:rPr>
                <w:rFonts w:hAnsiTheme="minorEastAsia" w:eastAsiaTheme="minorEastAsia"/>
                <w:b/>
                <w:bCs/>
                <w:kern w:val="0"/>
                <w:sz w:val="24"/>
              </w:rPr>
              <w:t>、施工期</w:t>
            </w:r>
          </w:p>
          <w:p w14:paraId="5390B35A">
            <w:pPr>
              <w:jc w:val="center"/>
            </w:pPr>
            <w:r>
              <w:drawing>
                <wp:inline distT="0" distB="0" distL="114300" distR="114300">
                  <wp:extent cx="5084445" cy="1435100"/>
                  <wp:effectExtent l="0" t="0" r="1905" b="1270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8"/>
                          <a:stretch>
                            <a:fillRect/>
                          </a:stretch>
                        </pic:blipFill>
                        <pic:spPr>
                          <a:xfrm>
                            <a:off x="0" y="0"/>
                            <a:ext cx="5084445" cy="1435100"/>
                          </a:xfrm>
                          <a:prstGeom prst="rect">
                            <a:avLst/>
                          </a:prstGeom>
                          <a:noFill/>
                          <a:ln>
                            <a:noFill/>
                          </a:ln>
                        </pic:spPr>
                      </pic:pic>
                    </a:graphicData>
                  </a:graphic>
                </wp:inline>
              </w:drawing>
            </w:r>
          </w:p>
          <w:p w14:paraId="73B645A7">
            <w:pPr>
              <w:widowControl/>
              <w:spacing w:after="120" w:afterLines="50"/>
              <w:jc w:val="center"/>
              <w:rPr>
                <w:b/>
                <w:bCs/>
              </w:rPr>
            </w:pPr>
            <w:r>
              <w:rPr>
                <w:rFonts w:hint="eastAsia"/>
                <w:b/>
                <w:bCs/>
              </w:rPr>
              <w:t>图2-1  项目施工工艺及产污节点图</w:t>
            </w:r>
          </w:p>
          <w:p w14:paraId="039C70E0">
            <w:pPr>
              <w:pStyle w:val="27"/>
              <w:spacing w:after="0" w:line="360" w:lineRule="auto"/>
              <w:ind w:firstLine="482" w:firstLineChars="200"/>
              <w:rPr>
                <w:rFonts w:ascii="Times New Roman" w:hAnsi="Times New Roman"/>
                <w:b/>
                <w:sz w:val="24"/>
              </w:rPr>
            </w:pPr>
            <w:r>
              <w:rPr>
                <w:rFonts w:hint="eastAsia" w:ascii="Times New Roman" w:hAnsi="Times New Roman"/>
                <w:b/>
                <w:sz w:val="24"/>
              </w:rPr>
              <w:t>施工期工艺流程简述：</w:t>
            </w:r>
          </w:p>
          <w:p w14:paraId="2603E8E0">
            <w:pPr>
              <w:pStyle w:val="27"/>
              <w:spacing w:after="0" w:line="360" w:lineRule="auto"/>
              <w:ind w:firstLine="480" w:firstLineChars="200"/>
              <w:rPr>
                <w:rFonts w:ascii="Times New Roman" w:hAnsi="Times New Roman"/>
                <w:b/>
                <w:sz w:val="24"/>
              </w:rPr>
            </w:pPr>
            <w:r>
              <w:rPr>
                <w:rFonts w:hint="eastAsia" w:ascii="Times New Roman" w:hAnsi="Times New Roman"/>
                <w:sz w:val="24"/>
              </w:rPr>
              <w:t>场地平整：清表采用推土机、挖掘机清楚场地内的草皮、表土和树木、树根，以保证基地的密实。该过程将产生局部水土流失、施工机械设备噪声（装载机、运输车辆运行）、施工机械设备尾气、施工弃土、施工扬尘和建筑垃圾</w:t>
            </w:r>
            <w:r>
              <w:rPr>
                <w:rFonts w:ascii="Times New Roman" w:hAnsi="Times New Roman"/>
                <w:sz w:val="24"/>
              </w:rPr>
              <w:t>。</w:t>
            </w:r>
          </w:p>
          <w:p w14:paraId="2EC3219D">
            <w:pPr>
              <w:pStyle w:val="27"/>
              <w:spacing w:after="0" w:line="360" w:lineRule="auto"/>
              <w:ind w:firstLine="480" w:firstLineChars="200"/>
              <w:rPr>
                <w:rFonts w:ascii="Times New Roman" w:hAnsi="Times New Roman"/>
                <w:b/>
                <w:sz w:val="24"/>
              </w:rPr>
            </w:pPr>
            <w:r>
              <w:rPr>
                <w:rFonts w:hint="eastAsia" w:ascii="Times New Roman" w:hAnsi="Times New Roman"/>
                <w:sz w:val="24"/>
              </w:rPr>
              <w:t>基础工程：基础工程阶段包括挖方、填方、地基处理、基础施工等，该过程将产生局部水土流失、施工机械设备噪声、施工机械设备尾气、施工设备（搅拌机等）清洗产生的施工废水、施工弃土、施工扬尘和建筑垃圾。</w:t>
            </w:r>
          </w:p>
          <w:p w14:paraId="4A322B5A">
            <w:pPr>
              <w:pStyle w:val="27"/>
              <w:spacing w:after="0" w:line="360" w:lineRule="auto"/>
              <w:ind w:firstLine="480" w:firstLineChars="200"/>
              <w:rPr>
                <w:rFonts w:ascii="Times New Roman" w:hAnsi="Times New Roman"/>
                <w:b/>
                <w:sz w:val="24"/>
              </w:rPr>
            </w:pPr>
            <w:r>
              <w:rPr>
                <w:rFonts w:hint="eastAsia" w:ascii="Times New Roman" w:hAnsi="Times New Roman"/>
                <w:sz w:val="24"/>
              </w:rPr>
              <w:t>主体工程：主体工程施工过程产生施工机械运行噪声、扬尘和施工废水等环境问题。</w:t>
            </w:r>
          </w:p>
          <w:p w14:paraId="4A89772A">
            <w:pPr>
              <w:adjustRightInd w:val="0"/>
              <w:snapToGrid w:val="0"/>
              <w:spacing w:line="360" w:lineRule="auto"/>
              <w:ind w:firstLine="480" w:firstLineChars="200"/>
              <w:rPr>
                <w:sz w:val="24"/>
              </w:rPr>
            </w:pPr>
            <w:r>
              <w:rPr>
                <w:rFonts w:hint="eastAsia"/>
                <w:sz w:val="24"/>
              </w:rPr>
              <w:t>装修工程及设备安装：装修工程和设备安装过程会有一定量的施工机械设备尾气和噪声产生。</w:t>
            </w:r>
          </w:p>
          <w:p w14:paraId="6B0E1A64">
            <w:pPr>
              <w:adjustRightInd w:val="0"/>
              <w:snapToGrid w:val="0"/>
              <w:spacing w:line="360" w:lineRule="auto"/>
              <w:ind w:firstLine="480" w:firstLineChars="200"/>
              <w:rPr>
                <w:sz w:val="24"/>
              </w:rPr>
            </w:pPr>
            <w:r>
              <w:rPr>
                <w:rFonts w:hint="eastAsia"/>
                <w:sz w:val="24"/>
              </w:rPr>
              <w:t>项目施工人员均为周边村民，高峰现场施工人数约20人，不设施工营地，采用商品混凝土，不在场区设置混凝土拌合站，项目建设地内不建设大型的原料场，只设置小面积的临时原料堆场。项目不涉及征地拆迁，无环保拆迁。</w:t>
            </w:r>
          </w:p>
          <w:p w14:paraId="66720645">
            <w:pPr>
              <w:adjustRightInd w:val="0"/>
              <w:snapToGrid w:val="0"/>
              <w:spacing w:line="360" w:lineRule="auto"/>
              <w:ind w:firstLine="482" w:firstLineChars="200"/>
              <w:rPr>
                <w:rFonts w:hAnsiTheme="minorEastAsia" w:eastAsiaTheme="minorEastAsia"/>
                <w:b/>
                <w:bCs/>
                <w:kern w:val="0"/>
                <w:sz w:val="24"/>
              </w:rPr>
            </w:pPr>
            <w:r>
              <w:rPr>
                <w:rFonts w:hint="eastAsia" w:hAnsiTheme="minorEastAsia" w:eastAsiaTheme="minorEastAsia"/>
                <w:b/>
                <w:bCs/>
                <w:kern w:val="0"/>
                <w:sz w:val="24"/>
              </w:rPr>
              <w:t>二、</w:t>
            </w:r>
            <w:r>
              <w:rPr>
                <w:rFonts w:hAnsiTheme="minorEastAsia" w:eastAsiaTheme="minorEastAsia"/>
                <w:b/>
                <w:bCs/>
                <w:kern w:val="0"/>
                <w:sz w:val="24"/>
              </w:rPr>
              <w:t>运营期</w:t>
            </w:r>
          </w:p>
          <w:p w14:paraId="5E62D5F7">
            <w:pPr>
              <w:adjustRightInd w:val="0"/>
              <w:snapToGrid w:val="0"/>
              <w:spacing w:line="360" w:lineRule="auto"/>
              <w:ind w:firstLine="480" w:firstLineChars="200"/>
              <w:rPr>
                <w:rFonts w:hAnsiTheme="minorEastAsia" w:eastAsiaTheme="minorEastAsia"/>
                <w:bCs/>
                <w:kern w:val="0"/>
                <w:sz w:val="24"/>
              </w:rPr>
            </w:pPr>
            <w:r>
              <w:rPr>
                <w:rFonts w:hint="eastAsia" w:eastAsiaTheme="minorEastAsia"/>
                <w:sz w:val="24"/>
              </w:rPr>
              <w:t>改扩建完成后</w:t>
            </w:r>
            <w:r>
              <w:rPr>
                <w:rFonts w:hint="eastAsia"/>
                <w:sz w:val="24"/>
              </w:rPr>
              <w:t>，项目平房仓储存产工艺流程不变，详见后文，新增湿稻谷烘干工艺，</w:t>
            </w:r>
            <w:r>
              <w:rPr>
                <w:rFonts w:hint="eastAsia" w:hAnsiTheme="minorEastAsia" w:eastAsiaTheme="minorEastAsia"/>
                <w:bCs/>
                <w:kern w:val="0"/>
                <w:sz w:val="24"/>
              </w:rPr>
              <w:t>工艺</w:t>
            </w:r>
            <w:r>
              <w:rPr>
                <w:rFonts w:hAnsiTheme="minorEastAsia" w:eastAsiaTheme="minorEastAsia"/>
                <w:bCs/>
                <w:kern w:val="0"/>
                <w:sz w:val="24"/>
              </w:rPr>
              <w:t>流程及产污环节详见图</w:t>
            </w:r>
            <w:r>
              <w:rPr>
                <w:rFonts w:eastAsiaTheme="minorEastAsia"/>
                <w:bCs/>
                <w:kern w:val="0"/>
                <w:sz w:val="24"/>
              </w:rPr>
              <w:t>2-</w:t>
            </w:r>
            <w:r>
              <w:rPr>
                <w:rFonts w:hint="eastAsia" w:eastAsiaTheme="minorEastAsia"/>
                <w:bCs/>
                <w:kern w:val="0"/>
                <w:sz w:val="24"/>
              </w:rPr>
              <w:t>2</w:t>
            </w:r>
            <w:r>
              <w:rPr>
                <w:rFonts w:hAnsiTheme="minorEastAsia" w:eastAsiaTheme="minorEastAsia"/>
                <w:bCs/>
                <w:kern w:val="0"/>
                <w:sz w:val="24"/>
              </w:rPr>
              <w:t>。</w:t>
            </w:r>
          </w:p>
          <w:p w14:paraId="57CF476D">
            <w:pPr>
              <w:pStyle w:val="99"/>
              <w:wordWrap/>
              <w:snapToGrid w:val="0"/>
              <w:ind w:firstLine="480"/>
              <w:jc w:val="center"/>
            </w:pPr>
            <w:r>
              <w:object>
                <v:shape id="_x0000_i1025" o:spt="75" type="#_x0000_t75" style="height:354pt;width:251.25pt;" o:ole="t" filled="f" o:preferrelative="t" stroked="f" coordsize="21600,21600">
                  <v:path/>
                  <v:fill on="f" focussize="0,0"/>
                  <v:stroke on="f" joinstyle="miter"/>
                  <v:imagedata r:id="rId10" o:title=""/>
                  <o:lock v:ext="edit" aspectratio="t"/>
                  <w10:wrap type="none"/>
                  <w10:anchorlock/>
                </v:shape>
                <o:OLEObject Type="Embed" ProgID="Visio.Drawing.15" ShapeID="_x0000_i1025" DrawAspect="Content" ObjectID="_1468075725" r:id="rId9">
                  <o:LockedField>false</o:LockedField>
                </o:OLEObject>
              </w:object>
            </w:r>
          </w:p>
          <w:p w14:paraId="55FAD272">
            <w:pPr>
              <w:widowControl/>
              <w:spacing w:line="360" w:lineRule="auto"/>
              <w:ind w:firstLine="422" w:firstLineChars="200"/>
              <w:jc w:val="center"/>
              <w:rPr>
                <w:b/>
                <w:szCs w:val="21"/>
              </w:rPr>
            </w:pPr>
            <w:r>
              <w:rPr>
                <w:rFonts w:hint="eastAsia"/>
                <w:b/>
                <w:bCs/>
                <w:szCs w:val="21"/>
              </w:rPr>
              <w:t>图2-2  项目运营期湿稻谷烘干生产工艺流程及产污节点示意图</w:t>
            </w:r>
          </w:p>
          <w:p w14:paraId="338F8F5D">
            <w:pPr>
              <w:widowControl/>
              <w:spacing w:line="360" w:lineRule="auto"/>
              <w:ind w:firstLine="470" w:firstLineChars="200"/>
              <w:jc w:val="left"/>
              <w:rPr>
                <w:b/>
                <w:spacing w:val="-3"/>
                <w:sz w:val="24"/>
              </w:rPr>
            </w:pPr>
            <w:r>
              <w:rPr>
                <w:rFonts w:hint="eastAsia"/>
                <w:b/>
                <w:spacing w:val="-3"/>
                <w:sz w:val="24"/>
              </w:rPr>
              <w:t>工艺流程说明：</w:t>
            </w:r>
          </w:p>
          <w:p w14:paraId="1F3AA869">
            <w:pPr>
              <w:spacing w:line="360" w:lineRule="auto"/>
              <w:ind w:firstLine="480" w:firstLineChars="200"/>
              <w:rPr>
                <w:sz w:val="24"/>
                <w:szCs w:val="32"/>
              </w:rPr>
            </w:pPr>
            <w:r>
              <w:rPr>
                <w:rFonts w:hint="eastAsia"/>
                <w:sz w:val="24"/>
                <w:szCs w:val="32"/>
              </w:rPr>
              <w:t>湿稻谷由运输车辆卸料至烘干车间卸粮坑附近，使用装载机将湿稻谷（含水量＞13.5%）转移至卸粮坑内，粮食自流入斗式提升机，通过提升机将湿稻谷运至圆筒初清筛入料口，进行初清筛，除去砂石等杂质，再进入烘前湿粮仓，随后通过提升机和刮板输送机将湿粮运至烘干机中，进行烘干。采用生物质热风炉加热空气进入烘干机组内，对稻谷进行烘干。烘干机温度设置在45℃-50℃之间，每批次烘干20h。烘干后（含水率约为13.5%）通过提升机及带式输送机运至烘后干粮仓暂存，然后通过提升塔将烘干后的稻谷输送至浅圆仓暂存，或运输出场外售</w:t>
            </w:r>
            <w:r>
              <w:rPr>
                <w:sz w:val="24"/>
                <w:szCs w:val="32"/>
              </w:rPr>
              <w:t>。</w:t>
            </w:r>
          </w:p>
          <w:p w14:paraId="15F25F7F">
            <w:pPr>
              <w:pStyle w:val="99"/>
              <w:wordWrap/>
              <w:snapToGrid w:val="0"/>
              <w:ind w:firstLine="480"/>
              <w:rPr>
                <w:szCs w:val="32"/>
              </w:rPr>
            </w:pPr>
            <w:r>
              <w:rPr>
                <w:rFonts w:hint="eastAsia"/>
                <w:szCs w:val="32"/>
              </w:rPr>
              <w:t>该工序主要为初清筛、装卸料、运输、烘干等工序产生的粉尘；热风炉燃烧生物质颗粒过程产生的燃烧废气；初清筛过程产生的杂质；机械运行产生的噪声。</w:t>
            </w:r>
          </w:p>
        </w:tc>
      </w:tr>
      <w:tr w14:paraId="31FE8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2" w:type="dxa"/>
            <w:vAlign w:val="center"/>
          </w:tcPr>
          <w:p w14:paraId="5A7ACABF">
            <w:pPr>
              <w:pStyle w:val="25"/>
              <w:adjustRightInd w:val="0"/>
              <w:snapToGrid w:val="0"/>
              <w:spacing w:before="0" w:beforeAutospacing="0" w:after="0" w:afterAutospacing="0"/>
              <w:jc w:val="center"/>
              <w:rPr>
                <w:rFonts w:cs="宋体"/>
                <w:b/>
                <w:szCs w:val="24"/>
              </w:rPr>
            </w:pPr>
            <w:r>
              <w:rPr>
                <w:rFonts w:hint="eastAsia" w:cs="宋体"/>
                <w:b/>
                <w:bCs/>
                <w:kern w:val="2"/>
                <w:szCs w:val="24"/>
              </w:rPr>
              <w:t>与项目有关的原有环境污染问题</w:t>
            </w:r>
          </w:p>
        </w:tc>
        <w:tc>
          <w:tcPr>
            <w:tcW w:w="8957" w:type="dxa"/>
          </w:tcPr>
          <w:p w14:paraId="091C9084">
            <w:pPr>
              <w:autoSpaceDE w:val="0"/>
              <w:autoSpaceDN w:val="0"/>
              <w:adjustRightInd w:val="0"/>
              <w:spacing w:line="360" w:lineRule="auto"/>
              <w:ind w:firstLine="482" w:firstLineChars="200"/>
              <w:rPr>
                <w:b/>
                <w:kern w:val="0"/>
                <w:sz w:val="24"/>
                <w:szCs w:val="21"/>
              </w:rPr>
            </w:pPr>
            <w:r>
              <w:rPr>
                <w:rFonts w:hint="eastAsia"/>
                <w:b/>
                <w:kern w:val="0"/>
                <w:sz w:val="24"/>
                <w:szCs w:val="21"/>
              </w:rPr>
              <w:t>一、现有工程环保手续履行情况</w:t>
            </w:r>
          </w:p>
          <w:p w14:paraId="4FB6F36C">
            <w:pPr>
              <w:autoSpaceDE w:val="0"/>
              <w:autoSpaceDN w:val="0"/>
              <w:adjustRightInd w:val="0"/>
              <w:spacing w:line="360" w:lineRule="auto"/>
              <w:ind w:firstLine="480" w:firstLineChars="200"/>
              <w:rPr>
                <w:kern w:val="0"/>
                <w:sz w:val="24"/>
                <w:szCs w:val="21"/>
              </w:rPr>
            </w:pPr>
            <w:r>
              <w:rPr>
                <w:rFonts w:hint="eastAsia"/>
                <w:kern w:val="0"/>
                <w:sz w:val="24"/>
                <w:szCs w:val="21"/>
              </w:rPr>
              <w:t>项目位于衡阳市衡山县白果镇岳北村</w:t>
            </w:r>
            <w:r>
              <w:rPr>
                <w:kern w:val="0"/>
                <w:sz w:val="24"/>
                <w:szCs w:val="21"/>
              </w:rPr>
              <w:t>，</w:t>
            </w:r>
            <w:r>
              <w:rPr>
                <w:rFonts w:hint="eastAsia"/>
                <w:kern w:val="0"/>
                <w:sz w:val="24"/>
                <w:szCs w:val="21"/>
              </w:rPr>
              <w:t>属于改扩建项目，</w:t>
            </w:r>
            <w:bookmarkStart w:id="46" w:name="OLE_LINK125"/>
            <w:bookmarkStart w:id="47" w:name="OLE_LINK124"/>
            <w:r>
              <w:rPr>
                <w:rFonts w:hint="eastAsia"/>
                <w:kern w:val="0"/>
                <w:sz w:val="24"/>
                <w:szCs w:val="21"/>
              </w:rPr>
              <w:t>衡山岳北粮食收储有限公司</w:t>
            </w:r>
            <w:bookmarkEnd w:id="46"/>
            <w:bookmarkEnd w:id="47"/>
            <w:r>
              <w:rPr>
                <w:rFonts w:hint="eastAsia"/>
                <w:kern w:val="0"/>
                <w:sz w:val="24"/>
                <w:szCs w:val="21"/>
              </w:rPr>
              <w:t>于2014年9月委托衡阳市环境科学研究所编制了《岳北粮食仓储与物流项目环境影响报告表》并取得批复（衡环评[2014]075号），并于2018年10月17日通过了环保竣工验收。2026年4月14号，重新申请了排污许可等登记管理（登记编号91430423663981380J001X）。环评及其批复建设内容包括5栋平房仓、1栋服务中心、1栋烘干房、1栋大米加工车间、1栋成品库、1栋综合楼、1栋食堂及消防、环保等配套设施，实际仅建设2栋平房仓、1栋服务中心、1栋综合楼及消防、环保等配套设施，总库容1.65万吨。</w:t>
            </w:r>
          </w:p>
          <w:p w14:paraId="70BC9EC8">
            <w:pPr>
              <w:autoSpaceDE w:val="0"/>
              <w:autoSpaceDN w:val="0"/>
              <w:adjustRightInd w:val="0"/>
              <w:spacing w:line="360" w:lineRule="auto"/>
              <w:ind w:firstLine="482" w:firstLineChars="200"/>
              <w:rPr>
                <w:b/>
                <w:kern w:val="0"/>
                <w:sz w:val="24"/>
                <w:szCs w:val="21"/>
              </w:rPr>
            </w:pPr>
            <w:r>
              <w:rPr>
                <w:rFonts w:hint="eastAsia"/>
                <w:b/>
                <w:kern w:val="0"/>
                <w:sz w:val="24"/>
                <w:szCs w:val="21"/>
              </w:rPr>
              <w:t>二、现有工程主要建设内容</w:t>
            </w:r>
          </w:p>
          <w:p w14:paraId="4ECB1B42">
            <w:pPr>
              <w:autoSpaceDE w:val="0"/>
              <w:autoSpaceDN w:val="0"/>
              <w:adjustRightInd w:val="0"/>
              <w:spacing w:line="360" w:lineRule="auto"/>
              <w:ind w:firstLine="480" w:firstLineChars="200"/>
              <w:rPr>
                <w:b/>
                <w:kern w:val="0"/>
                <w:sz w:val="24"/>
                <w:szCs w:val="21"/>
              </w:rPr>
            </w:pPr>
            <w:r>
              <w:rPr>
                <w:rFonts w:hint="eastAsia"/>
                <w:kern w:val="0"/>
                <w:sz w:val="24"/>
                <w:szCs w:val="21"/>
              </w:rPr>
              <w:t>现有项目主要建设内容见下表：</w:t>
            </w:r>
          </w:p>
          <w:p w14:paraId="06E5ADCE">
            <w:pPr>
              <w:spacing w:before="120" w:beforeLines="50"/>
              <w:jc w:val="center"/>
              <w:rPr>
                <w:b/>
              </w:rPr>
            </w:pPr>
            <w:r>
              <w:rPr>
                <w:b/>
              </w:rPr>
              <w:t>表</w:t>
            </w:r>
            <w:r>
              <w:rPr>
                <w:rFonts w:hint="eastAsia"/>
                <w:b/>
              </w:rPr>
              <w:t>2-7</w:t>
            </w:r>
            <w:r>
              <w:rPr>
                <w:b/>
              </w:rPr>
              <w:t xml:space="preserve"> </w:t>
            </w:r>
            <w:r>
              <w:rPr>
                <w:rFonts w:hint="eastAsia"/>
                <w:b/>
              </w:rPr>
              <w:t xml:space="preserve"> 现有项目主要建设内容</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8"/>
              <w:gridCol w:w="1253"/>
              <w:gridCol w:w="6757"/>
            </w:tblGrid>
            <w:tr w14:paraId="2B374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Align w:val="center"/>
                </w:tcPr>
                <w:p w14:paraId="13EA06B4">
                  <w:pPr>
                    <w:pStyle w:val="61"/>
                    <w:rPr>
                      <w:b/>
                      <w:sz w:val="21"/>
                    </w:rPr>
                  </w:pPr>
                  <w:r>
                    <w:rPr>
                      <w:b/>
                      <w:sz w:val="21"/>
                    </w:rPr>
                    <w:t>工程</w:t>
                  </w:r>
                </w:p>
                <w:p w14:paraId="71A39FCA">
                  <w:pPr>
                    <w:pStyle w:val="61"/>
                    <w:rPr>
                      <w:b/>
                      <w:sz w:val="21"/>
                    </w:rPr>
                  </w:pPr>
                  <w:r>
                    <w:rPr>
                      <w:b/>
                      <w:sz w:val="21"/>
                    </w:rPr>
                    <w:t>类别</w:t>
                  </w:r>
                </w:p>
              </w:tc>
              <w:tc>
                <w:tcPr>
                  <w:tcW w:w="678" w:type="pct"/>
                  <w:vAlign w:val="center"/>
                </w:tcPr>
                <w:p w14:paraId="3A395015">
                  <w:pPr>
                    <w:pStyle w:val="61"/>
                    <w:rPr>
                      <w:b/>
                      <w:sz w:val="21"/>
                    </w:rPr>
                  </w:pPr>
                  <w:r>
                    <w:rPr>
                      <w:b/>
                      <w:sz w:val="21"/>
                    </w:rPr>
                    <w:t>工程名称</w:t>
                  </w:r>
                </w:p>
              </w:tc>
              <w:tc>
                <w:tcPr>
                  <w:tcW w:w="3657" w:type="pct"/>
                  <w:vAlign w:val="center"/>
                </w:tcPr>
                <w:p w14:paraId="367F78D6">
                  <w:pPr>
                    <w:pStyle w:val="61"/>
                    <w:rPr>
                      <w:b/>
                      <w:sz w:val="21"/>
                    </w:rPr>
                  </w:pPr>
                  <w:r>
                    <w:rPr>
                      <w:b/>
                      <w:sz w:val="21"/>
                    </w:rPr>
                    <w:t>现有工程建设内容</w:t>
                  </w:r>
                </w:p>
              </w:tc>
            </w:tr>
            <w:tr w14:paraId="379656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344B3600">
                  <w:pPr>
                    <w:pStyle w:val="61"/>
                    <w:rPr>
                      <w:sz w:val="21"/>
                    </w:rPr>
                  </w:pPr>
                  <w:r>
                    <w:rPr>
                      <w:sz w:val="21"/>
                    </w:rPr>
                    <w:t>主体</w:t>
                  </w:r>
                </w:p>
                <w:p w14:paraId="2128FFDA">
                  <w:pPr>
                    <w:pStyle w:val="61"/>
                    <w:rPr>
                      <w:sz w:val="21"/>
                    </w:rPr>
                  </w:pPr>
                  <w:r>
                    <w:rPr>
                      <w:sz w:val="21"/>
                    </w:rPr>
                    <w:t>工程</w:t>
                  </w:r>
                </w:p>
              </w:tc>
              <w:tc>
                <w:tcPr>
                  <w:tcW w:w="678" w:type="pct"/>
                  <w:vAlign w:val="center"/>
                </w:tcPr>
                <w:p w14:paraId="2B8F05ED">
                  <w:pPr>
                    <w:pStyle w:val="61"/>
                    <w:rPr>
                      <w:sz w:val="21"/>
                    </w:rPr>
                  </w:pPr>
                  <w:r>
                    <w:rPr>
                      <w:sz w:val="21"/>
                    </w:rPr>
                    <w:t>平房仓</w:t>
                  </w:r>
                  <w:r>
                    <w:rPr>
                      <w:rFonts w:hint="eastAsia"/>
                      <w:sz w:val="21"/>
                    </w:rPr>
                    <w:t>1</w:t>
                  </w:r>
                </w:p>
              </w:tc>
              <w:tc>
                <w:tcPr>
                  <w:tcW w:w="3657" w:type="pct"/>
                  <w:vAlign w:val="center"/>
                </w:tcPr>
                <w:p w14:paraId="3B71F7BF">
                  <w:pPr>
                    <w:jc w:val="center"/>
                    <w:rPr>
                      <w:szCs w:val="21"/>
                    </w:rPr>
                  </w:pPr>
                  <w:r>
                    <w:rPr>
                      <w:rFonts w:hint="eastAsia"/>
                      <w:szCs w:val="21"/>
                    </w:rPr>
                    <w:t>1间，</w:t>
                  </w:r>
                  <w:r>
                    <w:rPr>
                      <w:szCs w:val="21"/>
                    </w:rPr>
                    <w:t>占地面积</w:t>
                  </w:r>
                  <w:r>
                    <w:rPr>
                      <w:rFonts w:hint="eastAsia"/>
                      <w:szCs w:val="21"/>
                    </w:rPr>
                    <w:t>1687.75</w:t>
                  </w:r>
                  <w:r>
                    <w:rPr>
                      <w:szCs w:val="21"/>
                    </w:rPr>
                    <w:t>m</w:t>
                  </w:r>
                  <w:r>
                    <w:rPr>
                      <w:szCs w:val="21"/>
                      <w:vertAlign w:val="superscript"/>
                    </w:rPr>
                    <w:t>2</w:t>
                  </w:r>
                  <w:r>
                    <w:rPr>
                      <w:szCs w:val="21"/>
                    </w:rPr>
                    <w:t>，建筑面积</w:t>
                  </w:r>
                  <w:r>
                    <w:rPr>
                      <w:rFonts w:hint="eastAsia"/>
                      <w:szCs w:val="21"/>
                    </w:rPr>
                    <w:t>约1687.75</w:t>
                  </w:r>
                  <w:r>
                    <w:rPr>
                      <w:szCs w:val="21"/>
                    </w:rPr>
                    <w:t>m</w:t>
                  </w:r>
                  <w:r>
                    <w:rPr>
                      <w:szCs w:val="21"/>
                      <w:vertAlign w:val="superscript"/>
                    </w:rPr>
                    <w:t>2</w:t>
                  </w:r>
                  <w:r>
                    <w:rPr>
                      <w:szCs w:val="21"/>
                    </w:rPr>
                    <w:t>，用于干稻谷的</w:t>
                  </w:r>
                  <w:r>
                    <w:rPr>
                      <w:rFonts w:hint="eastAsia"/>
                      <w:szCs w:val="21"/>
                    </w:rPr>
                    <w:t>储存</w:t>
                  </w:r>
                  <w:r>
                    <w:rPr>
                      <w:szCs w:val="21"/>
                    </w:rPr>
                    <w:t>，全封闭厂房，堆粮高度7.</w:t>
                  </w:r>
                  <w:r>
                    <w:rPr>
                      <w:rFonts w:hint="eastAsia"/>
                      <w:szCs w:val="21"/>
                    </w:rPr>
                    <w:t>2</w:t>
                  </w:r>
                  <w:r>
                    <w:rPr>
                      <w:szCs w:val="21"/>
                    </w:rPr>
                    <w:t>m，</w:t>
                  </w:r>
                  <w:r>
                    <w:rPr>
                      <w:rFonts w:hint="eastAsia"/>
                      <w:szCs w:val="21"/>
                    </w:rPr>
                    <w:t>2个傲间，</w:t>
                  </w:r>
                  <w:r>
                    <w:rPr>
                      <w:szCs w:val="21"/>
                    </w:rPr>
                    <w:t>最大仓容</w:t>
                  </w:r>
                  <w:r>
                    <w:rPr>
                      <w:rFonts w:hint="eastAsia"/>
                      <w:szCs w:val="21"/>
                    </w:rPr>
                    <w:t>8250吨（按小麦）</w:t>
                  </w:r>
                </w:p>
              </w:tc>
            </w:tr>
            <w:tr w14:paraId="64EE2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04DF1F6F">
                  <w:pPr>
                    <w:pStyle w:val="61"/>
                    <w:rPr>
                      <w:sz w:val="21"/>
                    </w:rPr>
                  </w:pPr>
                </w:p>
              </w:tc>
              <w:tc>
                <w:tcPr>
                  <w:tcW w:w="678" w:type="pct"/>
                  <w:vAlign w:val="center"/>
                </w:tcPr>
                <w:p w14:paraId="01E98C30">
                  <w:pPr>
                    <w:pStyle w:val="61"/>
                    <w:rPr>
                      <w:sz w:val="21"/>
                    </w:rPr>
                  </w:pPr>
                  <w:r>
                    <w:rPr>
                      <w:sz w:val="21"/>
                    </w:rPr>
                    <w:t>平房仓</w:t>
                  </w:r>
                  <w:r>
                    <w:rPr>
                      <w:rFonts w:hint="eastAsia"/>
                      <w:sz w:val="21"/>
                    </w:rPr>
                    <w:t>2</w:t>
                  </w:r>
                </w:p>
              </w:tc>
              <w:tc>
                <w:tcPr>
                  <w:tcW w:w="3657" w:type="pct"/>
                  <w:vAlign w:val="center"/>
                </w:tcPr>
                <w:p w14:paraId="498F5C82">
                  <w:pPr>
                    <w:jc w:val="center"/>
                    <w:rPr>
                      <w:szCs w:val="21"/>
                    </w:rPr>
                  </w:pPr>
                  <w:r>
                    <w:rPr>
                      <w:rFonts w:hint="eastAsia"/>
                      <w:szCs w:val="21"/>
                    </w:rPr>
                    <w:t>1间，</w:t>
                  </w:r>
                  <w:r>
                    <w:rPr>
                      <w:szCs w:val="21"/>
                    </w:rPr>
                    <w:t>占地面积</w:t>
                  </w:r>
                  <w:r>
                    <w:rPr>
                      <w:rFonts w:hint="eastAsia"/>
                      <w:szCs w:val="21"/>
                    </w:rPr>
                    <w:t>1687.75</w:t>
                  </w:r>
                  <w:r>
                    <w:rPr>
                      <w:szCs w:val="21"/>
                    </w:rPr>
                    <w:t>m</w:t>
                  </w:r>
                  <w:r>
                    <w:rPr>
                      <w:szCs w:val="21"/>
                      <w:vertAlign w:val="superscript"/>
                    </w:rPr>
                    <w:t>2</w:t>
                  </w:r>
                  <w:r>
                    <w:rPr>
                      <w:szCs w:val="21"/>
                    </w:rPr>
                    <w:t>，建筑面积</w:t>
                  </w:r>
                  <w:r>
                    <w:rPr>
                      <w:rFonts w:hint="eastAsia"/>
                      <w:szCs w:val="21"/>
                    </w:rPr>
                    <w:t>约1687.75</w:t>
                  </w:r>
                  <w:r>
                    <w:rPr>
                      <w:szCs w:val="21"/>
                    </w:rPr>
                    <w:t>m</w:t>
                  </w:r>
                  <w:r>
                    <w:rPr>
                      <w:szCs w:val="21"/>
                      <w:vertAlign w:val="superscript"/>
                    </w:rPr>
                    <w:t>2</w:t>
                  </w:r>
                  <w:r>
                    <w:rPr>
                      <w:szCs w:val="21"/>
                    </w:rPr>
                    <w:t>，用于干稻谷的</w:t>
                  </w:r>
                  <w:r>
                    <w:rPr>
                      <w:rFonts w:hint="eastAsia"/>
                      <w:szCs w:val="21"/>
                    </w:rPr>
                    <w:t>储存</w:t>
                  </w:r>
                  <w:r>
                    <w:rPr>
                      <w:szCs w:val="21"/>
                    </w:rPr>
                    <w:t>，全封闭厂房，堆粮高度7.</w:t>
                  </w:r>
                  <w:r>
                    <w:rPr>
                      <w:rFonts w:hint="eastAsia"/>
                      <w:szCs w:val="21"/>
                    </w:rPr>
                    <w:t>2</w:t>
                  </w:r>
                  <w:r>
                    <w:rPr>
                      <w:szCs w:val="21"/>
                    </w:rPr>
                    <w:t>m，</w:t>
                  </w:r>
                  <w:r>
                    <w:rPr>
                      <w:rFonts w:hint="eastAsia"/>
                      <w:szCs w:val="21"/>
                    </w:rPr>
                    <w:t>2个傲间，</w:t>
                  </w:r>
                  <w:r>
                    <w:rPr>
                      <w:szCs w:val="21"/>
                    </w:rPr>
                    <w:t>最大仓容</w:t>
                  </w:r>
                  <w:r>
                    <w:rPr>
                      <w:rFonts w:hint="eastAsia"/>
                      <w:szCs w:val="21"/>
                    </w:rPr>
                    <w:t>8250吨（按小麦）</w:t>
                  </w:r>
                </w:p>
              </w:tc>
            </w:tr>
            <w:tr w14:paraId="03DF3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5CBD9A83">
                  <w:pPr>
                    <w:pStyle w:val="61"/>
                    <w:rPr>
                      <w:sz w:val="21"/>
                    </w:rPr>
                  </w:pPr>
                </w:p>
              </w:tc>
              <w:tc>
                <w:tcPr>
                  <w:tcW w:w="678" w:type="pct"/>
                  <w:vAlign w:val="center"/>
                </w:tcPr>
                <w:p w14:paraId="324CDD03">
                  <w:pPr>
                    <w:pStyle w:val="61"/>
                    <w:rPr>
                      <w:sz w:val="21"/>
                    </w:rPr>
                  </w:pPr>
                  <w:r>
                    <w:rPr>
                      <w:sz w:val="21"/>
                    </w:rPr>
                    <w:t>仓间罩棚</w:t>
                  </w:r>
                </w:p>
              </w:tc>
              <w:tc>
                <w:tcPr>
                  <w:tcW w:w="3657" w:type="pct"/>
                  <w:vAlign w:val="center"/>
                </w:tcPr>
                <w:p w14:paraId="25D6338C">
                  <w:pPr>
                    <w:jc w:val="center"/>
                    <w:rPr>
                      <w:b/>
                      <w:szCs w:val="21"/>
                    </w:rPr>
                  </w:pPr>
                  <w:r>
                    <w:rPr>
                      <w:rFonts w:hint="eastAsia"/>
                      <w:szCs w:val="21"/>
                    </w:rPr>
                    <w:t>1F，轻钢结构，</w:t>
                  </w:r>
                  <w:r>
                    <w:rPr>
                      <w:szCs w:val="21"/>
                    </w:rPr>
                    <w:t>占地面积约</w:t>
                  </w:r>
                  <w:r>
                    <w:rPr>
                      <w:rFonts w:hint="eastAsia"/>
                      <w:szCs w:val="21"/>
                    </w:rPr>
                    <w:t>1134</w:t>
                  </w:r>
                  <w:r>
                    <w:rPr>
                      <w:szCs w:val="21"/>
                    </w:rPr>
                    <w:t>m</w:t>
                  </w:r>
                  <w:r>
                    <w:rPr>
                      <w:szCs w:val="21"/>
                      <w:vertAlign w:val="superscript"/>
                    </w:rPr>
                    <w:t>2</w:t>
                  </w:r>
                  <w:r>
                    <w:rPr>
                      <w:szCs w:val="21"/>
                    </w:rPr>
                    <w:t>，建筑面积</w:t>
                  </w:r>
                  <w:r>
                    <w:rPr>
                      <w:rFonts w:hint="eastAsia"/>
                      <w:szCs w:val="21"/>
                    </w:rPr>
                    <w:t>约1134</w:t>
                  </w:r>
                  <w:r>
                    <w:rPr>
                      <w:szCs w:val="21"/>
                    </w:rPr>
                    <w:t>m</w:t>
                  </w:r>
                  <w:r>
                    <w:rPr>
                      <w:szCs w:val="21"/>
                      <w:vertAlign w:val="superscript"/>
                    </w:rPr>
                    <w:t>2</w:t>
                  </w:r>
                </w:p>
              </w:tc>
            </w:tr>
            <w:tr w14:paraId="0F99C7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5EA385ED">
                  <w:pPr>
                    <w:pStyle w:val="61"/>
                    <w:rPr>
                      <w:sz w:val="21"/>
                    </w:rPr>
                  </w:pPr>
                  <w:r>
                    <w:rPr>
                      <w:sz w:val="21"/>
                    </w:rPr>
                    <w:t>辅助</w:t>
                  </w:r>
                </w:p>
                <w:p w14:paraId="24096FE6">
                  <w:pPr>
                    <w:pStyle w:val="61"/>
                    <w:rPr>
                      <w:sz w:val="21"/>
                    </w:rPr>
                  </w:pPr>
                  <w:r>
                    <w:rPr>
                      <w:sz w:val="21"/>
                    </w:rPr>
                    <w:t>工程</w:t>
                  </w:r>
                </w:p>
              </w:tc>
              <w:tc>
                <w:tcPr>
                  <w:tcW w:w="678" w:type="pct"/>
                  <w:vAlign w:val="center"/>
                </w:tcPr>
                <w:p w14:paraId="5D8F300D">
                  <w:pPr>
                    <w:pStyle w:val="61"/>
                    <w:rPr>
                      <w:sz w:val="21"/>
                    </w:rPr>
                  </w:pPr>
                  <w:r>
                    <w:rPr>
                      <w:sz w:val="21"/>
                    </w:rPr>
                    <w:t>综合楼</w:t>
                  </w:r>
                </w:p>
              </w:tc>
              <w:tc>
                <w:tcPr>
                  <w:tcW w:w="3657" w:type="pct"/>
                  <w:vAlign w:val="center"/>
                </w:tcPr>
                <w:p w14:paraId="631990C2">
                  <w:pPr>
                    <w:jc w:val="center"/>
                    <w:rPr>
                      <w:szCs w:val="21"/>
                    </w:rPr>
                  </w:pPr>
                  <w:r>
                    <w:rPr>
                      <w:rFonts w:hint="eastAsia"/>
                      <w:szCs w:val="21"/>
                    </w:rPr>
                    <w:t>5F，</w:t>
                  </w:r>
                  <w:r>
                    <w:rPr>
                      <w:szCs w:val="21"/>
                    </w:rPr>
                    <w:t>占地面积</w:t>
                  </w:r>
                  <w:r>
                    <w:rPr>
                      <w:rFonts w:hint="eastAsia"/>
                      <w:szCs w:val="21"/>
                    </w:rPr>
                    <w:t>626.21</w:t>
                  </w:r>
                  <w:r>
                    <w:rPr>
                      <w:szCs w:val="21"/>
                    </w:rPr>
                    <w:t>m</w:t>
                  </w:r>
                  <w:r>
                    <w:rPr>
                      <w:szCs w:val="21"/>
                      <w:vertAlign w:val="superscript"/>
                    </w:rPr>
                    <w:t>2</w:t>
                  </w:r>
                  <w:r>
                    <w:rPr>
                      <w:szCs w:val="21"/>
                    </w:rPr>
                    <w:t>，建筑面积</w:t>
                  </w:r>
                  <w:r>
                    <w:rPr>
                      <w:rFonts w:hint="eastAsia"/>
                      <w:szCs w:val="21"/>
                    </w:rPr>
                    <w:t>约2973.40</w:t>
                  </w:r>
                  <w:r>
                    <w:rPr>
                      <w:szCs w:val="21"/>
                    </w:rPr>
                    <w:t>m</w:t>
                  </w:r>
                  <w:r>
                    <w:rPr>
                      <w:szCs w:val="21"/>
                      <w:vertAlign w:val="superscript"/>
                    </w:rPr>
                    <w:t>2</w:t>
                  </w:r>
                  <w:r>
                    <w:rPr>
                      <w:szCs w:val="21"/>
                    </w:rPr>
                    <w:t>，</w:t>
                  </w:r>
                  <w:r>
                    <w:rPr>
                      <w:rFonts w:hint="eastAsia"/>
                      <w:szCs w:val="21"/>
                    </w:rPr>
                    <w:t>用于</w:t>
                  </w:r>
                  <w:r>
                    <w:rPr>
                      <w:szCs w:val="21"/>
                    </w:rPr>
                    <w:t>职工办公</w:t>
                  </w:r>
                </w:p>
              </w:tc>
            </w:tr>
            <w:tr w14:paraId="0D4D0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80DC5AC">
                  <w:pPr>
                    <w:pStyle w:val="61"/>
                    <w:rPr>
                      <w:sz w:val="21"/>
                    </w:rPr>
                  </w:pPr>
                </w:p>
              </w:tc>
              <w:tc>
                <w:tcPr>
                  <w:tcW w:w="678" w:type="pct"/>
                  <w:vAlign w:val="center"/>
                </w:tcPr>
                <w:p w14:paraId="2F587564">
                  <w:pPr>
                    <w:pStyle w:val="61"/>
                    <w:rPr>
                      <w:sz w:val="21"/>
                    </w:rPr>
                  </w:pPr>
                  <w:r>
                    <w:rPr>
                      <w:sz w:val="21"/>
                    </w:rPr>
                    <w:t>一站式服务中心</w:t>
                  </w:r>
                </w:p>
              </w:tc>
              <w:tc>
                <w:tcPr>
                  <w:tcW w:w="3657" w:type="pct"/>
                  <w:vAlign w:val="center"/>
                </w:tcPr>
                <w:p w14:paraId="2867AD7D">
                  <w:pPr>
                    <w:jc w:val="center"/>
                    <w:rPr>
                      <w:szCs w:val="21"/>
                    </w:rPr>
                  </w:pPr>
                  <w:r>
                    <w:rPr>
                      <w:rFonts w:hint="eastAsia"/>
                      <w:szCs w:val="21"/>
                    </w:rPr>
                    <w:t>2F，</w:t>
                  </w:r>
                  <w:r>
                    <w:rPr>
                      <w:szCs w:val="21"/>
                    </w:rPr>
                    <w:t>占地面积</w:t>
                  </w:r>
                  <w:r>
                    <w:rPr>
                      <w:rFonts w:hint="eastAsia"/>
                      <w:szCs w:val="21"/>
                    </w:rPr>
                    <w:t>101.43</w:t>
                  </w:r>
                  <w:r>
                    <w:rPr>
                      <w:szCs w:val="21"/>
                    </w:rPr>
                    <w:t>m</w:t>
                  </w:r>
                  <w:r>
                    <w:rPr>
                      <w:szCs w:val="21"/>
                      <w:vertAlign w:val="superscript"/>
                    </w:rPr>
                    <w:t>2</w:t>
                  </w:r>
                  <w:r>
                    <w:rPr>
                      <w:szCs w:val="21"/>
                    </w:rPr>
                    <w:t>，建筑面积</w:t>
                  </w:r>
                  <w:r>
                    <w:rPr>
                      <w:rFonts w:hint="eastAsia"/>
                      <w:szCs w:val="21"/>
                    </w:rPr>
                    <w:t>约202.86</w:t>
                  </w:r>
                  <w:r>
                    <w:rPr>
                      <w:szCs w:val="21"/>
                    </w:rPr>
                    <w:t>m</w:t>
                  </w:r>
                  <w:r>
                    <w:rPr>
                      <w:szCs w:val="21"/>
                      <w:vertAlign w:val="superscript"/>
                    </w:rPr>
                    <w:t>2</w:t>
                  </w:r>
                  <w:r>
                    <w:rPr>
                      <w:szCs w:val="21"/>
                    </w:rPr>
                    <w:t>，</w:t>
                  </w:r>
                  <w:r>
                    <w:rPr>
                      <w:rFonts w:hint="eastAsia"/>
                      <w:szCs w:val="21"/>
                    </w:rPr>
                    <w:t>用于</w:t>
                  </w:r>
                  <w:r>
                    <w:rPr>
                      <w:szCs w:val="21"/>
                    </w:rPr>
                    <w:t>职工办公，</w:t>
                  </w:r>
                  <w:r>
                    <w:rPr>
                      <w:rFonts w:hint="eastAsia"/>
                      <w:szCs w:val="21"/>
                    </w:rPr>
                    <w:t>一层设地磅房、结算室、初检室等功能单位，二层为倒班宿舍</w:t>
                  </w:r>
                </w:p>
              </w:tc>
            </w:tr>
            <w:tr w14:paraId="60DAD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4F9791EE">
                  <w:pPr>
                    <w:pStyle w:val="61"/>
                    <w:rPr>
                      <w:sz w:val="21"/>
                    </w:rPr>
                  </w:pPr>
                </w:p>
              </w:tc>
              <w:tc>
                <w:tcPr>
                  <w:tcW w:w="678" w:type="pct"/>
                  <w:vAlign w:val="center"/>
                </w:tcPr>
                <w:p w14:paraId="74D1990E">
                  <w:pPr>
                    <w:pStyle w:val="61"/>
                    <w:rPr>
                      <w:sz w:val="21"/>
                    </w:rPr>
                  </w:pPr>
                  <w:r>
                    <w:rPr>
                      <w:sz w:val="21"/>
                    </w:rPr>
                    <w:t>设备房</w:t>
                  </w:r>
                </w:p>
              </w:tc>
              <w:tc>
                <w:tcPr>
                  <w:tcW w:w="3657" w:type="pct"/>
                  <w:vAlign w:val="center"/>
                </w:tcPr>
                <w:p w14:paraId="2056FC06">
                  <w:pPr>
                    <w:jc w:val="center"/>
                    <w:rPr>
                      <w:szCs w:val="21"/>
                    </w:rPr>
                  </w:pPr>
                  <w:r>
                    <w:rPr>
                      <w:rFonts w:hint="eastAsia"/>
                      <w:szCs w:val="21"/>
                    </w:rPr>
                    <w:t>1F，</w:t>
                  </w:r>
                  <w:r>
                    <w:rPr>
                      <w:szCs w:val="21"/>
                    </w:rPr>
                    <w:t>占地面积</w:t>
                  </w:r>
                  <w:r>
                    <w:rPr>
                      <w:rFonts w:hint="eastAsia"/>
                      <w:szCs w:val="21"/>
                    </w:rPr>
                    <w:t>55.58</w:t>
                  </w:r>
                  <w:r>
                    <w:rPr>
                      <w:szCs w:val="21"/>
                    </w:rPr>
                    <w:t>m</w:t>
                  </w:r>
                  <w:r>
                    <w:rPr>
                      <w:szCs w:val="21"/>
                      <w:vertAlign w:val="superscript"/>
                    </w:rPr>
                    <w:t>2</w:t>
                  </w:r>
                  <w:r>
                    <w:rPr>
                      <w:szCs w:val="21"/>
                    </w:rPr>
                    <w:t>，建筑面积</w:t>
                  </w:r>
                  <w:r>
                    <w:rPr>
                      <w:rFonts w:hint="eastAsia"/>
                      <w:szCs w:val="21"/>
                    </w:rPr>
                    <w:t>约55.58</w:t>
                  </w:r>
                  <w:r>
                    <w:rPr>
                      <w:szCs w:val="21"/>
                    </w:rPr>
                    <w:t>m</w:t>
                  </w:r>
                  <w:r>
                    <w:rPr>
                      <w:szCs w:val="21"/>
                      <w:vertAlign w:val="superscript"/>
                    </w:rPr>
                    <w:t>2</w:t>
                  </w:r>
                </w:p>
              </w:tc>
            </w:tr>
            <w:tr w14:paraId="2405D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078F1C9C">
                  <w:pPr>
                    <w:pStyle w:val="61"/>
                    <w:rPr>
                      <w:sz w:val="21"/>
                    </w:rPr>
                  </w:pPr>
                </w:p>
              </w:tc>
              <w:tc>
                <w:tcPr>
                  <w:tcW w:w="678" w:type="pct"/>
                  <w:vAlign w:val="center"/>
                </w:tcPr>
                <w:p w14:paraId="658DEE84">
                  <w:pPr>
                    <w:pStyle w:val="61"/>
                    <w:rPr>
                      <w:sz w:val="21"/>
                    </w:rPr>
                  </w:pPr>
                  <w:r>
                    <w:rPr>
                      <w:sz w:val="21"/>
                    </w:rPr>
                    <w:t>工具房</w:t>
                  </w:r>
                </w:p>
              </w:tc>
              <w:tc>
                <w:tcPr>
                  <w:tcW w:w="3657" w:type="pct"/>
                  <w:vAlign w:val="center"/>
                </w:tcPr>
                <w:p w14:paraId="30F4CA29">
                  <w:pPr>
                    <w:jc w:val="center"/>
                    <w:rPr>
                      <w:szCs w:val="21"/>
                    </w:rPr>
                  </w:pPr>
                  <w:r>
                    <w:rPr>
                      <w:rFonts w:hint="eastAsia"/>
                      <w:szCs w:val="21"/>
                    </w:rPr>
                    <w:t>1F，</w:t>
                  </w:r>
                  <w:r>
                    <w:rPr>
                      <w:szCs w:val="21"/>
                    </w:rPr>
                    <w:t>占地面积</w:t>
                  </w:r>
                  <w:r>
                    <w:rPr>
                      <w:rFonts w:hint="eastAsia"/>
                      <w:szCs w:val="21"/>
                    </w:rPr>
                    <w:t>13.07</w:t>
                  </w:r>
                  <w:r>
                    <w:rPr>
                      <w:szCs w:val="21"/>
                    </w:rPr>
                    <w:t>m</w:t>
                  </w:r>
                  <w:r>
                    <w:rPr>
                      <w:szCs w:val="21"/>
                      <w:vertAlign w:val="superscript"/>
                    </w:rPr>
                    <w:t>2</w:t>
                  </w:r>
                  <w:r>
                    <w:rPr>
                      <w:szCs w:val="21"/>
                    </w:rPr>
                    <w:t>，建筑面积</w:t>
                  </w:r>
                  <w:r>
                    <w:rPr>
                      <w:rFonts w:hint="eastAsia"/>
                      <w:szCs w:val="21"/>
                    </w:rPr>
                    <w:t>约13.07</w:t>
                  </w:r>
                  <w:r>
                    <w:rPr>
                      <w:szCs w:val="21"/>
                    </w:rPr>
                    <w:t>m</w:t>
                  </w:r>
                  <w:r>
                    <w:rPr>
                      <w:szCs w:val="21"/>
                      <w:vertAlign w:val="superscript"/>
                    </w:rPr>
                    <w:t>2</w:t>
                  </w:r>
                </w:p>
              </w:tc>
            </w:tr>
            <w:tr w14:paraId="216EB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6BAD2AAB">
                  <w:pPr>
                    <w:pStyle w:val="61"/>
                    <w:rPr>
                      <w:sz w:val="21"/>
                    </w:rPr>
                  </w:pPr>
                </w:p>
              </w:tc>
              <w:tc>
                <w:tcPr>
                  <w:tcW w:w="678" w:type="pct"/>
                  <w:vAlign w:val="center"/>
                </w:tcPr>
                <w:p w14:paraId="0AC736DF">
                  <w:pPr>
                    <w:pStyle w:val="61"/>
                    <w:rPr>
                      <w:sz w:val="21"/>
                    </w:rPr>
                  </w:pPr>
                  <w:r>
                    <w:rPr>
                      <w:sz w:val="21"/>
                    </w:rPr>
                    <w:t>门卫室</w:t>
                  </w:r>
                </w:p>
              </w:tc>
              <w:tc>
                <w:tcPr>
                  <w:tcW w:w="3657" w:type="pct"/>
                  <w:vAlign w:val="center"/>
                </w:tcPr>
                <w:p w14:paraId="09FA63F0">
                  <w:pPr>
                    <w:jc w:val="center"/>
                    <w:rPr>
                      <w:szCs w:val="21"/>
                    </w:rPr>
                  </w:pPr>
                  <w:r>
                    <w:rPr>
                      <w:rFonts w:hint="eastAsia"/>
                      <w:szCs w:val="21"/>
                    </w:rPr>
                    <w:t>1F，</w:t>
                  </w:r>
                  <w:r>
                    <w:rPr>
                      <w:szCs w:val="21"/>
                    </w:rPr>
                    <w:t>占地面积</w:t>
                  </w:r>
                  <w:r>
                    <w:rPr>
                      <w:rFonts w:hint="eastAsia"/>
                      <w:szCs w:val="21"/>
                    </w:rPr>
                    <w:t>29.92</w:t>
                  </w:r>
                  <w:r>
                    <w:rPr>
                      <w:szCs w:val="21"/>
                    </w:rPr>
                    <w:t>m</w:t>
                  </w:r>
                  <w:r>
                    <w:rPr>
                      <w:szCs w:val="21"/>
                      <w:vertAlign w:val="superscript"/>
                    </w:rPr>
                    <w:t>2</w:t>
                  </w:r>
                  <w:r>
                    <w:rPr>
                      <w:szCs w:val="21"/>
                    </w:rPr>
                    <w:t>，建筑面积</w:t>
                  </w:r>
                  <w:r>
                    <w:rPr>
                      <w:rFonts w:hint="eastAsia"/>
                      <w:szCs w:val="21"/>
                    </w:rPr>
                    <w:t>约29.92</w:t>
                  </w:r>
                  <w:r>
                    <w:rPr>
                      <w:szCs w:val="21"/>
                    </w:rPr>
                    <w:t>m</w:t>
                  </w:r>
                  <w:r>
                    <w:rPr>
                      <w:szCs w:val="21"/>
                      <w:vertAlign w:val="superscript"/>
                    </w:rPr>
                    <w:t>2</w:t>
                  </w:r>
                </w:p>
              </w:tc>
            </w:tr>
            <w:tr w14:paraId="31767D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2F6818A4">
                  <w:pPr>
                    <w:pStyle w:val="61"/>
                    <w:rPr>
                      <w:sz w:val="21"/>
                    </w:rPr>
                  </w:pPr>
                  <w:r>
                    <w:rPr>
                      <w:sz w:val="21"/>
                    </w:rPr>
                    <w:t>公用</w:t>
                  </w:r>
                </w:p>
                <w:p w14:paraId="223E0564">
                  <w:pPr>
                    <w:pStyle w:val="61"/>
                    <w:rPr>
                      <w:sz w:val="21"/>
                    </w:rPr>
                  </w:pPr>
                  <w:r>
                    <w:rPr>
                      <w:sz w:val="21"/>
                    </w:rPr>
                    <w:t>工程</w:t>
                  </w:r>
                </w:p>
              </w:tc>
              <w:tc>
                <w:tcPr>
                  <w:tcW w:w="678" w:type="pct"/>
                  <w:vAlign w:val="center"/>
                </w:tcPr>
                <w:p w14:paraId="35F95F43">
                  <w:pPr>
                    <w:jc w:val="center"/>
                    <w:rPr>
                      <w:szCs w:val="21"/>
                    </w:rPr>
                  </w:pPr>
                  <w:r>
                    <w:rPr>
                      <w:szCs w:val="21"/>
                    </w:rPr>
                    <w:t>供水</w:t>
                  </w:r>
                </w:p>
              </w:tc>
              <w:tc>
                <w:tcPr>
                  <w:tcW w:w="3657" w:type="pct"/>
                  <w:vAlign w:val="center"/>
                </w:tcPr>
                <w:p w14:paraId="003930BC">
                  <w:pPr>
                    <w:jc w:val="center"/>
                    <w:rPr>
                      <w:szCs w:val="21"/>
                    </w:rPr>
                  </w:pPr>
                  <w:r>
                    <w:rPr>
                      <w:rFonts w:hint="eastAsia"/>
                      <w:szCs w:val="21"/>
                    </w:rPr>
                    <w:t>市政</w:t>
                  </w:r>
                  <w:r>
                    <w:rPr>
                      <w:szCs w:val="21"/>
                    </w:rPr>
                    <w:t>供水管网</w:t>
                  </w:r>
                </w:p>
              </w:tc>
            </w:tr>
            <w:tr w14:paraId="6FA13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AB1079D">
                  <w:pPr>
                    <w:pStyle w:val="61"/>
                    <w:rPr>
                      <w:sz w:val="21"/>
                    </w:rPr>
                  </w:pPr>
                </w:p>
              </w:tc>
              <w:tc>
                <w:tcPr>
                  <w:tcW w:w="678" w:type="pct"/>
                  <w:vAlign w:val="center"/>
                </w:tcPr>
                <w:p w14:paraId="40A76B8D">
                  <w:pPr>
                    <w:jc w:val="center"/>
                    <w:rPr>
                      <w:szCs w:val="21"/>
                    </w:rPr>
                  </w:pPr>
                  <w:r>
                    <w:rPr>
                      <w:szCs w:val="21"/>
                    </w:rPr>
                    <w:t>供电</w:t>
                  </w:r>
                </w:p>
              </w:tc>
              <w:tc>
                <w:tcPr>
                  <w:tcW w:w="3657" w:type="pct"/>
                  <w:vAlign w:val="center"/>
                </w:tcPr>
                <w:p w14:paraId="144A1B42">
                  <w:pPr>
                    <w:jc w:val="center"/>
                    <w:rPr>
                      <w:szCs w:val="21"/>
                    </w:rPr>
                  </w:pPr>
                  <w:r>
                    <w:rPr>
                      <w:rFonts w:hint="eastAsia"/>
                      <w:szCs w:val="21"/>
                    </w:rPr>
                    <w:t>市政供电部门供应</w:t>
                  </w:r>
                </w:p>
              </w:tc>
            </w:tr>
            <w:tr w14:paraId="03934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0DE53EA">
                  <w:pPr>
                    <w:pStyle w:val="61"/>
                    <w:rPr>
                      <w:sz w:val="21"/>
                    </w:rPr>
                  </w:pPr>
                </w:p>
              </w:tc>
              <w:tc>
                <w:tcPr>
                  <w:tcW w:w="678" w:type="pct"/>
                  <w:vAlign w:val="center"/>
                </w:tcPr>
                <w:p w14:paraId="4AD3F7C9">
                  <w:pPr>
                    <w:jc w:val="center"/>
                    <w:rPr>
                      <w:szCs w:val="21"/>
                    </w:rPr>
                  </w:pPr>
                  <w:r>
                    <w:rPr>
                      <w:szCs w:val="21"/>
                    </w:rPr>
                    <w:t>排水</w:t>
                  </w:r>
                </w:p>
              </w:tc>
              <w:tc>
                <w:tcPr>
                  <w:tcW w:w="3657" w:type="pct"/>
                  <w:vAlign w:val="center"/>
                </w:tcPr>
                <w:p w14:paraId="17208EB5">
                  <w:pPr>
                    <w:jc w:val="center"/>
                    <w:rPr>
                      <w:szCs w:val="21"/>
                    </w:rPr>
                  </w:pPr>
                  <w:r>
                    <w:rPr>
                      <w:spacing w:val="-12"/>
                      <w:szCs w:val="21"/>
                    </w:rPr>
                    <w:t>雨污分流制，生活污水经化粪池处理后排入市政污水管网，纳入白果镇污水处理厂深度处理后排入涓水</w:t>
                  </w:r>
                </w:p>
              </w:tc>
            </w:tr>
            <w:tr w14:paraId="1E2807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restart"/>
                  <w:vAlign w:val="center"/>
                </w:tcPr>
                <w:p w14:paraId="03BA87C1">
                  <w:pPr>
                    <w:pStyle w:val="61"/>
                    <w:rPr>
                      <w:sz w:val="21"/>
                    </w:rPr>
                  </w:pPr>
                  <w:r>
                    <w:rPr>
                      <w:sz w:val="21"/>
                    </w:rPr>
                    <w:t>环保</w:t>
                  </w:r>
                </w:p>
                <w:p w14:paraId="44EFF745">
                  <w:pPr>
                    <w:pStyle w:val="61"/>
                    <w:rPr>
                      <w:sz w:val="21"/>
                    </w:rPr>
                  </w:pPr>
                  <w:r>
                    <w:rPr>
                      <w:sz w:val="21"/>
                    </w:rPr>
                    <w:t>工程</w:t>
                  </w:r>
                </w:p>
              </w:tc>
              <w:tc>
                <w:tcPr>
                  <w:tcW w:w="678" w:type="pct"/>
                  <w:vMerge w:val="restart"/>
                  <w:vAlign w:val="center"/>
                </w:tcPr>
                <w:p w14:paraId="34478DF5">
                  <w:pPr>
                    <w:pStyle w:val="61"/>
                    <w:rPr>
                      <w:sz w:val="21"/>
                    </w:rPr>
                  </w:pPr>
                  <w:r>
                    <w:rPr>
                      <w:sz w:val="21"/>
                    </w:rPr>
                    <w:t>废气治理</w:t>
                  </w:r>
                </w:p>
              </w:tc>
              <w:tc>
                <w:tcPr>
                  <w:tcW w:w="3657" w:type="pct"/>
                  <w:vAlign w:val="center"/>
                </w:tcPr>
                <w:p w14:paraId="391CDF53">
                  <w:pPr>
                    <w:pStyle w:val="61"/>
                    <w:tabs>
                      <w:tab w:val="left" w:pos="3360"/>
                    </w:tabs>
                    <w:rPr>
                      <w:sz w:val="21"/>
                    </w:rPr>
                  </w:pPr>
                  <w:r>
                    <w:rPr>
                      <w:rFonts w:hint="eastAsia"/>
                      <w:sz w:val="21"/>
                    </w:rPr>
                    <w:t>装卸、清筛、输送及清筛粉尘：封闭式库房，及时清扫、降低装卸落差、控制输送速度、密闭输送、封闭式清筛设备</w:t>
                  </w:r>
                </w:p>
              </w:tc>
            </w:tr>
            <w:tr w14:paraId="2320B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56255E4B">
                  <w:pPr>
                    <w:pStyle w:val="61"/>
                    <w:rPr>
                      <w:sz w:val="21"/>
                    </w:rPr>
                  </w:pPr>
                </w:p>
              </w:tc>
              <w:tc>
                <w:tcPr>
                  <w:tcW w:w="678" w:type="pct"/>
                  <w:vMerge w:val="continue"/>
                  <w:vAlign w:val="center"/>
                </w:tcPr>
                <w:p w14:paraId="115F4E2C">
                  <w:pPr>
                    <w:pStyle w:val="61"/>
                    <w:rPr>
                      <w:sz w:val="21"/>
                    </w:rPr>
                  </w:pPr>
                </w:p>
              </w:tc>
              <w:tc>
                <w:tcPr>
                  <w:tcW w:w="3657" w:type="pct"/>
                  <w:vAlign w:val="center"/>
                </w:tcPr>
                <w:p w14:paraId="59C17DE6">
                  <w:pPr>
                    <w:pStyle w:val="61"/>
                    <w:tabs>
                      <w:tab w:val="left" w:pos="3360"/>
                    </w:tabs>
                    <w:rPr>
                      <w:sz w:val="21"/>
                    </w:rPr>
                  </w:pPr>
                  <w:r>
                    <w:rPr>
                      <w:sz w:val="21"/>
                    </w:rPr>
                    <w:t>道路扬尘：</w:t>
                  </w:r>
                  <w:r>
                    <w:rPr>
                      <w:rFonts w:hint="eastAsia"/>
                      <w:sz w:val="21"/>
                    </w:rPr>
                    <w:t>地面硬化、控制车速、及时清扫、定期洒水</w:t>
                  </w:r>
                </w:p>
              </w:tc>
            </w:tr>
            <w:tr w14:paraId="0485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B696A72">
                  <w:pPr>
                    <w:pStyle w:val="61"/>
                    <w:rPr>
                      <w:sz w:val="21"/>
                    </w:rPr>
                  </w:pPr>
                </w:p>
              </w:tc>
              <w:tc>
                <w:tcPr>
                  <w:tcW w:w="678" w:type="pct"/>
                  <w:vMerge w:val="continue"/>
                  <w:vAlign w:val="center"/>
                </w:tcPr>
                <w:p w14:paraId="245FEEA5">
                  <w:pPr>
                    <w:pStyle w:val="61"/>
                    <w:rPr>
                      <w:sz w:val="21"/>
                    </w:rPr>
                  </w:pPr>
                </w:p>
              </w:tc>
              <w:tc>
                <w:tcPr>
                  <w:tcW w:w="3657" w:type="pct"/>
                  <w:vAlign w:val="center"/>
                </w:tcPr>
                <w:p w14:paraId="72E679C4">
                  <w:pPr>
                    <w:pStyle w:val="61"/>
                    <w:tabs>
                      <w:tab w:val="left" w:pos="3360"/>
                    </w:tabs>
                    <w:rPr>
                      <w:sz w:val="21"/>
                    </w:rPr>
                  </w:pPr>
                  <w:r>
                    <w:rPr>
                      <w:sz w:val="21"/>
                    </w:rPr>
                    <w:t>汽车尾气：</w:t>
                  </w:r>
                  <w:r>
                    <w:rPr>
                      <w:rFonts w:hint="eastAsia"/>
                      <w:sz w:val="21"/>
                    </w:rPr>
                    <w:t>大气扩散</w:t>
                  </w:r>
                </w:p>
              </w:tc>
            </w:tr>
            <w:tr w14:paraId="7842D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1163D620">
                  <w:pPr>
                    <w:pStyle w:val="61"/>
                    <w:rPr>
                      <w:sz w:val="21"/>
                    </w:rPr>
                  </w:pPr>
                </w:p>
              </w:tc>
              <w:tc>
                <w:tcPr>
                  <w:tcW w:w="678" w:type="pct"/>
                  <w:vMerge w:val="continue"/>
                  <w:vAlign w:val="center"/>
                </w:tcPr>
                <w:p w14:paraId="55FAC960">
                  <w:pPr>
                    <w:pStyle w:val="61"/>
                    <w:rPr>
                      <w:sz w:val="21"/>
                    </w:rPr>
                  </w:pPr>
                </w:p>
              </w:tc>
              <w:tc>
                <w:tcPr>
                  <w:tcW w:w="3657" w:type="pct"/>
                  <w:vAlign w:val="center"/>
                </w:tcPr>
                <w:p w14:paraId="1D19847E">
                  <w:pPr>
                    <w:pStyle w:val="61"/>
                    <w:tabs>
                      <w:tab w:val="left" w:pos="3360"/>
                    </w:tabs>
                    <w:rPr>
                      <w:sz w:val="21"/>
                    </w:rPr>
                  </w:pPr>
                  <w:r>
                    <w:rPr>
                      <w:sz w:val="21"/>
                    </w:rPr>
                    <w:t>备用柴油发电机废气：</w:t>
                  </w:r>
                  <w:r>
                    <w:rPr>
                      <w:rFonts w:hint="eastAsia"/>
                      <w:sz w:val="21"/>
                    </w:rPr>
                    <w:t>自带的烟气净化处理装置处理后排放</w:t>
                  </w:r>
                </w:p>
              </w:tc>
            </w:tr>
            <w:tr w14:paraId="74196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3D16111">
                  <w:pPr>
                    <w:pStyle w:val="61"/>
                    <w:rPr>
                      <w:sz w:val="21"/>
                    </w:rPr>
                  </w:pPr>
                </w:p>
              </w:tc>
              <w:tc>
                <w:tcPr>
                  <w:tcW w:w="678" w:type="pct"/>
                  <w:vAlign w:val="center"/>
                </w:tcPr>
                <w:p w14:paraId="70056688">
                  <w:pPr>
                    <w:pStyle w:val="61"/>
                    <w:rPr>
                      <w:sz w:val="21"/>
                    </w:rPr>
                  </w:pPr>
                  <w:r>
                    <w:rPr>
                      <w:sz w:val="21"/>
                    </w:rPr>
                    <w:t>废水治理</w:t>
                  </w:r>
                </w:p>
              </w:tc>
              <w:tc>
                <w:tcPr>
                  <w:tcW w:w="3657" w:type="pct"/>
                  <w:vAlign w:val="center"/>
                </w:tcPr>
                <w:p w14:paraId="2E8CBD9D">
                  <w:pPr>
                    <w:pStyle w:val="61"/>
                    <w:tabs>
                      <w:tab w:val="left" w:pos="3360"/>
                    </w:tabs>
                    <w:rPr>
                      <w:sz w:val="21"/>
                    </w:rPr>
                  </w:pPr>
                  <w:r>
                    <w:rPr>
                      <w:rFonts w:hint="eastAsia"/>
                      <w:sz w:val="21"/>
                    </w:rPr>
                    <w:t>生活污水：经化粪池处理后排入市政污水管网，纳入白果镇污水处理厂深度处理后排入涓水</w:t>
                  </w:r>
                </w:p>
              </w:tc>
            </w:tr>
            <w:tr w14:paraId="69FF6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CE8479A">
                  <w:pPr>
                    <w:pStyle w:val="61"/>
                    <w:rPr>
                      <w:sz w:val="21"/>
                    </w:rPr>
                  </w:pPr>
                </w:p>
              </w:tc>
              <w:tc>
                <w:tcPr>
                  <w:tcW w:w="678" w:type="pct"/>
                  <w:vAlign w:val="center"/>
                </w:tcPr>
                <w:p w14:paraId="465C82BD">
                  <w:pPr>
                    <w:pStyle w:val="61"/>
                    <w:rPr>
                      <w:sz w:val="21"/>
                    </w:rPr>
                  </w:pPr>
                  <w:r>
                    <w:rPr>
                      <w:sz w:val="21"/>
                    </w:rPr>
                    <w:t>噪声治理</w:t>
                  </w:r>
                </w:p>
              </w:tc>
              <w:tc>
                <w:tcPr>
                  <w:tcW w:w="3657" w:type="pct"/>
                  <w:vAlign w:val="center"/>
                </w:tcPr>
                <w:p w14:paraId="5380EF2A">
                  <w:pPr>
                    <w:pStyle w:val="61"/>
                    <w:tabs>
                      <w:tab w:val="left" w:pos="3360"/>
                    </w:tabs>
                    <w:rPr>
                      <w:sz w:val="21"/>
                    </w:rPr>
                  </w:pPr>
                  <w:r>
                    <w:rPr>
                      <w:sz w:val="21"/>
                    </w:rPr>
                    <w:t>选用低噪声设备、基础减振，建筑隔声</w:t>
                  </w:r>
                </w:p>
              </w:tc>
            </w:tr>
            <w:tr w14:paraId="1FFF0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70DBF693">
                  <w:pPr>
                    <w:pStyle w:val="61"/>
                    <w:rPr>
                      <w:sz w:val="21"/>
                    </w:rPr>
                  </w:pPr>
                </w:p>
              </w:tc>
              <w:tc>
                <w:tcPr>
                  <w:tcW w:w="678" w:type="pct"/>
                  <w:vMerge w:val="restart"/>
                  <w:vAlign w:val="center"/>
                </w:tcPr>
                <w:p w14:paraId="1D77CF52">
                  <w:pPr>
                    <w:pStyle w:val="61"/>
                    <w:rPr>
                      <w:sz w:val="21"/>
                    </w:rPr>
                  </w:pPr>
                  <w:r>
                    <w:rPr>
                      <w:sz w:val="21"/>
                    </w:rPr>
                    <w:t>固废治理</w:t>
                  </w:r>
                </w:p>
              </w:tc>
              <w:tc>
                <w:tcPr>
                  <w:tcW w:w="3657" w:type="pct"/>
                  <w:vAlign w:val="center"/>
                </w:tcPr>
                <w:p w14:paraId="163E3602">
                  <w:pPr>
                    <w:pStyle w:val="5"/>
                    <w:spacing w:after="0"/>
                    <w:ind w:left="0" w:leftChars="0"/>
                    <w:jc w:val="center"/>
                    <w:rPr>
                      <w:sz w:val="21"/>
                      <w:szCs w:val="21"/>
                    </w:rPr>
                  </w:pPr>
                  <w:r>
                    <w:rPr>
                      <w:rFonts w:hint="eastAsia"/>
                      <w:sz w:val="21"/>
                      <w:szCs w:val="21"/>
                    </w:rPr>
                    <w:t>除尘器收集尘、沉降尘</w:t>
                  </w:r>
                  <w:r>
                    <w:rPr>
                      <w:sz w:val="21"/>
                      <w:szCs w:val="21"/>
                    </w:rPr>
                    <w:t>：</w:t>
                  </w:r>
                  <w:r>
                    <w:rPr>
                      <w:rFonts w:hint="eastAsia"/>
                      <w:sz w:val="21"/>
                      <w:szCs w:val="21"/>
                    </w:rPr>
                    <w:t>外售综合利用</w:t>
                  </w:r>
                </w:p>
              </w:tc>
            </w:tr>
            <w:tr w14:paraId="2D633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3DA9E3AC">
                  <w:pPr>
                    <w:pStyle w:val="61"/>
                    <w:rPr>
                      <w:sz w:val="21"/>
                    </w:rPr>
                  </w:pPr>
                </w:p>
              </w:tc>
              <w:tc>
                <w:tcPr>
                  <w:tcW w:w="678" w:type="pct"/>
                  <w:vMerge w:val="continue"/>
                  <w:vAlign w:val="center"/>
                </w:tcPr>
                <w:p w14:paraId="7AFD7759">
                  <w:pPr>
                    <w:pStyle w:val="61"/>
                    <w:rPr>
                      <w:sz w:val="21"/>
                    </w:rPr>
                  </w:pPr>
                </w:p>
              </w:tc>
              <w:tc>
                <w:tcPr>
                  <w:tcW w:w="3657" w:type="pct"/>
                  <w:vAlign w:val="center"/>
                </w:tcPr>
                <w:p w14:paraId="4C394104">
                  <w:pPr>
                    <w:pStyle w:val="5"/>
                    <w:spacing w:after="0"/>
                    <w:ind w:left="0" w:leftChars="0"/>
                    <w:jc w:val="center"/>
                    <w:rPr>
                      <w:sz w:val="21"/>
                      <w:szCs w:val="21"/>
                    </w:rPr>
                  </w:pPr>
                  <w:r>
                    <w:rPr>
                      <w:rFonts w:hint="eastAsia"/>
                      <w:sz w:val="21"/>
                      <w:szCs w:val="21"/>
                    </w:rPr>
                    <w:t>清筛杂质</w:t>
                  </w:r>
                  <w:r>
                    <w:rPr>
                      <w:sz w:val="21"/>
                      <w:szCs w:val="21"/>
                    </w:rPr>
                    <w:t>：</w:t>
                  </w:r>
                  <w:r>
                    <w:rPr>
                      <w:rFonts w:hint="eastAsia"/>
                      <w:sz w:val="21"/>
                      <w:szCs w:val="21"/>
                    </w:rPr>
                    <w:t>收集后交环卫部门统一清运处理</w:t>
                  </w:r>
                </w:p>
              </w:tc>
            </w:tr>
            <w:tr w14:paraId="236118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628D3D44">
                  <w:pPr>
                    <w:pStyle w:val="61"/>
                    <w:rPr>
                      <w:sz w:val="21"/>
                    </w:rPr>
                  </w:pPr>
                </w:p>
              </w:tc>
              <w:tc>
                <w:tcPr>
                  <w:tcW w:w="678" w:type="pct"/>
                  <w:vMerge w:val="continue"/>
                  <w:vAlign w:val="center"/>
                </w:tcPr>
                <w:p w14:paraId="3F8C1867">
                  <w:pPr>
                    <w:pStyle w:val="61"/>
                    <w:rPr>
                      <w:sz w:val="21"/>
                    </w:rPr>
                  </w:pPr>
                </w:p>
              </w:tc>
              <w:tc>
                <w:tcPr>
                  <w:tcW w:w="3657" w:type="pct"/>
                  <w:vAlign w:val="center"/>
                </w:tcPr>
                <w:p w14:paraId="2EE4201E">
                  <w:pPr>
                    <w:pStyle w:val="5"/>
                    <w:spacing w:after="0"/>
                    <w:ind w:left="0" w:leftChars="0"/>
                    <w:jc w:val="center"/>
                    <w:rPr>
                      <w:sz w:val="21"/>
                      <w:szCs w:val="21"/>
                    </w:rPr>
                  </w:pPr>
                  <w:r>
                    <w:rPr>
                      <w:rFonts w:hint="eastAsia"/>
                      <w:sz w:val="21"/>
                      <w:szCs w:val="21"/>
                    </w:rPr>
                    <w:t>废旧布袋</w:t>
                  </w:r>
                  <w:r>
                    <w:rPr>
                      <w:sz w:val="21"/>
                      <w:szCs w:val="21"/>
                    </w:rPr>
                    <w:t>：</w:t>
                  </w:r>
                  <w:r>
                    <w:rPr>
                      <w:rFonts w:hint="eastAsia"/>
                      <w:sz w:val="21"/>
                      <w:szCs w:val="21"/>
                    </w:rPr>
                    <w:t>交由厂家回收处理</w:t>
                  </w:r>
                </w:p>
              </w:tc>
            </w:tr>
            <w:tr w14:paraId="5718C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2EEB1BE4">
                  <w:pPr>
                    <w:pStyle w:val="61"/>
                    <w:rPr>
                      <w:sz w:val="21"/>
                    </w:rPr>
                  </w:pPr>
                </w:p>
              </w:tc>
              <w:tc>
                <w:tcPr>
                  <w:tcW w:w="678" w:type="pct"/>
                  <w:vMerge w:val="continue"/>
                  <w:vAlign w:val="center"/>
                </w:tcPr>
                <w:p w14:paraId="5632F7EE">
                  <w:pPr>
                    <w:pStyle w:val="61"/>
                    <w:rPr>
                      <w:sz w:val="21"/>
                    </w:rPr>
                  </w:pPr>
                </w:p>
              </w:tc>
              <w:tc>
                <w:tcPr>
                  <w:tcW w:w="3657" w:type="pct"/>
                  <w:vAlign w:val="center"/>
                </w:tcPr>
                <w:p w14:paraId="39193FE4">
                  <w:pPr>
                    <w:pStyle w:val="5"/>
                    <w:spacing w:after="0"/>
                    <w:ind w:left="0" w:leftChars="0"/>
                    <w:jc w:val="center"/>
                    <w:rPr>
                      <w:sz w:val="21"/>
                      <w:szCs w:val="21"/>
                    </w:rPr>
                  </w:pPr>
                  <w:r>
                    <w:rPr>
                      <w:rFonts w:hint="eastAsia"/>
                      <w:sz w:val="21"/>
                      <w:szCs w:val="21"/>
                    </w:rPr>
                    <w:t>废试剂瓶等实验用品、实验废液、熏蒸药剂使用后的残渣、废矿物油、废油桶等危险废物</w:t>
                  </w:r>
                  <w:r>
                    <w:rPr>
                      <w:sz w:val="21"/>
                      <w:szCs w:val="21"/>
                    </w:rPr>
                    <w:t>：经收集后交由有</w:t>
                  </w:r>
                  <w:r>
                    <w:rPr>
                      <w:rFonts w:hint="eastAsia"/>
                      <w:sz w:val="21"/>
                      <w:szCs w:val="21"/>
                    </w:rPr>
                    <w:t>危废</w:t>
                  </w:r>
                  <w:r>
                    <w:rPr>
                      <w:sz w:val="21"/>
                      <w:szCs w:val="21"/>
                    </w:rPr>
                    <w:t>资质的单位</w:t>
                  </w:r>
                  <w:r>
                    <w:rPr>
                      <w:rFonts w:hint="eastAsia"/>
                      <w:sz w:val="21"/>
                      <w:szCs w:val="21"/>
                    </w:rPr>
                    <w:t>代为</w:t>
                  </w:r>
                  <w:r>
                    <w:rPr>
                      <w:sz w:val="21"/>
                      <w:szCs w:val="21"/>
                    </w:rPr>
                    <w:t>处置，不在厂内暂存</w:t>
                  </w:r>
                </w:p>
              </w:tc>
            </w:tr>
            <w:tr w14:paraId="7D844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5" w:type="pct"/>
                  <w:vMerge w:val="continue"/>
                  <w:vAlign w:val="center"/>
                </w:tcPr>
                <w:p w14:paraId="4BC3A05B">
                  <w:pPr>
                    <w:pStyle w:val="61"/>
                    <w:rPr>
                      <w:sz w:val="21"/>
                    </w:rPr>
                  </w:pPr>
                </w:p>
              </w:tc>
              <w:tc>
                <w:tcPr>
                  <w:tcW w:w="678" w:type="pct"/>
                  <w:vMerge w:val="continue"/>
                  <w:vAlign w:val="center"/>
                </w:tcPr>
                <w:p w14:paraId="7DB1B6B1">
                  <w:pPr>
                    <w:pStyle w:val="61"/>
                    <w:rPr>
                      <w:sz w:val="21"/>
                    </w:rPr>
                  </w:pPr>
                </w:p>
              </w:tc>
              <w:tc>
                <w:tcPr>
                  <w:tcW w:w="3657" w:type="pct"/>
                  <w:vAlign w:val="center"/>
                </w:tcPr>
                <w:p w14:paraId="7286C976">
                  <w:pPr>
                    <w:pStyle w:val="5"/>
                    <w:spacing w:after="0"/>
                    <w:ind w:left="0" w:leftChars="0"/>
                    <w:jc w:val="center"/>
                    <w:rPr>
                      <w:sz w:val="21"/>
                      <w:szCs w:val="21"/>
                    </w:rPr>
                  </w:pPr>
                  <w:r>
                    <w:rPr>
                      <w:sz w:val="21"/>
                      <w:szCs w:val="21"/>
                    </w:rPr>
                    <w:t>生活垃圾：收集后交由当地环卫部门统一清运</w:t>
                  </w:r>
                </w:p>
              </w:tc>
            </w:tr>
          </w:tbl>
          <w:p w14:paraId="26ABFA61">
            <w:pPr>
              <w:autoSpaceDE w:val="0"/>
              <w:autoSpaceDN w:val="0"/>
              <w:adjustRightInd w:val="0"/>
              <w:spacing w:line="360" w:lineRule="auto"/>
              <w:ind w:firstLine="482" w:firstLineChars="200"/>
              <w:rPr>
                <w:b/>
                <w:kern w:val="0"/>
                <w:sz w:val="24"/>
                <w:szCs w:val="21"/>
              </w:rPr>
            </w:pPr>
            <w:r>
              <w:rPr>
                <w:rFonts w:hint="eastAsia"/>
                <w:b/>
                <w:kern w:val="0"/>
                <w:sz w:val="24"/>
                <w:szCs w:val="21"/>
              </w:rPr>
              <w:t>三、现有工程工艺流程图</w:t>
            </w:r>
          </w:p>
          <w:p w14:paraId="0F0921E7">
            <w:pPr>
              <w:adjustRightInd w:val="0"/>
              <w:snapToGrid w:val="0"/>
              <w:spacing w:line="360" w:lineRule="auto"/>
              <w:ind w:firstLine="480" w:firstLineChars="200"/>
              <w:rPr>
                <w:rFonts w:hAnsiTheme="minorEastAsia" w:eastAsiaTheme="minorEastAsia"/>
                <w:bCs/>
                <w:kern w:val="0"/>
                <w:sz w:val="24"/>
              </w:rPr>
            </w:pPr>
            <w:r>
              <w:rPr>
                <w:rFonts w:hint="eastAsia" w:hAnsiTheme="minorEastAsia" w:eastAsiaTheme="minorEastAsia"/>
                <w:bCs/>
                <w:kern w:val="0"/>
                <w:sz w:val="24"/>
              </w:rPr>
              <w:t>现有工程平方仓粮食储存工艺</w:t>
            </w:r>
            <w:r>
              <w:rPr>
                <w:rFonts w:hAnsiTheme="minorEastAsia" w:eastAsiaTheme="minorEastAsia"/>
                <w:bCs/>
                <w:kern w:val="0"/>
                <w:sz w:val="24"/>
              </w:rPr>
              <w:t>流程及产污环节详见图</w:t>
            </w:r>
            <w:r>
              <w:rPr>
                <w:rFonts w:eastAsiaTheme="minorEastAsia"/>
                <w:bCs/>
                <w:kern w:val="0"/>
                <w:sz w:val="24"/>
              </w:rPr>
              <w:t>2-</w:t>
            </w:r>
            <w:r>
              <w:rPr>
                <w:rFonts w:hint="eastAsia" w:eastAsiaTheme="minorEastAsia"/>
                <w:bCs/>
                <w:kern w:val="0"/>
                <w:sz w:val="24"/>
              </w:rPr>
              <w:t>3</w:t>
            </w:r>
            <w:r>
              <w:rPr>
                <w:rFonts w:hAnsiTheme="minorEastAsia" w:eastAsiaTheme="minorEastAsia"/>
                <w:bCs/>
                <w:kern w:val="0"/>
                <w:sz w:val="24"/>
              </w:rPr>
              <w:t>。</w:t>
            </w:r>
          </w:p>
          <w:p w14:paraId="30907944">
            <w:pPr>
              <w:pStyle w:val="2"/>
              <w:jc w:val="center"/>
              <w:rPr>
                <w:rFonts w:ascii="Times New Roman" w:cs="Times New Roman"/>
                <w:b/>
                <w:bCs/>
                <w:color w:val="auto"/>
                <w:szCs w:val="32"/>
              </w:rPr>
            </w:pPr>
            <w:r>
              <w:rPr>
                <w:rFonts w:hint="eastAsia" w:ascii="Times New Roman" w:cs="Times New Roman"/>
                <w:b/>
                <w:bCs/>
                <w:color w:val="auto"/>
                <w:szCs w:val="32"/>
              </w:rPr>
              <w:object>
                <v:shape id="_x0000_i1026" o:spt="75" type="#_x0000_t75" style="height:125.25pt;width:426.75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14:paraId="48B6A93E">
            <w:pPr>
              <w:widowControl/>
              <w:spacing w:line="360" w:lineRule="auto"/>
              <w:ind w:firstLine="422" w:firstLineChars="200"/>
              <w:jc w:val="center"/>
              <w:rPr>
                <w:b/>
                <w:szCs w:val="21"/>
              </w:rPr>
            </w:pPr>
            <w:r>
              <w:rPr>
                <w:rFonts w:hint="eastAsia"/>
                <w:b/>
                <w:bCs/>
                <w:szCs w:val="21"/>
              </w:rPr>
              <w:t>图2-3  现有工程运营期平方仓粮食储存工艺流程及产污节点示意图</w:t>
            </w:r>
          </w:p>
          <w:p w14:paraId="286A03AE">
            <w:pPr>
              <w:widowControl/>
              <w:spacing w:line="360" w:lineRule="auto"/>
              <w:ind w:firstLine="470" w:firstLineChars="200"/>
              <w:jc w:val="left"/>
              <w:rPr>
                <w:b/>
                <w:spacing w:val="-3"/>
                <w:sz w:val="24"/>
              </w:rPr>
            </w:pPr>
            <w:r>
              <w:rPr>
                <w:rFonts w:hint="eastAsia"/>
                <w:b/>
                <w:spacing w:val="-3"/>
                <w:sz w:val="24"/>
              </w:rPr>
              <w:t>工艺流程说明：</w:t>
            </w:r>
          </w:p>
          <w:p w14:paraId="15E39CB4">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（1）散粮：汽车运输来散粮。</w:t>
            </w:r>
          </w:p>
          <w:p w14:paraId="07CB233E">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（2）取样检验：在运来的散粮中取样进行检验；</w:t>
            </w:r>
          </w:p>
          <w:p w14:paraId="53A62079">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（3）称重：检验合格后，车辆进入汽车衡进行称重；</w:t>
            </w:r>
          </w:p>
          <w:p w14:paraId="3535C198">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（4）输送：将车上的散粮倒入移动式胶带输送机，输送过程为密闭状态，无废气产生。产污环节：N噪声；</w:t>
            </w:r>
          </w:p>
          <w:p w14:paraId="0FF1EEF4">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（5）清理：通过胶带运输的散粮进入移动式清理筛，筛分出散粮中的沙粒、灰土等杂质。清理后部分需进仓存储的粮食进行装仓，不需进仓存储的粮食直接进入扒谷工序。产污环节：G1清理废气、N噪声、S1</w:t>
            </w:r>
            <w:r>
              <w:rPr>
                <w:rFonts w:hint="eastAsia" w:ascii="Times New Roman" w:hAnsi="Times New Roman" w:cs="Times New Roman" w:eastAsiaTheme="minorEastAsia"/>
                <w:kern w:val="0"/>
                <w:sz w:val="24"/>
                <w:szCs w:val="24"/>
                <w:lang w:eastAsia="zh-CN" w:bidi="ar"/>
              </w:rPr>
              <w:t>粮食清理</w:t>
            </w:r>
            <w:r>
              <w:rPr>
                <w:rFonts w:ascii="Times New Roman" w:hAnsi="Times New Roman" w:cs="Times New Roman" w:eastAsiaTheme="minorEastAsia"/>
                <w:kern w:val="0"/>
                <w:sz w:val="24"/>
                <w:szCs w:val="24"/>
                <w:lang w:eastAsia="zh-CN" w:bidi="ar"/>
              </w:rPr>
              <w:t>杂质、S2除尘器收集粉尘；</w:t>
            </w:r>
          </w:p>
          <w:p w14:paraId="3A67FC0B">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6）装仓：正常进粮作业为通过清筛的散粮经移动式液压装仓机装入仓内，以使粮食堆高达到钢结构仓房及散粮平方仓设计存放高度，完成进仓作业。补仓作业为为通过清筛的散粮经移动式补仓机装入仓内，以使粮食堆高达到钢结构仓房及散粮平方仓设计存放高度，完成补仓作业。产污环节：N噪声；</w:t>
            </w:r>
          </w:p>
          <w:p w14:paraId="5B190363">
            <w:pPr>
              <w:pStyle w:val="103"/>
              <w:spacing w:line="360" w:lineRule="auto"/>
              <w:ind w:firstLine="480" w:firstLineChars="200"/>
              <w:rPr>
                <w:rFonts w:ascii="Times New Roman" w:hAnsi="Times New Roman" w:cs="Times New Roman" w:eastAsiaTheme="minorEastAsia"/>
                <w:kern w:val="0"/>
                <w:sz w:val="24"/>
                <w:szCs w:val="24"/>
                <w:lang w:eastAsia="zh-CN" w:bidi="ar"/>
              </w:rPr>
            </w:pPr>
            <w:r>
              <w:rPr>
                <w:rFonts w:ascii="Times New Roman" w:hAnsi="Times New Roman" w:cs="Times New Roman" w:eastAsiaTheme="minorEastAsia"/>
                <w:kern w:val="0"/>
                <w:sz w:val="24"/>
                <w:szCs w:val="24"/>
                <w:lang w:eastAsia="zh-CN" w:bidi="ar"/>
              </w:rPr>
              <w:t>（7）熏蒸：平房仓熏蒸系统采用固定式环流熏蒸形式，主要由施药装置、环流装置和磷化氢检测装置三部分组成。施药时先将专用托盘放置在密封钢板仓及平房仓中，密闭仓内通风口后，再磷化铝片剂放入专用托盘摊平放置，磷化铝片剂与仓中空气发生潮解生成磷化氢熏蒸气体，磷化氢熏蒸气体通过设在仓中檐墙的环流管道，使熏蒸气体通过粮堆后形成循环，以促进磷化氢以一定的浓度在粮堆中的均匀分布，达到杀虫的目的，同时可以减少熏蒸剂的用量及外泄量，达到节约及环保的目的。产污环节：G2熏蒸废气、S3磷化氢反应器残渣。</w:t>
            </w:r>
          </w:p>
          <w:p w14:paraId="3CE90A5F">
            <w:pPr>
              <w:pStyle w:val="99"/>
              <w:wordWrap/>
              <w:snapToGrid w:val="0"/>
              <w:ind w:firstLine="480"/>
              <w:rPr>
                <w:spacing w:val="-3"/>
              </w:rPr>
            </w:pPr>
            <w:r>
              <w:rPr>
                <w:rFonts w:eastAsiaTheme="minorEastAsia"/>
                <w:szCs w:val="24"/>
                <w:lang w:bidi="ar"/>
              </w:rPr>
              <w:t>（8）扒谷：出仓后的粮食以及不需进仓存储的粮食经扒谷机扒谷处理后经移动式胶带输送机装车，装车后经汽车衡进行称重后直接汽运出厂</w:t>
            </w:r>
            <w:r>
              <w:rPr>
                <w:rFonts w:hint="eastAsia"/>
                <w:spacing w:val="-3"/>
              </w:rPr>
              <w:t>。</w:t>
            </w:r>
          </w:p>
          <w:p w14:paraId="42FAAF4B">
            <w:pPr>
              <w:autoSpaceDE w:val="0"/>
              <w:autoSpaceDN w:val="0"/>
              <w:adjustRightInd w:val="0"/>
              <w:spacing w:line="360" w:lineRule="auto"/>
              <w:ind w:firstLine="482" w:firstLineChars="200"/>
              <w:rPr>
                <w:b/>
                <w:kern w:val="0"/>
                <w:sz w:val="24"/>
                <w:szCs w:val="21"/>
              </w:rPr>
            </w:pPr>
            <w:r>
              <w:rPr>
                <w:rFonts w:hint="eastAsia"/>
                <w:b/>
                <w:kern w:val="0"/>
                <w:sz w:val="24"/>
                <w:szCs w:val="21"/>
              </w:rPr>
              <w:t>四、现有工程污染防治措施及达标分析</w:t>
            </w:r>
          </w:p>
          <w:p w14:paraId="4CCB2EAB">
            <w:pPr>
              <w:autoSpaceDE w:val="0"/>
              <w:autoSpaceDN w:val="0"/>
              <w:adjustRightInd w:val="0"/>
              <w:spacing w:line="360" w:lineRule="auto"/>
              <w:ind w:firstLine="480" w:firstLineChars="200"/>
              <w:rPr>
                <w:kern w:val="0"/>
                <w:sz w:val="24"/>
                <w:szCs w:val="21"/>
              </w:rPr>
            </w:pPr>
            <w:r>
              <w:rPr>
                <w:rFonts w:hint="eastAsia"/>
                <w:kern w:val="0"/>
                <w:sz w:val="24"/>
                <w:szCs w:val="21"/>
              </w:rPr>
              <w:t>现有工程产生的污染物主要为生活污水、生产废气、机械噪声、生活垃圾、筛分杂物、收集尘、废布袋、沉降粉尘、废</w:t>
            </w:r>
            <w:r>
              <w:rPr>
                <w:rFonts w:eastAsiaTheme="minorEastAsia"/>
                <w:sz w:val="24"/>
              </w:rPr>
              <w:t>润滑油、实验废液</w:t>
            </w:r>
            <w:r>
              <w:rPr>
                <w:rFonts w:hint="eastAsia"/>
                <w:kern w:val="0"/>
                <w:sz w:val="24"/>
                <w:szCs w:val="21"/>
              </w:rPr>
              <w:t>等。</w:t>
            </w:r>
          </w:p>
          <w:p w14:paraId="39C81968">
            <w:pPr>
              <w:autoSpaceDE w:val="0"/>
              <w:autoSpaceDN w:val="0"/>
              <w:adjustRightInd w:val="0"/>
              <w:spacing w:line="360" w:lineRule="auto"/>
              <w:ind w:firstLine="482" w:firstLineChars="200"/>
              <w:rPr>
                <w:b/>
                <w:kern w:val="0"/>
                <w:sz w:val="24"/>
                <w:szCs w:val="21"/>
              </w:rPr>
            </w:pPr>
            <w:r>
              <w:rPr>
                <w:rFonts w:hint="eastAsia"/>
                <w:b/>
                <w:kern w:val="0"/>
                <w:sz w:val="24"/>
                <w:szCs w:val="21"/>
              </w:rPr>
              <w:t>1、废气</w:t>
            </w:r>
          </w:p>
          <w:p w14:paraId="67F2C3B1">
            <w:pPr>
              <w:autoSpaceDE w:val="0"/>
              <w:autoSpaceDN w:val="0"/>
              <w:adjustRightInd w:val="0"/>
              <w:spacing w:line="360" w:lineRule="auto"/>
              <w:ind w:firstLine="480" w:firstLineChars="200"/>
              <w:rPr>
                <w:kern w:val="0"/>
                <w:sz w:val="24"/>
                <w:szCs w:val="21"/>
              </w:rPr>
            </w:pPr>
            <w:r>
              <w:rPr>
                <w:rFonts w:hint="eastAsia"/>
                <w:kern w:val="0"/>
                <w:sz w:val="24"/>
                <w:szCs w:val="21"/>
              </w:rPr>
              <w:t>现有项目装卸在密闭平房仓内进行，装卸粉尘中采取降低装卸落差后无组织排放，排放量约为0.5t/a；输送时控制输送速度、采取密闭输送，粉尘产生量少；清理筛分采用封闭式清筛设备，粉尘经设备自带除尘器处理后无组织排放，排放量约为0.165t/a，厂界颗粒物满足《大气污染物综合排放标准》（GB16297-1996）表2中二级排放标准无组织排放监控浓度。</w:t>
            </w:r>
          </w:p>
          <w:p w14:paraId="29705404">
            <w:pPr>
              <w:autoSpaceDE w:val="0"/>
              <w:autoSpaceDN w:val="0"/>
              <w:adjustRightInd w:val="0"/>
              <w:spacing w:line="360" w:lineRule="auto"/>
              <w:ind w:firstLine="482" w:firstLineChars="200"/>
              <w:rPr>
                <w:b/>
                <w:kern w:val="0"/>
                <w:sz w:val="24"/>
                <w:szCs w:val="21"/>
              </w:rPr>
            </w:pPr>
            <w:r>
              <w:rPr>
                <w:rFonts w:hint="eastAsia"/>
                <w:b/>
                <w:kern w:val="0"/>
                <w:sz w:val="24"/>
                <w:szCs w:val="21"/>
              </w:rPr>
              <w:t>2、废水</w:t>
            </w:r>
          </w:p>
          <w:p w14:paraId="13ED631D">
            <w:pPr>
              <w:autoSpaceDE w:val="0"/>
              <w:autoSpaceDN w:val="0"/>
              <w:adjustRightInd w:val="0"/>
              <w:spacing w:line="360" w:lineRule="auto"/>
              <w:ind w:firstLine="480" w:firstLineChars="200"/>
              <w:rPr>
                <w:kern w:val="0"/>
                <w:sz w:val="24"/>
                <w:szCs w:val="21"/>
              </w:rPr>
            </w:pPr>
            <w:r>
              <w:rPr>
                <w:rFonts w:hint="eastAsia"/>
                <w:kern w:val="0"/>
                <w:sz w:val="24"/>
                <w:szCs w:val="21"/>
              </w:rPr>
              <w:t>生活污水（345.6</w:t>
            </w:r>
            <w:r>
              <w:rPr>
                <w:kern w:val="0"/>
                <w:sz w:val="24"/>
                <w:szCs w:val="21"/>
              </w:rPr>
              <w:t>m</w:t>
            </w:r>
            <w:r>
              <w:rPr>
                <w:kern w:val="0"/>
                <w:sz w:val="24"/>
                <w:szCs w:val="21"/>
                <w:vertAlign w:val="superscript"/>
              </w:rPr>
              <w:t>3</w:t>
            </w:r>
            <w:r>
              <w:rPr>
                <w:kern w:val="0"/>
                <w:sz w:val="24"/>
                <w:szCs w:val="21"/>
              </w:rPr>
              <w:t>/a</w:t>
            </w:r>
            <w:r>
              <w:rPr>
                <w:rFonts w:hint="eastAsia"/>
                <w:kern w:val="0"/>
                <w:sz w:val="24"/>
                <w:szCs w:val="21"/>
              </w:rPr>
              <w:t>）经化粪池处理后排入市政污水管网，纳入白果镇污水处理厂深度处理后排入涓水。</w:t>
            </w:r>
          </w:p>
          <w:p w14:paraId="4939B13B">
            <w:pPr>
              <w:autoSpaceDE w:val="0"/>
              <w:autoSpaceDN w:val="0"/>
              <w:adjustRightInd w:val="0"/>
              <w:spacing w:line="360" w:lineRule="auto"/>
              <w:ind w:firstLine="482" w:firstLineChars="200"/>
              <w:rPr>
                <w:b/>
                <w:kern w:val="0"/>
                <w:sz w:val="24"/>
                <w:szCs w:val="21"/>
              </w:rPr>
            </w:pPr>
            <w:r>
              <w:rPr>
                <w:rFonts w:hint="eastAsia"/>
                <w:b/>
                <w:kern w:val="0"/>
                <w:sz w:val="24"/>
                <w:szCs w:val="21"/>
              </w:rPr>
              <w:t>3、噪声</w:t>
            </w:r>
          </w:p>
          <w:p w14:paraId="2D6CE6B1">
            <w:pPr>
              <w:autoSpaceDE w:val="0"/>
              <w:autoSpaceDN w:val="0"/>
              <w:adjustRightInd w:val="0"/>
              <w:spacing w:line="360" w:lineRule="auto"/>
              <w:ind w:firstLine="480" w:firstLineChars="200"/>
              <w:rPr>
                <w:rFonts w:eastAsiaTheme="minorEastAsia"/>
                <w:sz w:val="24"/>
              </w:rPr>
            </w:pPr>
            <w:r>
              <w:rPr>
                <w:rFonts w:hint="eastAsia" w:eastAsiaTheme="minorEastAsia"/>
                <w:sz w:val="24"/>
              </w:rPr>
              <w:t>项目噪声设备置于室内，经合理布置、墙壁隔声、距离衰减后，厂界噪声能达标排放，对周围环境影响较小，满足《工业企业厂界环境噪声排放标准》（</w:t>
            </w:r>
            <w:r>
              <w:rPr>
                <w:rFonts w:eastAsiaTheme="minorEastAsia"/>
                <w:sz w:val="24"/>
              </w:rPr>
              <w:t>GB12348-2008</w:t>
            </w:r>
            <w:r>
              <w:rPr>
                <w:rFonts w:hint="eastAsia" w:eastAsiaTheme="minorEastAsia"/>
                <w:sz w:val="24"/>
              </w:rPr>
              <w:t>）2、4类标准限值要求。</w:t>
            </w:r>
          </w:p>
          <w:p w14:paraId="40E599A3">
            <w:pPr>
              <w:autoSpaceDE w:val="0"/>
              <w:autoSpaceDN w:val="0"/>
              <w:adjustRightInd w:val="0"/>
              <w:spacing w:line="360" w:lineRule="auto"/>
              <w:ind w:firstLine="482" w:firstLineChars="200"/>
              <w:rPr>
                <w:b/>
                <w:kern w:val="0"/>
                <w:sz w:val="24"/>
                <w:szCs w:val="21"/>
              </w:rPr>
            </w:pPr>
            <w:r>
              <w:rPr>
                <w:rFonts w:hint="eastAsia"/>
                <w:b/>
                <w:kern w:val="0"/>
                <w:sz w:val="24"/>
                <w:szCs w:val="21"/>
              </w:rPr>
              <w:t>4、固体废物</w:t>
            </w:r>
          </w:p>
          <w:p w14:paraId="08A99BA9">
            <w:pPr>
              <w:autoSpaceDE w:val="0"/>
              <w:autoSpaceDN w:val="0"/>
              <w:adjustRightInd w:val="0"/>
              <w:spacing w:line="360" w:lineRule="auto"/>
              <w:ind w:firstLine="480" w:firstLineChars="200"/>
              <w:rPr>
                <w:rFonts w:eastAsiaTheme="minorEastAsia"/>
                <w:sz w:val="24"/>
              </w:rPr>
            </w:pPr>
            <w:r>
              <w:rPr>
                <w:rFonts w:eastAsiaTheme="minorEastAsia"/>
                <w:sz w:val="24"/>
              </w:rPr>
              <w:t>（1）危险废物</w:t>
            </w:r>
          </w:p>
          <w:p w14:paraId="2EB30E31">
            <w:pPr>
              <w:autoSpaceDE w:val="0"/>
              <w:autoSpaceDN w:val="0"/>
              <w:adjustRightInd w:val="0"/>
              <w:spacing w:line="360" w:lineRule="auto"/>
              <w:ind w:firstLine="480" w:firstLineChars="200"/>
              <w:rPr>
                <w:rFonts w:eastAsiaTheme="minorEastAsia"/>
                <w:sz w:val="24"/>
              </w:rPr>
            </w:pPr>
            <w:r>
              <w:rPr>
                <w:rFonts w:hint="eastAsia" w:eastAsiaTheme="minorEastAsia"/>
                <w:sz w:val="24"/>
              </w:rPr>
              <w:t>现有工程产生的</w:t>
            </w:r>
            <w:r>
              <w:rPr>
                <w:rFonts w:eastAsiaTheme="minorEastAsia"/>
                <w:sz w:val="24"/>
              </w:rPr>
              <w:t>危险废物主要为</w:t>
            </w:r>
            <w:r>
              <w:rPr>
                <w:rFonts w:hint="eastAsia" w:eastAsiaTheme="minorEastAsia"/>
                <w:sz w:val="24"/>
              </w:rPr>
              <w:t>废试剂瓶等实验用品（0.001t/a）、实验废液（0.1t/a）、熏蒸药剂使用后的残渣（0.03t/a）、废矿物油（0.02t/a）和废油桶（0.01t/a）、废含油抹布手套及抹布（0.01t/a）</w:t>
            </w:r>
            <w:r>
              <w:rPr>
                <w:rFonts w:eastAsiaTheme="minorEastAsia"/>
                <w:sz w:val="24"/>
              </w:rPr>
              <w:t>。目前设置一个仓库储存各类固废，暂未单独设置危废暂存间，不符合环保管理要求。</w:t>
            </w:r>
          </w:p>
          <w:p w14:paraId="1A451566">
            <w:pPr>
              <w:autoSpaceDE w:val="0"/>
              <w:autoSpaceDN w:val="0"/>
              <w:adjustRightInd w:val="0"/>
              <w:spacing w:line="360" w:lineRule="auto"/>
              <w:ind w:firstLine="480" w:firstLineChars="200"/>
              <w:rPr>
                <w:rFonts w:eastAsiaTheme="minorEastAsia"/>
                <w:sz w:val="24"/>
              </w:rPr>
            </w:pPr>
            <w:r>
              <w:rPr>
                <w:rFonts w:eastAsiaTheme="minorEastAsia"/>
                <w:sz w:val="24"/>
              </w:rPr>
              <w:t>（2）一般固废</w:t>
            </w:r>
          </w:p>
          <w:p w14:paraId="54C9852B">
            <w:pPr>
              <w:autoSpaceDE w:val="0"/>
              <w:autoSpaceDN w:val="0"/>
              <w:adjustRightInd w:val="0"/>
              <w:spacing w:line="360" w:lineRule="auto"/>
              <w:ind w:firstLine="480" w:firstLineChars="200"/>
              <w:rPr>
                <w:rFonts w:eastAsiaTheme="minorEastAsia"/>
                <w:sz w:val="24"/>
              </w:rPr>
            </w:pPr>
            <w:r>
              <w:rPr>
                <w:rFonts w:hint="eastAsia" w:eastAsiaTheme="minorEastAsia"/>
                <w:sz w:val="24"/>
              </w:rPr>
              <w:t>除尘器收集尘</w:t>
            </w:r>
            <w:r>
              <w:rPr>
                <w:rFonts w:eastAsiaTheme="minorEastAsia"/>
                <w:sz w:val="24"/>
              </w:rPr>
              <w:t>（</w:t>
            </w:r>
            <w:r>
              <w:rPr>
                <w:rFonts w:hint="eastAsia" w:eastAsiaTheme="minorEastAsia"/>
                <w:sz w:val="24"/>
              </w:rPr>
              <w:t>1.485t/a</w:t>
            </w:r>
            <w:r>
              <w:rPr>
                <w:rFonts w:eastAsiaTheme="minorEastAsia"/>
                <w:sz w:val="24"/>
              </w:rPr>
              <w:t>）</w:t>
            </w:r>
            <w:r>
              <w:rPr>
                <w:rFonts w:hint="eastAsia" w:eastAsiaTheme="minorEastAsia"/>
                <w:sz w:val="24"/>
              </w:rPr>
              <w:t>、</w:t>
            </w:r>
            <w:r>
              <w:rPr>
                <w:rFonts w:eastAsiaTheme="minorEastAsia"/>
                <w:sz w:val="24"/>
              </w:rPr>
              <w:t>沉降粉尘（</w:t>
            </w:r>
            <w:r>
              <w:rPr>
                <w:rFonts w:hint="eastAsia" w:eastAsiaTheme="minorEastAsia"/>
                <w:sz w:val="24"/>
              </w:rPr>
              <w:t>4.6t/a</w:t>
            </w:r>
            <w:r>
              <w:rPr>
                <w:rFonts w:eastAsiaTheme="minorEastAsia"/>
                <w:sz w:val="24"/>
              </w:rPr>
              <w:t>）收集后外售综合利用</w:t>
            </w:r>
            <w:r>
              <w:rPr>
                <w:rFonts w:hint="eastAsia" w:eastAsiaTheme="minorEastAsia"/>
                <w:sz w:val="24"/>
              </w:rPr>
              <w:t>；废布袋（0.05t/a）交厂商回收处理；</w:t>
            </w:r>
            <w:r>
              <w:rPr>
                <w:rFonts w:hint="eastAsia"/>
                <w:kern w:val="0"/>
                <w:sz w:val="24"/>
                <w:szCs w:val="21"/>
              </w:rPr>
              <w:t>清筛杂质</w:t>
            </w:r>
            <w:r>
              <w:rPr>
                <w:rFonts w:hint="eastAsia" w:eastAsiaTheme="minorEastAsia"/>
                <w:sz w:val="24"/>
              </w:rPr>
              <w:t>（165t/a）</w:t>
            </w:r>
            <w:r>
              <w:rPr>
                <w:rFonts w:hint="eastAsia"/>
                <w:kern w:val="0"/>
                <w:sz w:val="24"/>
                <w:szCs w:val="21"/>
              </w:rPr>
              <w:t>收集后交环卫部门统一清运处理</w:t>
            </w:r>
            <w:r>
              <w:rPr>
                <w:rFonts w:eastAsiaTheme="minorEastAsia"/>
                <w:sz w:val="24"/>
              </w:rPr>
              <w:t>；废布袋由厂家回收处理。</w:t>
            </w:r>
          </w:p>
          <w:p w14:paraId="6B680B76">
            <w:pPr>
              <w:autoSpaceDE w:val="0"/>
              <w:autoSpaceDN w:val="0"/>
              <w:adjustRightInd w:val="0"/>
              <w:spacing w:line="360" w:lineRule="auto"/>
              <w:ind w:firstLine="480" w:firstLineChars="200"/>
              <w:rPr>
                <w:rFonts w:eastAsiaTheme="minorEastAsia"/>
                <w:sz w:val="24"/>
              </w:rPr>
            </w:pPr>
            <w:r>
              <w:rPr>
                <w:rFonts w:eastAsiaTheme="minorEastAsia"/>
                <w:sz w:val="24"/>
              </w:rPr>
              <w:t>（3）生活垃圾</w:t>
            </w:r>
          </w:p>
          <w:p w14:paraId="65D35E7E">
            <w:pPr>
              <w:autoSpaceDE w:val="0"/>
              <w:autoSpaceDN w:val="0"/>
              <w:adjustRightInd w:val="0"/>
              <w:spacing w:line="360" w:lineRule="auto"/>
              <w:ind w:firstLine="480" w:firstLineChars="200"/>
              <w:rPr>
                <w:rFonts w:eastAsiaTheme="minorEastAsia"/>
                <w:sz w:val="24"/>
              </w:rPr>
            </w:pPr>
            <w:r>
              <w:rPr>
                <w:rFonts w:eastAsiaTheme="minorEastAsia"/>
                <w:sz w:val="24"/>
              </w:rPr>
              <w:t>目前厂内设置了生活垃圾收集点，生活垃圾（</w:t>
            </w:r>
            <w:r>
              <w:rPr>
                <w:rFonts w:hint="eastAsia" w:eastAsiaTheme="minorEastAsia"/>
                <w:sz w:val="24"/>
              </w:rPr>
              <w:t>2.4t/a</w:t>
            </w:r>
            <w:r>
              <w:rPr>
                <w:rFonts w:eastAsiaTheme="minorEastAsia"/>
                <w:sz w:val="24"/>
              </w:rPr>
              <w:t>）定期</w:t>
            </w:r>
            <w:r>
              <w:rPr>
                <w:rFonts w:hint="eastAsia" w:eastAsiaTheme="minorEastAsia"/>
                <w:sz w:val="24"/>
              </w:rPr>
              <w:t>交由</w:t>
            </w:r>
            <w:r>
              <w:rPr>
                <w:rFonts w:eastAsiaTheme="minorEastAsia"/>
                <w:sz w:val="24"/>
              </w:rPr>
              <w:t>环卫部门清运处理，能满足环保管理要求。</w:t>
            </w:r>
          </w:p>
          <w:p w14:paraId="39446B00">
            <w:pPr>
              <w:autoSpaceDE w:val="0"/>
              <w:autoSpaceDN w:val="0"/>
              <w:adjustRightInd w:val="0"/>
              <w:spacing w:line="360" w:lineRule="auto"/>
              <w:ind w:firstLine="482" w:firstLineChars="200"/>
              <w:rPr>
                <w:b/>
                <w:kern w:val="0"/>
                <w:sz w:val="24"/>
                <w:szCs w:val="21"/>
              </w:rPr>
            </w:pPr>
            <w:r>
              <w:rPr>
                <w:rFonts w:hint="eastAsia"/>
                <w:b/>
                <w:kern w:val="0"/>
                <w:sz w:val="24"/>
                <w:szCs w:val="21"/>
              </w:rPr>
              <w:t>五</w:t>
            </w:r>
            <w:r>
              <w:rPr>
                <w:b/>
                <w:kern w:val="0"/>
                <w:sz w:val="24"/>
                <w:szCs w:val="21"/>
              </w:rPr>
              <w:t>、环境污染事件及投诉</w:t>
            </w:r>
          </w:p>
          <w:p w14:paraId="5F7F5D9B">
            <w:pPr>
              <w:autoSpaceDE w:val="0"/>
              <w:autoSpaceDN w:val="0"/>
              <w:adjustRightInd w:val="0"/>
              <w:spacing w:line="360" w:lineRule="auto"/>
              <w:ind w:firstLine="480" w:firstLineChars="200"/>
              <w:rPr>
                <w:rFonts w:eastAsiaTheme="minorEastAsia"/>
                <w:sz w:val="24"/>
              </w:rPr>
            </w:pPr>
            <w:r>
              <w:rPr>
                <w:rFonts w:hint="eastAsia" w:eastAsiaTheme="minorEastAsia"/>
                <w:sz w:val="24"/>
              </w:rPr>
              <w:t>根据向当地环保部门咨询和周边居民走访调查，衡山岳北粮食收储有限公司历年来未发生过环境污染事件及居民投诉问题。</w:t>
            </w:r>
          </w:p>
          <w:p w14:paraId="7FAA6FC8">
            <w:pPr>
              <w:autoSpaceDE w:val="0"/>
              <w:autoSpaceDN w:val="0"/>
              <w:adjustRightInd w:val="0"/>
              <w:spacing w:line="360" w:lineRule="auto"/>
              <w:ind w:firstLine="482" w:firstLineChars="200"/>
              <w:rPr>
                <w:b/>
                <w:kern w:val="0"/>
                <w:sz w:val="24"/>
                <w:szCs w:val="21"/>
              </w:rPr>
            </w:pPr>
            <w:r>
              <w:rPr>
                <w:rFonts w:hint="eastAsia"/>
                <w:b/>
                <w:kern w:val="0"/>
                <w:sz w:val="24"/>
                <w:szCs w:val="21"/>
              </w:rPr>
              <w:t>六、企业存在的主要问题及整改意见</w:t>
            </w:r>
          </w:p>
          <w:p w14:paraId="26E67236">
            <w:pPr>
              <w:autoSpaceDE w:val="0"/>
              <w:autoSpaceDN w:val="0"/>
              <w:adjustRightInd w:val="0"/>
              <w:spacing w:line="360" w:lineRule="auto"/>
              <w:ind w:firstLine="482" w:firstLineChars="200"/>
              <w:rPr>
                <w:rFonts w:eastAsiaTheme="minorEastAsia"/>
                <w:b/>
                <w:sz w:val="24"/>
              </w:rPr>
            </w:pPr>
            <w:r>
              <w:rPr>
                <w:rFonts w:eastAsiaTheme="minorEastAsia"/>
                <w:b/>
                <w:sz w:val="24"/>
              </w:rPr>
              <w:t>1、企业存在的主要环境问题</w:t>
            </w:r>
          </w:p>
          <w:p w14:paraId="6B5F00AC">
            <w:pPr>
              <w:autoSpaceDE w:val="0"/>
              <w:autoSpaceDN w:val="0"/>
              <w:adjustRightInd w:val="0"/>
              <w:spacing w:line="360" w:lineRule="auto"/>
              <w:ind w:firstLine="480" w:firstLineChars="200"/>
              <w:rPr>
                <w:rFonts w:eastAsiaTheme="minorEastAsia"/>
                <w:sz w:val="24"/>
              </w:rPr>
            </w:pPr>
            <w:r>
              <w:rPr>
                <w:rFonts w:eastAsiaTheme="minorEastAsia"/>
                <w:sz w:val="24"/>
              </w:rPr>
              <w:t>经现场勘察提出企业存在以下环境问题：</w:t>
            </w:r>
          </w:p>
          <w:p w14:paraId="785B134A">
            <w:pPr>
              <w:autoSpaceDE w:val="0"/>
              <w:autoSpaceDN w:val="0"/>
              <w:adjustRightInd w:val="0"/>
              <w:spacing w:line="360" w:lineRule="auto"/>
              <w:ind w:firstLine="480" w:firstLineChars="200"/>
              <w:rPr>
                <w:rFonts w:eastAsiaTheme="minorEastAsia"/>
                <w:sz w:val="24"/>
              </w:rPr>
            </w:pPr>
            <w:r>
              <w:rPr>
                <w:rFonts w:eastAsiaTheme="minorEastAsia"/>
                <w:sz w:val="24"/>
              </w:rPr>
              <w:t>（1）未完善环保标识牌建设；</w:t>
            </w:r>
          </w:p>
          <w:p w14:paraId="2CD72D8F">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2</w:t>
            </w:r>
            <w:r>
              <w:rPr>
                <w:rFonts w:eastAsiaTheme="minorEastAsia"/>
                <w:sz w:val="24"/>
              </w:rPr>
              <w:t>）未规范建设一般固废暂存间；</w:t>
            </w:r>
          </w:p>
          <w:p w14:paraId="425674BE">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3</w:t>
            </w:r>
            <w:r>
              <w:rPr>
                <w:rFonts w:eastAsiaTheme="minorEastAsia"/>
                <w:sz w:val="24"/>
              </w:rPr>
              <w:t>）未建设危废暂存间；</w:t>
            </w:r>
          </w:p>
          <w:p w14:paraId="30F8B959">
            <w:pPr>
              <w:autoSpaceDE w:val="0"/>
              <w:autoSpaceDN w:val="0"/>
              <w:adjustRightInd w:val="0"/>
              <w:spacing w:line="360" w:lineRule="auto"/>
              <w:ind w:firstLine="480" w:firstLineChars="200"/>
              <w:rPr>
                <w:rFonts w:eastAsiaTheme="minorEastAsia"/>
                <w:sz w:val="24"/>
              </w:rPr>
            </w:pPr>
            <w:r>
              <w:rPr>
                <w:rFonts w:hint="eastAsia" w:eastAsiaTheme="minorEastAsia"/>
                <w:sz w:val="24"/>
              </w:rPr>
              <w:t>（4）</w:t>
            </w:r>
            <w:bookmarkStart w:id="48" w:name="OLE_LINK128"/>
            <w:bookmarkStart w:id="49" w:name="OLE_LINK129"/>
            <w:r>
              <w:rPr>
                <w:rFonts w:hint="eastAsia" w:eastAsiaTheme="minorEastAsia"/>
                <w:sz w:val="24"/>
              </w:rPr>
              <w:t>未按要求办理突发环境事件应急预案登记管理</w:t>
            </w:r>
            <w:bookmarkEnd w:id="48"/>
            <w:bookmarkEnd w:id="49"/>
            <w:r>
              <w:rPr>
                <w:rFonts w:eastAsiaTheme="minorEastAsia"/>
                <w:sz w:val="24"/>
              </w:rPr>
              <w:t>。</w:t>
            </w:r>
          </w:p>
          <w:p w14:paraId="157F0304">
            <w:pPr>
              <w:autoSpaceDE w:val="0"/>
              <w:autoSpaceDN w:val="0"/>
              <w:adjustRightInd w:val="0"/>
              <w:spacing w:line="360" w:lineRule="auto"/>
              <w:ind w:firstLine="482" w:firstLineChars="200"/>
              <w:rPr>
                <w:rFonts w:eastAsiaTheme="minorEastAsia"/>
                <w:sz w:val="24"/>
              </w:rPr>
            </w:pPr>
            <w:r>
              <w:rPr>
                <w:rFonts w:eastAsiaTheme="minorEastAsia"/>
                <w:b/>
                <w:sz w:val="24"/>
              </w:rPr>
              <w:t>2、整改措施</w:t>
            </w:r>
          </w:p>
          <w:p w14:paraId="25BD7A3D">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1</w:t>
            </w:r>
            <w:r>
              <w:rPr>
                <w:rFonts w:eastAsiaTheme="minorEastAsia"/>
                <w:sz w:val="24"/>
              </w:rPr>
              <w:t>）按照规定张贴各类环保标识牌；</w:t>
            </w:r>
          </w:p>
          <w:p w14:paraId="60957456">
            <w:pPr>
              <w:autoSpaceDE w:val="0"/>
              <w:autoSpaceDN w:val="0"/>
              <w:adjustRightInd w:val="0"/>
              <w:spacing w:line="360" w:lineRule="auto"/>
              <w:ind w:firstLine="480" w:firstLineChars="200"/>
              <w:rPr>
                <w:rFonts w:eastAsiaTheme="minorEastAsia"/>
                <w:sz w:val="24"/>
              </w:rPr>
            </w:pPr>
            <w:r>
              <w:rPr>
                <w:sz w:val="24"/>
              </w:rPr>
              <w:t>（</w:t>
            </w:r>
            <w:r>
              <w:rPr>
                <w:rFonts w:hint="eastAsia"/>
                <w:sz w:val="24"/>
              </w:rPr>
              <w:t>2</w:t>
            </w:r>
            <w:r>
              <w:rPr>
                <w:sz w:val="24"/>
              </w:rPr>
              <w:t>）按《一般工业固体废物贮存和填埋污染控制标准》（GB18599-2020）进行规范处理，不可胡乱堆放或随意丢弃。具体为贮存区采取防风防雨措施，各类固废应分类收集，贮存区按照《环境保护图形标志——固体废物贮存（处置）场》（GB15562.2）的要求设置环保图形标志，指定专人进行日常管理，</w:t>
            </w:r>
            <w:r>
              <w:rPr>
                <w:rFonts w:eastAsiaTheme="minorEastAsia"/>
                <w:sz w:val="24"/>
              </w:rPr>
              <w:t>完善</w:t>
            </w:r>
            <w:r>
              <w:rPr>
                <w:rFonts w:hint="eastAsia"/>
                <w:sz w:val="24"/>
              </w:rPr>
              <w:t>工业固体废物</w:t>
            </w:r>
            <w:r>
              <w:rPr>
                <w:rFonts w:eastAsiaTheme="minorEastAsia"/>
                <w:sz w:val="24"/>
              </w:rPr>
              <w:t>台账；</w:t>
            </w:r>
          </w:p>
          <w:p w14:paraId="58FC4C54">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3</w:t>
            </w:r>
            <w:r>
              <w:rPr>
                <w:rFonts w:eastAsiaTheme="minorEastAsia"/>
                <w:sz w:val="24"/>
              </w:rPr>
              <w:t>）按照《危险废物贮存污染控制标准》（GB18597-2023）的要求建设危废暂存间；按《危险废物识别标志设置技术规范》（HJ1276—2022）的要求规范设置标识标牌，根据危险废物种类规范建设储存分区，配置防泄漏设施，完善危废台账</w:t>
            </w:r>
            <w:r>
              <w:rPr>
                <w:rFonts w:hint="eastAsia" w:eastAsiaTheme="minorEastAsia"/>
                <w:sz w:val="24"/>
              </w:rPr>
              <w:t>；</w:t>
            </w:r>
          </w:p>
          <w:p w14:paraId="17CB524F">
            <w:pPr>
              <w:autoSpaceDE w:val="0"/>
              <w:autoSpaceDN w:val="0"/>
              <w:adjustRightIn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4</w:t>
            </w:r>
            <w:r>
              <w:rPr>
                <w:rFonts w:eastAsiaTheme="minorEastAsia"/>
                <w:sz w:val="24"/>
              </w:rPr>
              <w:t>）按</w:t>
            </w:r>
            <w:r>
              <w:rPr>
                <w:rFonts w:hint="eastAsia" w:eastAsiaTheme="minorEastAsia"/>
                <w:sz w:val="24"/>
              </w:rPr>
              <w:t>要求办理突发环境事件应急预案登记管理。</w:t>
            </w:r>
          </w:p>
        </w:tc>
      </w:tr>
    </w:tbl>
    <w:p w14:paraId="3CA58675">
      <w:pPr>
        <w:pStyle w:val="25"/>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16EFC861">
      <w:pPr>
        <w:pStyle w:val="25"/>
        <w:adjustRightInd w:val="0"/>
        <w:snapToGrid w:val="0"/>
        <w:spacing w:before="0" w:beforeAutospacing="0" w:after="0" w:afterAutospacing="0" w:line="14" w:lineRule="auto"/>
        <w:jc w:val="center"/>
        <w:outlineLvl w:val="0"/>
        <w:rPr>
          <w:rFonts w:ascii="黑体" w:hAnsi="黑体" w:eastAsia="黑体"/>
          <w:snapToGrid w:val="0"/>
          <w:sz w:val="30"/>
          <w:szCs w:val="30"/>
        </w:rPr>
      </w:pPr>
    </w:p>
    <w:p w14:paraId="1CB759F6">
      <w:pPr>
        <w:pStyle w:val="25"/>
        <w:jc w:val="center"/>
        <w:outlineLvl w:val="0"/>
        <w:rPr>
          <w:rFonts w:ascii="黑体" w:hAnsi="黑体" w:eastAsia="黑体"/>
          <w:snapToGrid w:val="0"/>
          <w:sz w:val="30"/>
          <w:szCs w:val="30"/>
        </w:rPr>
      </w:pPr>
      <w:bookmarkStart w:id="50" w:name="_Toc111712328"/>
      <w:r>
        <w:rPr>
          <w:rFonts w:hint="eastAsia" w:ascii="黑体" w:hAnsi="黑体" w:eastAsia="黑体"/>
          <w:snapToGrid w:val="0"/>
          <w:sz w:val="30"/>
          <w:szCs w:val="30"/>
        </w:rPr>
        <w:t>三、区域环境质量现状、环境保护目标及评价标准</w:t>
      </w:r>
      <w:bookmarkEnd w:id="50"/>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6"/>
        <w:gridCol w:w="9630"/>
      </w:tblGrid>
      <w:tr w14:paraId="19A3F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30903C89">
            <w:pPr>
              <w:adjustRightInd w:val="0"/>
              <w:snapToGrid w:val="0"/>
              <w:jc w:val="center"/>
              <w:rPr>
                <w:rFonts w:ascii="宋体" w:hAnsi="宋体" w:cs="宋体"/>
                <w:b/>
                <w:kern w:val="0"/>
                <w:sz w:val="24"/>
              </w:rPr>
            </w:pPr>
            <w:r>
              <w:rPr>
                <w:rFonts w:hint="eastAsia" w:ascii="宋体" w:hAnsi="宋体" w:cs="宋体"/>
                <w:b/>
                <w:kern w:val="0"/>
                <w:sz w:val="24"/>
              </w:rPr>
              <w:t>区域</w:t>
            </w:r>
          </w:p>
          <w:p w14:paraId="65E14F4C">
            <w:pPr>
              <w:adjustRightInd w:val="0"/>
              <w:snapToGrid w:val="0"/>
              <w:jc w:val="center"/>
              <w:rPr>
                <w:rFonts w:ascii="宋体" w:hAnsi="宋体" w:cs="宋体"/>
                <w:b/>
                <w:kern w:val="0"/>
                <w:sz w:val="24"/>
              </w:rPr>
            </w:pPr>
            <w:r>
              <w:rPr>
                <w:rFonts w:hint="eastAsia" w:ascii="宋体" w:hAnsi="宋体" w:cs="宋体"/>
                <w:b/>
                <w:kern w:val="0"/>
                <w:sz w:val="24"/>
              </w:rPr>
              <w:t>环境</w:t>
            </w:r>
          </w:p>
          <w:p w14:paraId="09ADDE92">
            <w:pPr>
              <w:adjustRightInd w:val="0"/>
              <w:snapToGrid w:val="0"/>
              <w:jc w:val="center"/>
              <w:rPr>
                <w:rFonts w:ascii="宋体" w:hAnsi="宋体" w:cs="宋体"/>
                <w:b/>
                <w:kern w:val="0"/>
                <w:sz w:val="24"/>
              </w:rPr>
            </w:pPr>
            <w:r>
              <w:rPr>
                <w:rFonts w:hint="eastAsia" w:ascii="宋体" w:hAnsi="宋体" w:cs="宋体"/>
                <w:b/>
                <w:kern w:val="0"/>
                <w:sz w:val="24"/>
              </w:rPr>
              <w:t>质量</w:t>
            </w:r>
          </w:p>
          <w:p w14:paraId="6A3ED0D8">
            <w:pPr>
              <w:adjustRightInd w:val="0"/>
              <w:snapToGrid w:val="0"/>
              <w:jc w:val="center"/>
              <w:rPr>
                <w:rFonts w:ascii="宋体" w:hAnsi="宋体" w:cs="宋体"/>
                <w:b/>
                <w:kern w:val="0"/>
                <w:sz w:val="24"/>
              </w:rPr>
            </w:pPr>
            <w:r>
              <w:rPr>
                <w:rFonts w:hint="eastAsia" w:ascii="宋体" w:hAnsi="宋体" w:cs="宋体"/>
                <w:b/>
                <w:kern w:val="0"/>
                <w:sz w:val="24"/>
              </w:rPr>
              <w:t>现状</w:t>
            </w:r>
          </w:p>
        </w:tc>
        <w:tc>
          <w:tcPr>
            <w:tcW w:w="4718" w:type="pct"/>
            <w:vAlign w:val="center"/>
          </w:tcPr>
          <w:p w14:paraId="6ACDF96A">
            <w:pPr>
              <w:adjustRightInd w:val="0"/>
              <w:snapToGrid w:val="0"/>
              <w:spacing w:line="360" w:lineRule="auto"/>
              <w:ind w:firstLine="482" w:firstLineChars="200"/>
              <w:rPr>
                <w:b/>
                <w:sz w:val="24"/>
              </w:rPr>
            </w:pPr>
            <w:r>
              <w:rPr>
                <w:b/>
                <w:sz w:val="24"/>
              </w:rPr>
              <w:t>一、环境空气质量现状</w:t>
            </w:r>
          </w:p>
          <w:p w14:paraId="27C74225">
            <w:pPr>
              <w:spacing w:line="360" w:lineRule="auto"/>
              <w:ind w:firstLine="482" w:firstLineChars="200"/>
              <w:jc w:val="left"/>
              <w:rPr>
                <w:b/>
                <w:sz w:val="24"/>
              </w:rPr>
            </w:pPr>
            <w:r>
              <w:rPr>
                <w:rFonts w:hint="eastAsia"/>
                <w:b/>
                <w:sz w:val="24"/>
              </w:rPr>
              <w:t>1、环境空气质量达标区判定</w:t>
            </w:r>
          </w:p>
          <w:p w14:paraId="40EA9902">
            <w:pPr>
              <w:tabs>
                <w:tab w:val="left" w:pos="3544"/>
              </w:tabs>
              <w:adjustRightInd w:val="0"/>
              <w:snapToGrid w:val="0"/>
              <w:spacing w:line="360" w:lineRule="auto"/>
              <w:ind w:firstLine="480" w:firstLineChars="200"/>
              <w:rPr>
                <w:b/>
                <w:bCs/>
                <w:sz w:val="24"/>
              </w:rPr>
            </w:pPr>
            <w:r>
              <w:rPr>
                <w:sz w:val="24"/>
              </w:rPr>
              <w:t>根据《环境影响评价技术导则</w:t>
            </w:r>
            <w:r>
              <w:rPr>
                <w:rFonts w:hint="eastAsia"/>
                <w:sz w:val="24"/>
              </w:rPr>
              <w:t xml:space="preserve">  </w:t>
            </w:r>
            <w:r>
              <w:rPr>
                <w:sz w:val="24"/>
              </w:rPr>
              <w:t>大气环境》（HJ2.2-2018）</w:t>
            </w:r>
            <w:r>
              <w:rPr>
                <w:rFonts w:hint="eastAsia"/>
                <w:sz w:val="24"/>
              </w:rPr>
              <w:t>的要求，优先采用国家或地方生态环境主管部门公开发布的评价基准年环境质量公告或环境质量报告中的数据或结论</w:t>
            </w:r>
            <w:r>
              <w:rPr>
                <w:sz w:val="24"/>
              </w:rPr>
              <w:t>。项目所在区域达标判定采用</w:t>
            </w:r>
            <w:r>
              <w:rPr>
                <w:rFonts w:hint="eastAsia" w:hAnsi="宋体"/>
                <w:kern w:val="0"/>
                <w:sz w:val="24"/>
              </w:rPr>
              <w:t>衡阳市生态环境局公布的《关于2025年12月份及1~12月份全市环境质量状况的通报》</w:t>
            </w:r>
            <w:r>
              <w:rPr>
                <w:sz w:val="24"/>
              </w:rPr>
              <w:t>数据，</w:t>
            </w:r>
            <w:r>
              <w:rPr>
                <w:rFonts w:hint="eastAsia"/>
                <w:sz w:val="24"/>
              </w:rPr>
              <w:t>基本</w:t>
            </w:r>
            <w:r>
              <w:rPr>
                <w:sz w:val="24"/>
              </w:rPr>
              <w:t>污染物环境质量现状数据结果详见表</w:t>
            </w:r>
            <w:r>
              <w:rPr>
                <w:rFonts w:hint="eastAsia"/>
                <w:sz w:val="24"/>
              </w:rPr>
              <w:t>3-1</w:t>
            </w:r>
            <w:r>
              <w:rPr>
                <w:sz w:val="24"/>
              </w:rPr>
              <w:t>。</w:t>
            </w:r>
          </w:p>
          <w:p w14:paraId="1D27ED7A">
            <w:pPr>
              <w:autoSpaceDE w:val="0"/>
              <w:autoSpaceDN w:val="0"/>
              <w:adjustRightInd w:val="0"/>
              <w:spacing w:before="120" w:beforeLines="50"/>
              <w:jc w:val="center"/>
              <w:rPr>
                <w:b/>
                <w:kern w:val="0"/>
                <w:szCs w:val="21"/>
              </w:rPr>
            </w:pPr>
            <w:bookmarkStart w:id="51" w:name="_Ref528415780"/>
            <w:r>
              <w:rPr>
                <w:b/>
                <w:kern w:val="0"/>
                <w:szCs w:val="21"/>
              </w:rPr>
              <w:t>表</w:t>
            </w:r>
            <w:bookmarkEnd w:id="51"/>
            <w:r>
              <w:rPr>
                <w:rFonts w:hint="eastAsia"/>
                <w:b/>
                <w:kern w:val="0"/>
                <w:szCs w:val="21"/>
              </w:rPr>
              <w:t>3</w:t>
            </w:r>
            <w:r>
              <w:rPr>
                <w:b/>
                <w:kern w:val="0"/>
                <w:szCs w:val="21"/>
              </w:rPr>
              <w:t>-1  区域空气质量现状评价表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1"/>
              <w:gridCol w:w="3062"/>
              <w:gridCol w:w="2099"/>
              <w:gridCol w:w="1925"/>
              <w:gridCol w:w="1337"/>
            </w:tblGrid>
            <w:tr w14:paraId="31584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12" w:space="0"/>
                    <w:left w:val="single" w:color="auto" w:sz="12" w:space="0"/>
                    <w:bottom w:val="single" w:color="auto" w:sz="6" w:space="0"/>
                    <w:right w:val="single" w:color="auto" w:sz="6" w:space="0"/>
                  </w:tcBorders>
                  <w:vAlign w:val="center"/>
                </w:tcPr>
                <w:p w14:paraId="54C9CB50">
                  <w:pPr>
                    <w:snapToGrid w:val="0"/>
                    <w:spacing w:line="0" w:lineRule="atLeast"/>
                    <w:jc w:val="center"/>
                    <w:rPr>
                      <w:b/>
                      <w:szCs w:val="21"/>
                    </w:rPr>
                  </w:pPr>
                  <w:r>
                    <w:rPr>
                      <w:b/>
                      <w:szCs w:val="21"/>
                    </w:rPr>
                    <w:t>污染物</w:t>
                  </w:r>
                </w:p>
              </w:tc>
              <w:tc>
                <w:tcPr>
                  <w:tcW w:w="1631" w:type="pct"/>
                  <w:tcBorders>
                    <w:top w:val="single" w:color="auto" w:sz="12" w:space="0"/>
                    <w:left w:val="single" w:color="auto" w:sz="6" w:space="0"/>
                    <w:bottom w:val="single" w:color="auto" w:sz="6" w:space="0"/>
                    <w:right w:val="single" w:color="auto" w:sz="6" w:space="0"/>
                  </w:tcBorders>
                  <w:vAlign w:val="center"/>
                </w:tcPr>
                <w:p w14:paraId="3FA69719">
                  <w:pPr>
                    <w:snapToGrid w:val="0"/>
                    <w:spacing w:line="0" w:lineRule="atLeast"/>
                    <w:jc w:val="center"/>
                    <w:rPr>
                      <w:b/>
                      <w:szCs w:val="21"/>
                    </w:rPr>
                  </w:pPr>
                  <w:r>
                    <w:rPr>
                      <w:b/>
                      <w:szCs w:val="21"/>
                    </w:rPr>
                    <w:t>年评价指标</w:t>
                  </w:r>
                </w:p>
              </w:tc>
              <w:tc>
                <w:tcPr>
                  <w:tcW w:w="1118" w:type="pct"/>
                  <w:tcBorders>
                    <w:top w:val="single" w:color="auto" w:sz="12" w:space="0"/>
                    <w:left w:val="single" w:color="auto" w:sz="6" w:space="0"/>
                    <w:bottom w:val="single" w:color="auto" w:sz="6" w:space="0"/>
                    <w:right w:val="single" w:color="auto" w:sz="6" w:space="0"/>
                  </w:tcBorders>
                  <w:vAlign w:val="center"/>
                </w:tcPr>
                <w:p w14:paraId="42349085">
                  <w:pPr>
                    <w:snapToGrid w:val="0"/>
                    <w:spacing w:line="0" w:lineRule="atLeast"/>
                    <w:jc w:val="center"/>
                    <w:rPr>
                      <w:b/>
                      <w:szCs w:val="21"/>
                    </w:rPr>
                  </w:pPr>
                  <w:r>
                    <w:rPr>
                      <w:b/>
                      <w:szCs w:val="21"/>
                    </w:rPr>
                    <w:t>现状浓度（</w:t>
                  </w:r>
                  <w:r>
                    <w:rPr>
                      <w:b/>
                    </w:rPr>
                    <w:t>µg/m</w:t>
                  </w:r>
                  <w:r>
                    <w:rPr>
                      <w:b/>
                      <w:vertAlign w:val="superscript"/>
                    </w:rPr>
                    <w:t>3</w:t>
                  </w:r>
                  <w:r>
                    <w:rPr>
                      <w:b/>
                      <w:szCs w:val="21"/>
                    </w:rPr>
                    <w:t>）</w:t>
                  </w:r>
                </w:p>
              </w:tc>
              <w:tc>
                <w:tcPr>
                  <w:tcW w:w="1025" w:type="pct"/>
                  <w:tcBorders>
                    <w:top w:val="single" w:color="auto" w:sz="12" w:space="0"/>
                    <w:left w:val="single" w:color="auto" w:sz="6" w:space="0"/>
                    <w:bottom w:val="single" w:color="auto" w:sz="6" w:space="0"/>
                    <w:right w:val="single" w:color="auto" w:sz="6" w:space="0"/>
                  </w:tcBorders>
                  <w:vAlign w:val="center"/>
                </w:tcPr>
                <w:p w14:paraId="2F985E6A">
                  <w:pPr>
                    <w:snapToGrid w:val="0"/>
                    <w:spacing w:line="0" w:lineRule="atLeast"/>
                    <w:jc w:val="center"/>
                    <w:rPr>
                      <w:b/>
                      <w:szCs w:val="21"/>
                    </w:rPr>
                  </w:pPr>
                  <w:r>
                    <w:rPr>
                      <w:b/>
                      <w:szCs w:val="21"/>
                    </w:rPr>
                    <w:t>标准值（</w:t>
                  </w:r>
                  <w:r>
                    <w:rPr>
                      <w:b/>
                    </w:rPr>
                    <w:t>µg/m</w:t>
                  </w:r>
                  <w:r>
                    <w:rPr>
                      <w:b/>
                      <w:vertAlign w:val="superscript"/>
                    </w:rPr>
                    <w:t>3</w:t>
                  </w:r>
                  <w:r>
                    <w:rPr>
                      <w:b/>
                      <w:szCs w:val="21"/>
                    </w:rPr>
                    <w:t>）</w:t>
                  </w:r>
                </w:p>
              </w:tc>
              <w:tc>
                <w:tcPr>
                  <w:tcW w:w="712" w:type="pct"/>
                  <w:tcBorders>
                    <w:top w:val="single" w:color="auto" w:sz="12" w:space="0"/>
                    <w:left w:val="single" w:color="auto" w:sz="6" w:space="0"/>
                    <w:bottom w:val="single" w:color="auto" w:sz="6" w:space="0"/>
                    <w:right w:val="single" w:color="auto" w:sz="12" w:space="0"/>
                  </w:tcBorders>
                  <w:vAlign w:val="center"/>
                </w:tcPr>
                <w:p w14:paraId="29B48AF2">
                  <w:pPr>
                    <w:snapToGrid w:val="0"/>
                    <w:spacing w:line="0" w:lineRule="atLeast"/>
                    <w:jc w:val="center"/>
                    <w:rPr>
                      <w:b/>
                      <w:szCs w:val="21"/>
                    </w:rPr>
                  </w:pPr>
                  <w:r>
                    <w:rPr>
                      <w:b/>
                      <w:szCs w:val="21"/>
                    </w:rPr>
                    <w:t>达标情况</w:t>
                  </w:r>
                </w:p>
              </w:tc>
            </w:tr>
            <w:tr w14:paraId="2C9BD5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66380FD6">
                  <w:pPr>
                    <w:snapToGrid w:val="0"/>
                    <w:spacing w:line="0" w:lineRule="atLeast"/>
                    <w:jc w:val="center"/>
                    <w:rPr>
                      <w:szCs w:val="21"/>
                    </w:rPr>
                  </w:pPr>
                  <w:r>
                    <w:rPr>
                      <w:szCs w:val="21"/>
                    </w:rPr>
                    <w:t>SO</w:t>
                  </w:r>
                  <w:r>
                    <w:rPr>
                      <w:szCs w:val="21"/>
                      <w:vertAlign w:val="subscript"/>
                    </w:rPr>
                    <w:t>2</w:t>
                  </w:r>
                </w:p>
              </w:tc>
              <w:tc>
                <w:tcPr>
                  <w:tcW w:w="1631" w:type="pct"/>
                  <w:tcBorders>
                    <w:top w:val="single" w:color="auto" w:sz="6" w:space="0"/>
                    <w:left w:val="single" w:color="auto" w:sz="6" w:space="0"/>
                    <w:bottom w:val="single" w:color="auto" w:sz="6" w:space="0"/>
                    <w:right w:val="single" w:color="auto" w:sz="6" w:space="0"/>
                  </w:tcBorders>
                  <w:vAlign w:val="center"/>
                </w:tcPr>
                <w:p w14:paraId="1C0244E8">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3504FB79">
                  <w:pPr>
                    <w:jc w:val="center"/>
                    <w:rPr>
                      <w:bCs/>
                      <w:szCs w:val="21"/>
                    </w:rPr>
                  </w:pPr>
                  <w:r>
                    <w:rPr>
                      <w:rFonts w:hint="eastAsia"/>
                      <w:bCs/>
                      <w:szCs w:val="21"/>
                    </w:rPr>
                    <w:t>7</w:t>
                  </w:r>
                </w:p>
              </w:tc>
              <w:tc>
                <w:tcPr>
                  <w:tcW w:w="1025" w:type="pct"/>
                  <w:tcBorders>
                    <w:top w:val="single" w:color="auto" w:sz="6" w:space="0"/>
                    <w:left w:val="single" w:color="auto" w:sz="6" w:space="0"/>
                    <w:bottom w:val="single" w:color="auto" w:sz="6" w:space="0"/>
                    <w:right w:val="single" w:color="auto" w:sz="6" w:space="0"/>
                  </w:tcBorders>
                  <w:vAlign w:val="center"/>
                </w:tcPr>
                <w:p w14:paraId="21E24276">
                  <w:pPr>
                    <w:jc w:val="center"/>
                    <w:rPr>
                      <w:bCs/>
                      <w:szCs w:val="21"/>
                    </w:rPr>
                  </w:pPr>
                  <w:r>
                    <w:rPr>
                      <w:bCs/>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14:paraId="69578975">
                  <w:pPr>
                    <w:jc w:val="center"/>
                    <w:rPr>
                      <w:bCs/>
                      <w:szCs w:val="21"/>
                    </w:rPr>
                  </w:pPr>
                  <w:r>
                    <w:rPr>
                      <w:bCs/>
                      <w:szCs w:val="21"/>
                    </w:rPr>
                    <w:t>达标</w:t>
                  </w:r>
                </w:p>
              </w:tc>
            </w:tr>
            <w:tr w14:paraId="59615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285F6EB8">
                  <w:pPr>
                    <w:snapToGrid w:val="0"/>
                    <w:spacing w:line="0" w:lineRule="atLeast"/>
                    <w:jc w:val="center"/>
                    <w:rPr>
                      <w:szCs w:val="21"/>
                    </w:rPr>
                  </w:pPr>
                  <w:r>
                    <w:rPr>
                      <w:szCs w:val="21"/>
                    </w:rPr>
                    <w:t>NO</w:t>
                  </w:r>
                  <w:r>
                    <w:rPr>
                      <w:szCs w:val="21"/>
                      <w:vertAlign w:val="subscript"/>
                    </w:rPr>
                    <w:t>2</w:t>
                  </w:r>
                </w:p>
              </w:tc>
              <w:tc>
                <w:tcPr>
                  <w:tcW w:w="1631" w:type="pct"/>
                  <w:tcBorders>
                    <w:top w:val="single" w:color="auto" w:sz="6" w:space="0"/>
                    <w:left w:val="single" w:color="auto" w:sz="6" w:space="0"/>
                    <w:bottom w:val="single" w:color="auto" w:sz="6" w:space="0"/>
                    <w:right w:val="single" w:color="auto" w:sz="6" w:space="0"/>
                  </w:tcBorders>
                  <w:vAlign w:val="center"/>
                </w:tcPr>
                <w:p w14:paraId="4EC5B8DF">
                  <w:pPr>
                    <w:jc w:val="center"/>
                    <w:rPr>
                      <w:bCs/>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2DC6FEFB">
                  <w:pPr>
                    <w:jc w:val="center"/>
                    <w:rPr>
                      <w:bCs/>
                      <w:szCs w:val="21"/>
                    </w:rPr>
                  </w:pPr>
                  <w:r>
                    <w:rPr>
                      <w:rFonts w:hint="eastAsia"/>
                      <w:bCs/>
                      <w:szCs w:val="21"/>
                    </w:rPr>
                    <w:t>14</w:t>
                  </w:r>
                </w:p>
              </w:tc>
              <w:tc>
                <w:tcPr>
                  <w:tcW w:w="1025" w:type="pct"/>
                  <w:tcBorders>
                    <w:top w:val="single" w:color="auto" w:sz="6" w:space="0"/>
                    <w:left w:val="single" w:color="auto" w:sz="6" w:space="0"/>
                    <w:bottom w:val="single" w:color="auto" w:sz="6" w:space="0"/>
                    <w:right w:val="single" w:color="auto" w:sz="6" w:space="0"/>
                  </w:tcBorders>
                  <w:vAlign w:val="center"/>
                </w:tcPr>
                <w:p w14:paraId="734F5101">
                  <w:pPr>
                    <w:jc w:val="center"/>
                    <w:rPr>
                      <w:bCs/>
                      <w:szCs w:val="21"/>
                    </w:rPr>
                  </w:pPr>
                  <w:r>
                    <w:rPr>
                      <w:bCs/>
                      <w:szCs w:val="21"/>
                    </w:rPr>
                    <w:t>40</w:t>
                  </w:r>
                </w:p>
              </w:tc>
              <w:tc>
                <w:tcPr>
                  <w:tcW w:w="712" w:type="pct"/>
                  <w:tcBorders>
                    <w:top w:val="single" w:color="auto" w:sz="6" w:space="0"/>
                    <w:left w:val="single" w:color="auto" w:sz="6" w:space="0"/>
                    <w:bottom w:val="single" w:color="auto" w:sz="6" w:space="0"/>
                    <w:right w:val="single" w:color="auto" w:sz="12" w:space="0"/>
                  </w:tcBorders>
                  <w:vAlign w:val="center"/>
                </w:tcPr>
                <w:p w14:paraId="45362854">
                  <w:pPr>
                    <w:jc w:val="center"/>
                    <w:rPr>
                      <w:bCs/>
                      <w:szCs w:val="21"/>
                    </w:rPr>
                  </w:pPr>
                  <w:r>
                    <w:rPr>
                      <w:bCs/>
                      <w:szCs w:val="21"/>
                    </w:rPr>
                    <w:t>达标</w:t>
                  </w:r>
                </w:p>
              </w:tc>
            </w:tr>
            <w:tr w14:paraId="1C54AF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7811AF4C">
                  <w:pPr>
                    <w:snapToGrid w:val="0"/>
                    <w:spacing w:line="0" w:lineRule="atLeast"/>
                    <w:jc w:val="center"/>
                    <w:rPr>
                      <w:szCs w:val="21"/>
                    </w:rPr>
                  </w:pPr>
                  <w:r>
                    <w:rPr>
                      <w:szCs w:val="21"/>
                    </w:rPr>
                    <w:t>CO</w:t>
                  </w:r>
                </w:p>
              </w:tc>
              <w:tc>
                <w:tcPr>
                  <w:tcW w:w="1631" w:type="pct"/>
                  <w:tcBorders>
                    <w:top w:val="single" w:color="auto" w:sz="6" w:space="0"/>
                    <w:left w:val="single" w:color="auto" w:sz="6" w:space="0"/>
                    <w:bottom w:val="single" w:color="auto" w:sz="6" w:space="0"/>
                    <w:right w:val="single" w:color="auto" w:sz="6" w:space="0"/>
                  </w:tcBorders>
                  <w:vAlign w:val="center"/>
                </w:tcPr>
                <w:p w14:paraId="13A428E7">
                  <w:pPr>
                    <w:spacing w:line="280" w:lineRule="exact"/>
                    <w:jc w:val="center"/>
                    <w:rPr>
                      <w:szCs w:val="21"/>
                    </w:rPr>
                  </w:pPr>
                  <w:r>
                    <w:rPr>
                      <w:kern w:val="0"/>
                      <w:szCs w:val="21"/>
                    </w:rPr>
                    <w:t>24小时平均第95百分位数浓度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6FEA59B7">
                  <w:pPr>
                    <w:jc w:val="center"/>
                    <w:rPr>
                      <w:szCs w:val="21"/>
                    </w:rPr>
                  </w:pPr>
                  <w:r>
                    <w:rPr>
                      <w:rFonts w:hint="eastAsia"/>
                      <w:szCs w:val="21"/>
                    </w:rPr>
                    <w:t>1100</w:t>
                  </w:r>
                </w:p>
              </w:tc>
              <w:tc>
                <w:tcPr>
                  <w:tcW w:w="1025" w:type="pct"/>
                  <w:tcBorders>
                    <w:top w:val="single" w:color="auto" w:sz="6" w:space="0"/>
                    <w:left w:val="single" w:color="auto" w:sz="6" w:space="0"/>
                    <w:bottom w:val="single" w:color="auto" w:sz="6" w:space="0"/>
                    <w:right w:val="single" w:color="auto" w:sz="6" w:space="0"/>
                  </w:tcBorders>
                  <w:vAlign w:val="center"/>
                </w:tcPr>
                <w:p w14:paraId="6615429C">
                  <w:pPr>
                    <w:jc w:val="center"/>
                    <w:rPr>
                      <w:szCs w:val="21"/>
                    </w:rPr>
                  </w:pPr>
                  <w:r>
                    <w:rPr>
                      <w:szCs w:val="21"/>
                    </w:rPr>
                    <w:t>4000</w:t>
                  </w:r>
                </w:p>
              </w:tc>
              <w:tc>
                <w:tcPr>
                  <w:tcW w:w="712" w:type="pct"/>
                  <w:tcBorders>
                    <w:top w:val="single" w:color="auto" w:sz="6" w:space="0"/>
                    <w:left w:val="single" w:color="auto" w:sz="6" w:space="0"/>
                    <w:bottom w:val="single" w:color="auto" w:sz="6" w:space="0"/>
                    <w:right w:val="single" w:color="auto" w:sz="12" w:space="0"/>
                  </w:tcBorders>
                  <w:vAlign w:val="center"/>
                </w:tcPr>
                <w:p w14:paraId="0379EB28">
                  <w:pPr>
                    <w:jc w:val="center"/>
                    <w:rPr>
                      <w:szCs w:val="21"/>
                    </w:rPr>
                  </w:pPr>
                  <w:r>
                    <w:rPr>
                      <w:bCs/>
                      <w:szCs w:val="21"/>
                    </w:rPr>
                    <w:t>达标</w:t>
                  </w:r>
                </w:p>
              </w:tc>
            </w:tr>
            <w:tr w14:paraId="4EDB1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43EA436E">
                  <w:pPr>
                    <w:snapToGrid w:val="0"/>
                    <w:spacing w:line="0" w:lineRule="atLeast"/>
                    <w:jc w:val="center"/>
                    <w:rPr>
                      <w:szCs w:val="21"/>
                    </w:rPr>
                  </w:pPr>
                  <w:r>
                    <w:rPr>
                      <w:szCs w:val="21"/>
                    </w:rPr>
                    <w:t>O</w:t>
                  </w:r>
                  <w:r>
                    <w:rPr>
                      <w:szCs w:val="21"/>
                      <w:vertAlign w:val="subscript"/>
                    </w:rPr>
                    <w:t>3</w:t>
                  </w:r>
                </w:p>
              </w:tc>
              <w:tc>
                <w:tcPr>
                  <w:tcW w:w="1631" w:type="pct"/>
                  <w:tcBorders>
                    <w:top w:val="single" w:color="auto" w:sz="6" w:space="0"/>
                    <w:left w:val="single" w:color="auto" w:sz="6" w:space="0"/>
                    <w:bottom w:val="single" w:color="auto" w:sz="6" w:space="0"/>
                    <w:right w:val="single" w:color="auto" w:sz="6" w:space="0"/>
                  </w:tcBorders>
                  <w:vAlign w:val="center"/>
                </w:tcPr>
                <w:p w14:paraId="44AD6603">
                  <w:pPr>
                    <w:spacing w:line="280" w:lineRule="exact"/>
                    <w:jc w:val="center"/>
                    <w:rPr>
                      <w:szCs w:val="21"/>
                    </w:rPr>
                  </w:pPr>
                  <w:r>
                    <w:rPr>
                      <w:szCs w:val="21"/>
                    </w:rPr>
                    <w:t>日最大8h滑动平均值的</w:t>
                  </w:r>
                  <w:r>
                    <w:rPr>
                      <w:kern w:val="0"/>
                      <w:szCs w:val="21"/>
                    </w:rPr>
                    <w:t>第90百分位数浓度</w:t>
                  </w:r>
                </w:p>
              </w:tc>
              <w:tc>
                <w:tcPr>
                  <w:tcW w:w="1118" w:type="pct"/>
                  <w:tcBorders>
                    <w:top w:val="single" w:color="auto" w:sz="6" w:space="0"/>
                    <w:left w:val="single" w:color="auto" w:sz="6" w:space="0"/>
                    <w:bottom w:val="single" w:color="auto" w:sz="6" w:space="0"/>
                    <w:right w:val="single" w:color="auto" w:sz="6" w:space="0"/>
                  </w:tcBorders>
                  <w:vAlign w:val="center"/>
                </w:tcPr>
                <w:p w14:paraId="39375C3C">
                  <w:pPr>
                    <w:jc w:val="center"/>
                    <w:rPr>
                      <w:szCs w:val="21"/>
                    </w:rPr>
                  </w:pPr>
                  <w:r>
                    <w:rPr>
                      <w:rFonts w:hint="eastAsia"/>
                      <w:szCs w:val="21"/>
                    </w:rPr>
                    <w:t>121</w:t>
                  </w:r>
                </w:p>
              </w:tc>
              <w:tc>
                <w:tcPr>
                  <w:tcW w:w="1025" w:type="pct"/>
                  <w:tcBorders>
                    <w:top w:val="single" w:color="auto" w:sz="6" w:space="0"/>
                    <w:left w:val="single" w:color="auto" w:sz="6" w:space="0"/>
                    <w:bottom w:val="single" w:color="auto" w:sz="6" w:space="0"/>
                    <w:right w:val="single" w:color="auto" w:sz="6" w:space="0"/>
                  </w:tcBorders>
                  <w:vAlign w:val="center"/>
                </w:tcPr>
                <w:p w14:paraId="4B85F371">
                  <w:pPr>
                    <w:jc w:val="center"/>
                    <w:rPr>
                      <w:szCs w:val="21"/>
                    </w:rPr>
                  </w:pPr>
                  <w:r>
                    <w:rPr>
                      <w:szCs w:val="21"/>
                    </w:rPr>
                    <w:t>160</w:t>
                  </w:r>
                </w:p>
              </w:tc>
              <w:tc>
                <w:tcPr>
                  <w:tcW w:w="712" w:type="pct"/>
                  <w:tcBorders>
                    <w:top w:val="single" w:color="auto" w:sz="6" w:space="0"/>
                    <w:left w:val="single" w:color="auto" w:sz="6" w:space="0"/>
                    <w:bottom w:val="single" w:color="auto" w:sz="6" w:space="0"/>
                    <w:right w:val="single" w:color="auto" w:sz="12" w:space="0"/>
                  </w:tcBorders>
                  <w:vAlign w:val="center"/>
                </w:tcPr>
                <w:p w14:paraId="2AA177D4">
                  <w:pPr>
                    <w:jc w:val="center"/>
                    <w:rPr>
                      <w:szCs w:val="21"/>
                    </w:rPr>
                  </w:pPr>
                  <w:r>
                    <w:rPr>
                      <w:bCs/>
                      <w:szCs w:val="21"/>
                    </w:rPr>
                    <w:t>达标</w:t>
                  </w:r>
                </w:p>
              </w:tc>
            </w:tr>
            <w:tr w14:paraId="38853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6" w:space="0"/>
                    <w:right w:val="single" w:color="auto" w:sz="6" w:space="0"/>
                  </w:tcBorders>
                  <w:vAlign w:val="center"/>
                </w:tcPr>
                <w:p w14:paraId="0970574F">
                  <w:pPr>
                    <w:snapToGrid w:val="0"/>
                    <w:spacing w:line="0" w:lineRule="atLeast"/>
                    <w:jc w:val="center"/>
                    <w:rPr>
                      <w:szCs w:val="21"/>
                      <w:vertAlign w:val="subscript"/>
                    </w:rPr>
                  </w:pPr>
                  <w:r>
                    <w:rPr>
                      <w:szCs w:val="21"/>
                    </w:rPr>
                    <w:t>PM</w:t>
                  </w:r>
                  <w:r>
                    <w:rPr>
                      <w:szCs w:val="21"/>
                      <w:vertAlign w:val="subscript"/>
                    </w:rPr>
                    <w:t>10</w:t>
                  </w:r>
                </w:p>
              </w:tc>
              <w:tc>
                <w:tcPr>
                  <w:tcW w:w="1631" w:type="pct"/>
                  <w:tcBorders>
                    <w:top w:val="single" w:color="auto" w:sz="6" w:space="0"/>
                    <w:left w:val="single" w:color="auto" w:sz="6" w:space="0"/>
                    <w:bottom w:val="single" w:color="auto" w:sz="6" w:space="0"/>
                    <w:right w:val="single" w:color="auto" w:sz="6" w:space="0"/>
                  </w:tcBorders>
                  <w:vAlign w:val="center"/>
                </w:tcPr>
                <w:p w14:paraId="4A173377">
                  <w:pPr>
                    <w:jc w:val="center"/>
                    <w:rPr>
                      <w:szCs w:val="21"/>
                    </w:rPr>
                  </w:pPr>
                  <w:r>
                    <w:rPr>
                      <w:bCs/>
                      <w:szCs w:val="21"/>
                    </w:rPr>
                    <w:t>年平均质量浓度</w:t>
                  </w:r>
                </w:p>
              </w:tc>
              <w:tc>
                <w:tcPr>
                  <w:tcW w:w="1118" w:type="pct"/>
                  <w:tcBorders>
                    <w:top w:val="single" w:color="auto" w:sz="6" w:space="0"/>
                    <w:left w:val="single" w:color="auto" w:sz="6" w:space="0"/>
                    <w:bottom w:val="single" w:color="auto" w:sz="6" w:space="0"/>
                    <w:right w:val="single" w:color="auto" w:sz="6" w:space="0"/>
                  </w:tcBorders>
                  <w:vAlign w:val="center"/>
                </w:tcPr>
                <w:p w14:paraId="369C00E1">
                  <w:pPr>
                    <w:jc w:val="center"/>
                    <w:rPr>
                      <w:szCs w:val="21"/>
                    </w:rPr>
                  </w:pPr>
                  <w:r>
                    <w:rPr>
                      <w:rFonts w:hint="eastAsia"/>
                      <w:szCs w:val="21"/>
                    </w:rPr>
                    <w:t>46</w:t>
                  </w:r>
                </w:p>
              </w:tc>
              <w:tc>
                <w:tcPr>
                  <w:tcW w:w="1025" w:type="pct"/>
                  <w:tcBorders>
                    <w:top w:val="single" w:color="auto" w:sz="6" w:space="0"/>
                    <w:left w:val="single" w:color="auto" w:sz="6" w:space="0"/>
                    <w:bottom w:val="single" w:color="auto" w:sz="6" w:space="0"/>
                    <w:right w:val="single" w:color="auto" w:sz="6" w:space="0"/>
                  </w:tcBorders>
                  <w:vAlign w:val="center"/>
                </w:tcPr>
                <w:p w14:paraId="5DFB7D9E">
                  <w:pPr>
                    <w:jc w:val="center"/>
                    <w:rPr>
                      <w:szCs w:val="21"/>
                    </w:rPr>
                  </w:pPr>
                  <w:r>
                    <w:rPr>
                      <w:rFonts w:hint="eastAsia"/>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14:paraId="3D7478C7">
                  <w:pPr>
                    <w:jc w:val="center"/>
                    <w:rPr>
                      <w:szCs w:val="21"/>
                    </w:rPr>
                  </w:pPr>
                  <w:r>
                    <w:rPr>
                      <w:szCs w:val="21"/>
                    </w:rPr>
                    <w:t>达标</w:t>
                  </w:r>
                </w:p>
              </w:tc>
            </w:tr>
            <w:tr w14:paraId="59029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2" w:type="pct"/>
                  <w:tcBorders>
                    <w:top w:val="single" w:color="auto" w:sz="6" w:space="0"/>
                    <w:left w:val="single" w:color="auto" w:sz="12" w:space="0"/>
                    <w:bottom w:val="single" w:color="auto" w:sz="12" w:space="0"/>
                    <w:right w:val="single" w:color="auto" w:sz="6" w:space="0"/>
                  </w:tcBorders>
                  <w:vAlign w:val="center"/>
                </w:tcPr>
                <w:p w14:paraId="2088B6E5">
                  <w:pPr>
                    <w:snapToGrid w:val="0"/>
                    <w:spacing w:line="0" w:lineRule="atLeast"/>
                    <w:jc w:val="center"/>
                    <w:rPr>
                      <w:szCs w:val="21"/>
                      <w:vertAlign w:val="subscript"/>
                    </w:rPr>
                  </w:pPr>
                  <w:r>
                    <w:rPr>
                      <w:szCs w:val="21"/>
                    </w:rPr>
                    <w:t>PM</w:t>
                  </w:r>
                  <w:r>
                    <w:rPr>
                      <w:szCs w:val="21"/>
                      <w:vertAlign w:val="subscript"/>
                    </w:rPr>
                    <w:t>2.5</w:t>
                  </w:r>
                </w:p>
              </w:tc>
              <w:tc>
                <w:tcPr>
                  <w:tcW w:w="1631" w:type="pct"/>
                  <w:tcBorders>
                    <w:top w:val="single" w:color="auto" w:sz="6" w:space="0"/>
                    <w:left w:val="single" w:color="auto" w:sz="6" w:space="0"/>
                    <w:bottom w:val="single" w:color="auto" w:sz="12" w:space="0"/>
                    <w:right w:val="single" w:color="auto" w:sz="6" w:space="0"/>
                  </w:tcBorders>
                  <w:vAlign w:val="center"/>
                </w:tcPr>
                <w:p w14:paraId="3C428586">
                  <w:pPr>
                    <w:snapToGrid w:val="0"/>
                    <w:spacing w:line="0" w:lineRule="atLeast"/>
                    <w:jc w:val="center"/>
                    <w:rPr>
                      <w:szCs w:val="21"/>
                      <w:vertAlign w:val="subscript"/>
                    </w:rPr>
                  </w:pPr>
                  <w:r>
                    <w:rPr>
                      <w:bCs/>
                      <w:szCs w:val="21"/>
                    </w:rPr>
                    <w:t>年平均质量浓度</w:t>
                  </w:r>
                </w:p>
              </w:tc>
              <w:tc>
                <w:tcPr>
                  <w:tcW w:w="1118" w:type="pct"/>
                  <w:tcBorders>
                    <w:top w:val="single" w:color="auto" w:sz="6" w:space="0"/>
                    <w:left w:val="single" w:color="auto" w:sz="6" w:space="0"/>
                    <w:bottom w:val="single" w:color="auto" w:sz="12" w:space="0"/>
                    <w:right w:val="single" w:color="auto" w:sz="6" w:space="0"/>
                  </w:tcBorders>
                  <w:vAlign w:val="center"/>
                </w:tcPr>
                <w:p w14:paraId="475A882E">
                  <w:pPr>
                    <w:jc w:val="center"/>
                    <w:rPr>
                      <w:szCs w:val="21"/>
                    </w:rPr>
                  </w:pPr>
                  <w:r>
                    <w:rPr>
                      <w:rFonts w:hint="eastAsia"/>
                      <w:szCs w:val="21"/>
                    </w:rPr>
                    <w:t>30.2</w:t>
                  </w:r>
                </w:p>
              </w:tc>
              <w:tc>
                <w:tcPr>
                  <w:tcW w:w="1025" w:type="pct"/>
                  <w:tcBorders>
                    <w:top w:val="single" w:color="auto" w:sz="6" w:space="0"/>
                    <w:left w:val="single" w:color="auto" w:sz="6" w:space="0"/>
                    <w:bottom w:val="single" w:color="auto" w:sz="12" w:space="0"/>
                    <w:right w:val="single" w:color="auto" w:sz="6" w:space="0"/>
                  </w:tcBorders>
                  <w:vAlign w:val="center"/>
                </w:tcPr>
                <w:p w14:paraId="205FBB74">
                  <w:pPr>
                    <w:jc w:val="center"/>
                    <w:rPr>
                      <w:szCs w:val="21"/>
                    </w:rPr>
                  </w:pPr>
                  <w:r>
                    <w:rPr>
                      <w:rFonts w:hint="eastAsia"/>
                      <w:szCs w:val="21"/>
                    </w:rPr>
                    <w:t>30</w:t>
                  </w:r>
                </w:p>
              </w:tc>
              <w:tc>
                <w:tcPr>
                  <w:tcW w:w="712" w:type="pct"/>
                  <w:tcBorders>
                    <w:top w:val="single" w:color="auto" w:sz="6" w:space="0"/>
                    <w:left w:val="single" w:color="auto" w:sz="6" w:space="0"/>
                    <w:bottom w:val="single" w:color="auto" w:sz="12" w:space="0"/>
                    <w:right w:val="single" w:color="auto" w:sz="12" w:space="0"/>
                  </w:tcBorders>
                  <w:vAlign w:val="center"/>
                </w:tcPr>
                <w:p w14:paraId="2C2DED55">
                  <w:pPr>
                    <w:jc w:val="center"/>
                    <w:rPr>
                      <w:szCs w:val="21"/>
                    </w:rPr>
                  </w:pPr>
                  <w:r>
                    <w:rPr>
                      <w:rFonts w:hint="eastAsia"/>
                      <w:szCs w:val="21"/>
                    </w:rPr>
                    <w:t>超</w:t>
                  </w:r>
                  <w:r>
                    <w:rPr>
                      <w:szCs w:val="21"/>
                    </w:rPr>
                    <w:t>标</w:t>
                  </w:r>
                </w:p>
              </w:tc>
            </w:tr>
          </w:tbl>
          <w:p w14:paraId="69BDBDBF">
            <w:pPr>
              <w:spacing w:line="360" w:lineRule="auto"/>
              <w:ind w:firstLine="480" w:firstLineChars="200"/>
              <w:rPr>
                <w:rFonts w:hAnsi="宋体"/>
                <w:kern w:val="0"/>
                <w:sz w:val="24"/>
                <w:u w:val="wave"/>
              </w:rPr>
            </w:pPr>
            <w:r>
              <w:rPr>
                <w:rFonts w:hint="eastAsia" w:hAnsi="宋体"/>
                <w:kern w:val="0"/>
                <w:sz w:val="24"/>
              </w:rPr>
              <w:t>由上表可知，衡山县2025年度环境空气中PM</w:t>
            </w:r>
            <w:r>
              <w:rPr>
                <w:rFonts w:hint="eastAsia" w:hAnsi="宋体"/>
                <w:kern w:val="0"/>
                <w:sz w:val="24"/>
                <w:vertAlign w:val="subscript"/>
              </w:rPr>
              <w:t>2.5</w:t>
            </w:r>
            <w:r>
              <w:rPr>
                <w:rFonts w:hint="eastAsia" w:hAnsi="宋体"/>
                <w:kern w:val="0"/>
                <w:sz w:val="24"/>
              </w:rPr>
              <w:t>年平均质量浓度超标，其余各因子平均浓度满足</w:t>
            </w:r>
            <w:bookmarkStart w:id="52" w:name="OLE_LINK91"/>
            <w:bookmarkStart w:id="53" w:name="OLE_LINK6"/>
            <w:bookmarkStart w:id="54" w:name="OLE_LINK90"/>
            <w:r>
              <w:rPr>
                <w:rFonts w:hint="eastAsia" w:hAnsi="宋体"/>
                <w:kern w:val="0"/>
                <w:sz w:val="24"/>
              </w:rPr>
              <w:t>《环境空气质量标准》（GB3095-2026）</w:t>
            </w:r>
            <w:bookmarkEnd w:id="52"/>
            <w:bookmarkEnd w:id="53"/>
            <w:bookmarkEnd w:id="54"/>
            <w:r>
              <w:rPr>
                <w:rFonts w:hint="eastAsia" w:hAnsi="宋体"/>
                <w:kern w:val="0"/>
                <w:sz w:val="24"/>
              </w:rPr>
              <w:t>中过渡阶段二级标准限值，判定为非标区。</w:t>
            </w:r>
          </w:p>
          <w:p w14:paraId="24D0330E">
            <w:pPr>
              <w:spacing w:line="360" w:lineRule="auto"/>
              <w:ind w:firstLine="482" w:firstLineChars="200"/>
              <w:rPr>
                <w:b/>
                <w:sz w:val="24"/>
              </w:rPr>
            </w:pPr>
            <w:r>
              <w:rPr>
                <w:rFonts w:hint="eastAsia"/>
                <w:b/>
                <w:sz w:val="24"/>
              </w:rPr>
              <w:t>2、</w:t>
            </w:r>
            <w:r>
              <w:rPr>
                <w:b/>
                <w:sz w:val="24"/>
              </w:rPr>
              <w:t>补充监测</w:t>
            </w:r>
          </w:p>
          <w:p w14:paraId="5D5E4C6A">
            <w:pPr>
              <w:snapToGrid w:val="0"/>
              <w:spacing w:line="360" w:lineRule="auto"/>
              <w:ind w:firstLine="480" w:firstLineChars="200"/>
              <w:rPr>
                <w:sz w:val="24"/>
              </w:rPr>
            </w:pPr>
            <w:r>
              <w:rPr>
                <w:rFonts w:hint="eastAsia"/>
                <w:sz w:val="24"/>
              </w:rPr>
              <w:t>（1）监测点位及监测因子</w:t>
            </w:r>
          </w:p>
          <w:p w14:paraId="5687EE98">
            <w:pPr>
              <w:snapToGrid w:val="0"/>
              <w:spacing w:line="360" w:lineRule="auto"/>
              <w:ind w:firstLine="480" w:firstLineChars="200"/>
              <w:rPr>
                <w:b/>
                <w:sz w:val="24"/>
              </w:rPr>
            </w:pPr>
            <w:r>
              <w:rPr>
                <w:sz w:val="24"/>
              </w:rPr>
              <w:t>本项目其他污染物为</w:t>
            </w:r>
            <w:r>
              <w:rPr>
                <w:rFonts w:hint="eastAsia"/>
                <w:sz w:val="24"/>
              </w:rPr>
              <w:t>TSP</w:t>
            </w:r>
            <w:r>
              <w:rPr>
                <w:sz w:val="24"/>
              </w:rPr>
              <w:t>，需要补充监测。根据《环境影响评价技术导则 大气环境》（HJ2.2-2018），评价范围内没有环境空气质量监测网数据或公开发布的环境空气质量现状数据的，可</w:t>
            </w:r>
            <w:r>
              <w:rPr>
                <w:rFonts w:hint="eastAsia"/>
                <w:sz w:val="24"/>
              </w:rPr>
              <w:t>进行补充监测</w:t>
            </w:r>
            <w:r>
              <w:rPr>
                <w:sz w:val="24"/>
              </w:rPr>
              <w:t>。本次</w:t>
            </w:r>
            <w:r>
              <w:rPr>
                <w:rFonts w:hint="eastAsia"/>
                <w:sz w:val="24"/>
              </w:rPr>
              <w:t>委托</w:t>
            </w:r>
            <w:r>
              <w:rPr>
                <w:sz w:val="24"/>
              </w:rPr>
              <w:t>湖南</w:t>
            </w:r>
            <w:r>
              <w:rPr>
                <w:rFonts w:hint="eastAsia"/>
                <w:sz w:val="24"/>
              </w:rPr>
              <w:t>聚鸿环保科技</w:t>
            </w:r>
            <w:r>
              <w:rPr>
                <w:sz w:val="24"/>
              </w:rPr>
              <w:t>有限公司于</w:t>
            </w:r>
            <w:r>
              <w:rPr>
                <w:rFonts w:hint="eastAsia"/>
                <w:sz w:val="24"/>
              </w:rPr>
              <w:t>2026年3月15日~3月18日对</w:t>
            </w:r>
            <w:r>
              <w:rPr>
                <w:rFonts w:hint="eastAsia"/>
                <w:bCs/>
                <w:sz w:val="24"/>
              </w:rPr>
              <w:t>项目所在地下风向</w:t>
            </w:r>
            <w:r>
              <w:rPr>
                <w:rFonts w:hint="eastAsia"/>
                <w:sz w:val="24"/>
              </w:rPr>
              <w:t>进行监测（检测报告编号：</w:t>
            </w:r>
            <w:r>
              <w:rPr>
                <w:sz w:val="24"/>
              </w:rPr>
              <w:t>JH2603140202</w:t>
            </w:r>
            <w:r>
              <w:rPr>
                <w:rFonts w:hint="eastAsia"/>
                <w:sz w:val="24"/>
              </w:rPr>
              <w:t>）</w:t>
            </w:r>
            <w:r>
              <w:rPr>
                <w:sz w:val="24"/>
              </w:rPr>
              <w:t>。监测点位及监测项目情况具体见表</w:t>
            </w:r>
            <w:r>
              <w:rPr>
                <w:rFonts w:hint="eastAsia"/>
                <w:sz w:val="24"/>
              </w:rPr>
              <w:t>3-2</w:t>
            </w:r>
            <w:r>
              <w:rPr>
                <w:sz w:val="24"/>
              </w:rPr>
              <w:t>。</w:t>
            </w:r>
          </w:p>
          <w:p w14:paraId="1B002249">
            <w:pPr>
              <w:autoSpaceDE w:val="0"/>
              <w:autoSpaceDN w:val="0"/>
              <w:adjustRightInd w:val="0"/>
              <w:spacing w:before="120" w:beforeLines="50"/>
              <w:jc w:val="center"/>
              <w:rPr>
                <w:b/>
                <w:kern w:val="0"/>
                <w:szCs w:val="21"/>
              </w:rPr>
            </w:pPr>
            <w:r>
              <w:rPr>
                <w:b/>
                <w:kern w:val="0"/>
                <w:szCs w:val="21"/>
              </w:rPr>
              <w:t>表</w:t>
            </w:r>
            <w:r>
              <w:rPr>
                <w:rFonts w:hint="eastAsia"/>
                <w:b/>
                <w:kern w:val="0"/>
                <w:szCs w:val="21"/>
              </w:rPr>
              <w:t xml:space="preserve">3-2 </w:t>
            </w:r>
            <w:r>
              <w:rPr>
                <w:b/>
                <w:kern w:val="0"/>
                <w:szCs w:val="21"/>
              </w:rPr>
              <w:t xml:space="preserve"> </w:t>
            </w:r>
            <w:r>
              <w:rPr>
                <w:rFonts w:hint="eastAsia"/>
                <w:b/>
                <w:kern w:val="0"/>
                <w:szCs w:val="21"/>
              </w:rPr>
              <w:t>补充</w:t>
            </w:r>
            <w:r>
              <w:rPr>
                <w:b/>
                <w:kern w:val="0"/>
                <w:szCs w:val="21"/>
              </w:rPr>
              <w:t>监测点位基本信息</w:t>
            </w:r>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9"/>
              <w:gridCol w:w="1527"/>
              <w:gridCol w:w="1549"/>
              <w:gridCol w:w="1546"/>
              <w:gridCol w:w="2934"/>
            </w:tblGrid>
            <w:tr w14:paraId="3A7ECC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0" w:type="pct"/>
                  <w:vMerge w:val="restart"/>
                  <w:vAlign w:val="center"/>
                </w:tcPr>
                <w:p w14:paraId="2A3BE23A">
                  <w:pPr>
                    <w:spacing w:line="0" w:lineRule="atLeast"/>
                    <w:jc w:val="center"/>
                    <w:rPr>
                      <w:b/>
                      <w:szCs w:val="21"/>
                    </w:rPr>
                  </w:pPr>
                  <w:r>
                    <w:rPr>
                      <w:b/>
                      <w:szCs w:val="21"/>
                    </w:rPr>
                    <w:t>监测点名称</w:t>
                  </w:r>
                </w:p>
              </w:tc>
              <w:tc>
                <w:tcPr>
                  <w:tcW w:w="1640" w:type="pct"/>
                  <w:gridSpan w:val="2"/>
                  <w:vAlign w:val="center"/>
                </w:tcPr>
                <w:p w14:paraId="498ECE27">
                  <w:pPr>
                    <w:spacing w:line="0" w:lineRule="atLeast"/>
                    <w:jc w:val="center"/>
                    <w:rPr>
                      <w:b/>
                      <w:szCs w:val="21"/>
                    </w:rPr>
                  </w:pPr>
                  <w:r>
                    <w:rPr>
                      <w:b/>
                      <w:szCs w:val="21"/>
                    </w:rPr>
                    <w:t>监</w:t>
                  </w:r>
                  <w:r>
                    <w:rPr>
                      <w:rFonts w:hint="eastAsia"/>
                      <w:b/>
                      <w:szCs w:val="21"/>
                    </w:rPr>
                    <w:t>测</w:t>
                  </w:r>
                  <w:r>
                    <w:rPr>
                      <w:b/>
                      <w:szCs w:val="21"/>
                    </w:rPr>
                    <w:t>点坐标</w:t>
                  </w:r>
                </w:p>
              </w:tc>
              <w:tc>
                <w:tcPr>
                  <w:tcW w:w="824" w:type="pct"/>
                  <w:vMerge w:val="restart"/>
                  <w:vAlign w:val="center"/>
                </w:tcPr>
                <w:p w14:paraId="064940E5">
                  <w:pPr>
                    <w:spacing w:line="0" w:lineRule="atLeast"/>
                    <w:jc w:val="center"/>
                    <w:rPr>
                      <w:b/>
                      <w:szCs w:val="21"/>
                    </w:rPr>
                  </w:pPr>
                  <w:r>
                    <w:rPr>
                      <w:b/>
                      <w:szCs w:val="21"/>
                    </w:rPr>
                    <w:t>监测因子</w:t>
                  </w:r>
                </w:p>
              </w:tc>
              <w:tc>
                <w:tcPr>
                  <w:tcW w:w="1564" w:type="pct"/>
                  <w:vMerge w:val="restart"/>
                  <w:vAlign w:val="center"/>
                </w:tcPr>
                <w:p w14:paraId="36614CD1">
                  <w:pPr>
                    <w:spacing w:line="0" w:lineRule="atLeast"/>
                    <w:jc w:val="center"/>
                    <w:rPr>
                      <w:b/>
                      <w:szCs w:val="21"/>
                    </w:rPr>
                  </w:pPr>
                  <w:r>
                    <w:rPr>
                      <w:rFonts w:hint="eastAsia"/>
                      <w:b/>
                      <w:szCs w:val="21"/>
                    </w:rPr>
                    <w:t>监测时间</w:t>
                  </w:r>
                </w:p>
              </w:tc>
            </w:tr>
            <w:tr w14:paraId="0A92E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0" w:type="pct"/>
                  <w:vMerge w:val="continue"/>
                  <w:vAlign w:val="center"/>
                </w:tcPr>
                <w:p w14:paraId="6FEED9AC">
                  <w:pPr>
                    <w:spacing w:line="0" w:lineRule="atLeast"/>
                    <w:jc w:val="center"/>
                    <w:rPr>
                      <w:b/>
                      <w:szCs w:val="21"/>
                    </w:rPr>
                  </w:pPr>
                </w:p>
              </w:tc>
              <w:tc>
                <w:tcPr>
                  <w:tcW w:w="814" w:type="pct"/>
                  <w:vAlign w:val="center"/>
                </w:tcPr>
                <w:p w14:paraId="6C1AD38B">
                  <w:pPr>
                    <w:spacing w:line="0" w:lineRule="atLeast"/>
                    <w:jc w:val="center"/>
                    <w:rPr>
                      <w:b/>
                      <w:szCs w:val="21"/>
                    </w:rPr>
                  </w:pPr>
                  <w:r>
                    <w:rPr>
                      <w:rFonts w:hint="eastAsia"/>
                      <w:b/>
                      <w:szCs w:val="21"/>
                    </w:rPr>
                    <w:t>经度</w:t>
                  </w:r>
                </w:p>
              </w:tc>
              <w:tc>
                <w:tcPr>
                  <w:tcW w:w="825" w:type="pct"/>
                  <w:vAlign w:val="center"/>
                </w:tcPr>
                <w:p w14:paraId="7551D9F6">
                  <w:pPr>
                    <w:spacing w:line="0" w:lineRule="atLeast"/>
                    <w:jc w:val="center"/>
                    <w:rPr>
                      <w:b/>
                      <w:szCs w:val="21"/>
                    </w:rPr>
                  </w:pPr>
                  <w:r>
                    <w:rPr>
                      <w:rFonts w:hint="eastAsia"/>
                      <w:b/>
                      <w:szCs w:val="21"/>
                    </w:rPr>
                    <w:t>纬度</w:t>
                  </w:r>
                </w:p>
              </w:tc>
              <w:tc>
                <w:tcPr>
                  <w:tcW w:w="824" w:type="pct"/>
                  <w:vMerge w:val="continue"/>
                  <w:vAlign w:val="center"/>
                </w:tcPr>
                <w:p w14:paraId="579A27E6">
                  <w:pPr>
                    <w:spacing w:line="0" w:lineRule="atLeast"/>
                    <w:jc w:val="center"/>
                    <w:rPr>
                      <w:b/>
                      <w:szCs w:val="21"/>
                    </w:rPr>
                  </w:pPr>
                </w:p>
              </w:tc>
              <w:tc>
                <w:tcPr>
                  <w:tcW w:w="1564" w:type="pct"/>
                  <w:vMerge w:val="continue"/>
                  <w:vAlign w:val="center"/>
                </w:tcPr>
                <w:p w14:paraId="289429E5">
                  <w:pPr>
                    <w:spacing w:line="0" w:lineRule="atLeast"/>
                    <w:jc w:val="center"/>
                    <w:rPr>
                      <w:b/>
                      <w:szCs w:val="21"/>
                    </w:rPr>
                  </w:pPr>
                </w:p>
              </w:tc>
            </w:tr>
            <w:tr w14:paraId="588E1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70" w:type="pct"/>
                  <w:vAlign w:val="center"/>
                </w:tcPr>
                <w:p w14:paraId="5CE2476A">
                  <w:pPr>
                    <w:spacing w:line="0" w:lineRule="atLeast"/>
                    <w:jc w:val="center"/>
                    <w:rPr>
                      <w:szCs w:val="21"/>
                    </w:rPr>
                  </w:pPr>
                  <w:r>
                    <w:rPr>
                      <w:rFonts w:hint="eastAsia"/>
                      <w:szCs w:val="21"/>
                    </w:rPr>
                    <w:t>G1</w:t>
                  </w:r>
                  <w:r>
                    <w:rPr>
                      <w:rFonts w:hint="eastAsia"/>
                      <w:bCs/>
                      <w:szCs w:val="21"/>
                    </w:rPr>
                    <w:t>项目所在地下风向</w:t>
                  </w:r>
                </w:p>
              </w:tc>
              <w:tc>
                <w:tcPr>
                  <w:tcW w:w="814" w:type="pct"/>
                  <w:vAlign w:val="center"/>
                </w:tcPr>
                <w:p w14:paraId="4527DF03">
                  <w:pPr>
                    <w:widowControl/>
                    <w:jc w:val="center"/>
                    <w:rPr>
                      <w:bCs/>
                      <w:szCs w:val="21"/>
                    </w:rPr>
                  </w:pPr>
                  <w:r>
                    <w:rPr>
                      <w:bCs/>
                      <w:szCs w:val="21"/>
                    </w:rPr>
                    <w:t>112.607495°</w:t>
                  </w:r>
                </w:p>
              </w:tc>
              <w:tc>
                <w:tcPr>
                  <w:tcW w:w="825" w:type="pct"/>
                  <w:vAlign w:val="center"/>
                </w:tcPr>
                <w:p w14:paraId="780B7197">
                  <w:pPr>
                    <w:jc w:val="center"/>
                    <w:rPr>
                      <w:bCs/>
                      <w:szCs w:val="21"/>
                    </w:rPr>
                  </w:pPr>
                  <w:r>
                    <w:rPr>
                      <w:bCs/>
                      <w:szCs w:val="21"/>
                    </w:rPr>
                    <w:t>27.38686</w:t>
                  </w:r>
                  <w:r>
                    <w:rPr>
                      <w:rFonts w:hint="eastAsia"/>
                      <w:bCs/>
                      <w:szCs w:val="21"/>
                    </w:rPr>
                    <w:t>5</w:t>
                  </w:r>
                  <w:r>
                    <w:rPr>
                      <w:bCs/>
                      <w:szCs w:val="21"/>
                    </w:rPr>
                    <w:t>°</w:t>
                  </w:r>
                </w:p>
              </w:tc>
              <w:tc>
                <w:tcPr>
                  <w:tcW w:w="824" w:type="pct"/>
                  <w:vAlign w:val="center"/>
                </w:tcPr>
                <w:p w14:paraId="5F5F9571">
                  <w:pPr>
                    <w:jc w:val="center"/>
                    <w:rPr>
                      <w:bCs/>
                      <w:szCs w:val="21"/>
                    </w:rPr>
                  </w:pPr>
                  <w:r>
                    <w:rPr>
                      <w:rFonts w:hint="eastAsia"/>
                      <w:bCs/>
                      <w:szCs w:val="21"/>
                    </w:rPr>
                    <w:t>TSP</w:t>
                  </w:r>
                </w:p>
              </w:tc>
              <w:tc>
                <w:tcPr>
                  <w:tcW w:w="1564" w:type="pct"/>
                  <w:vAlign w:val="center"/>
                </w:tcPr>
                <w:p w14:paraId="1F409731">
                  <w:pPr>
                    <w:jc w:val="center"/>
                    <w:rPr>
                      <w:bCs/>
                      <w:szCs w:val="21"/>
                    </w:rPr>
                  </w:pPr>
                  <w:r>
                    <w:rPr>
                      <w:bCs/>
                      <w:szCs w:val="21"/>
                    </w:rPr>
                    <w:t>202</w:t>
                  </w:r>
                  <w:r>
                    <w:rPr>
                      <w:rFonts w:hint="eastAsia"/>
                      <w:bCs/>
                      <w:szCs w:val="21"/>
                    </w:rPr>
                    <w:t>6</w:t>
                  </w:r>
                  <w:r>
                    <w:rPr>
                      <w:bCs/>
                      <w:szCs w:val="21"/>
                    </w:rPr>
                    <w:t>年</w:t>
                  </w:r>
                  <w:r>
                    <w:rPr>
                      <w:rFonts w:hint="eastAsia"/>
                      <w:bCs/>
                      <w:szCs w:val="21"/>
                    </w:rPr>
                    <w:t>3</w:t>
                  </w:r>
                  <w:r>
                    <w:rPr>
                      <w:bCs/>
                      <w:szCs w:val="21"/>
                    </w:rPr>
                    <w:t>月</w:t>
                  </w:r>
                  <w:r>
                    <w:rPr>
                      <w:rFonts w:hint="eastAsia"/>
                      <w:bCs/>
                      <w:szCs w:val="21"/>
                    </w:rPr>
                    <w:t>15</w:t>
                  </w:r>
                  <w:r>
                    <w:rPr>
                      <w:bCs/>
                      <w:szCs w:val="21"/>
                    </w:rPr>
                    <w:t>日~</w:t>
                  </w:r>
                  <w:r>
                    <w:rPr>
                      <w:rFonts w:hint="eastAsia"/>
                      <w:bCs/>
                      <w:szCs w:val="21"/>
                    </w:rPr>
                    <w:t>3</w:t>
                  </w:r>
                  <w:r>
                    <w:rPr>
                      <w:bCs/>
                      <w:szCs w:val="21"/>
                    </w:rPr>
                    <w:t>月</w:t>
                  </w:r>
                  <w:r>
                    <w:rPr>
                      <w:rFonts w:hint="eastAsia"/>
                      <w:bCs/>
                      <w:szCs w:val="21"/>
                    </w:rPr>
                    <w:t>18</w:t>
                  </w:r>
                  <w:r>
                    <w:rPr>
                      <w:bCs/>
                      <w:szCs w:val="21"/>
                    </w:rPr>
                    <w:t>日</w:t>
                  </w:r>
                </w:p>
              </w:tc>
            </w:tr>
          </w:tbl>
          <w:p w14:paraId="570A063C">
            <w:pPr>
              <w:snapToGrid w:val="0"/>
              <w:spacing w:line="360" w:lineRule="auto"/>
              <w:ind w:firstLine="480" w:firstLineChars="200"/>
              <w:rPr>
                <w:sz w:val="24"/>
              </w:rPr>
            </w:pPr>
            <w:r>
              <w:rPr>
                <w:rFonts w:hint="eastAsia"/>
                <w:sz w:val="24"/>
              </w:rPr>
              <w:t>（2）</w:t>
            </w:r>
            <w:r>
              <w:rPr>
                <w:sz w:val="24"/>
              </w:rPr>
              <w:t>监测结果及评价</w:t>
            </w:r>
          </w:p>
          <w:p w14:paraId="4D68E803">
            <w:pPr>
              <w:adjustRightInd w:val="0"/>
              <w:snapToGrid w:val="0"/>
              <w:spacing w:line="360" w:lineRule="auto"/>
              <w:ind w:firstLine="480" w:firstLineChars="200"/>
              <w:rPr>
                <w:sz w:val="24"/>
              </w:rPr>
            </w:pPr>
            <w:r>
              <w:rPr>
                <w:sz w:val="24"/>
              </w:rPr>
              <w:t>评价区域环境空气污染物现状监测结果统计分析见表</w:t>
            </w:r>
            <w:r>
              <w:rPr>
                <w:rFonts w:hint="eastAsia"/>
                <w:sz w:val="24"/>
              </w:rPr>
              <w:t>3-3。</w:t>
            </w:r>
          </w:p>
          <w:p w14:paraId="4924CC5F">
            <w:pPr>
              <w:autoSpaceDE w:val="0"/>
              <w:autoSpaceDN w:val="0"/>
              <w:adjustRightInd w:val="0"/>
              <w:spacing w:before="120" w:beforeLines="50"/>
              <w:jc w:val="center"/>
              <w:rPr>
                <w:b/>
                <w:kern w:val="0"/>
                <w:szCs w:val="21"/>
              </w:rPr>
            </w:pPr>
            <w:r>
              <w:rPr>
                <w:b/>
                <w:kern w:val="0"/>
                <w:szCs w:val="21"/>
              </w:rPr>
              <w:t>表3-3  其他污染物环境质量现状（监测结果）表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3"/>
              <w:gridCol w:w="852"/>
              <w:gridCol w:w="1135"/>
              <w:gridCol w:w="1276"/>
              <w:gridCol w:w="1419"/>
              <w:gridCol w:w="1276"/>
              <w:gridCol w:w="1135"/>
              <w:gridCol w:w="748"/>
            </w:tblGrid>
            <w:tr w14:paraId="4043B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restart"/>
                  <w:vAlign w:val="center"/>
                </w:tcPr>
                <w:p w14:paraId="53AD246D">
                  <w:pPr>
                    <w:adjustRightInd w:val="0"/>
                    <w:snapToGrid w:val="0"/>
                    <w:jc w:val="center"/>
                    <w:rPr>
                      <w:b/>
                      <w:bCs/>
                      <w:szCs w:val="21"/>
                    </w:rPr>
                  </w:pPr>
                  <w:r>
                    <w:rPr>
                      <w:b/>
                      <w:bCs/>
                      <w:szCs w:val="21"/>
                    </w:rPr>
                    <w:t>监测点位</w:t>
                  </w:r>
                </w:p>
              </w:tc>
              <w:tc>
                <w:tcPr>
                  <w:tcW w:w="454" w:type="pct"/>
                  <w:vMerge w:val="restart"/>
                  <w:vAlign w:val="center"/>
                </w:tcPr>
                <w:p w14:paraId="52D7BCB8">
                  <w:pPr>
                    <w:adjustRightInd w:val="0"/>
                    <w:snapToGrid w:val="0"/>
                    <w:jc w:val="center"/>
                    <w:rPr>
                      <w:b/>
                      <w:bCs/>
                      <w:szCs w:val="21"/>
                    </w:rPr>
                  </w:pPr>
                  <w:r>
                    <w:rPr>
                      <w:b/>
                      <w:bCs/>
                      <w:szCs w:val="21"/>
                    </w:rPr>
                    <w:t>污染物</w:t>
                  </w:r>
                </w:p>
              </w:tc>
              <w:tc>
                <w:tcPr>
                  <w:tcW w:w="605" w:type="pct"/>
                  <w:vMerge w:val="restart"/>
                  <w:vAlign w:val="center"/>
                </w:tcPr>
                <w:p w14:paraId="4ADA1A3D">
                  <w:pPr>
                    <w:adjustRightInd w:val="0"/>
                    <w:snapToGrid w:val="0"/>
                    <w:jc w:val="center"/>
                    <w:rPr>
                      <w:b/>
                      <w:bCs/>
                      <w:szCs w:val="21"/>
                    </w:rPr>
                  </w:pPr>
                  <w:r>
                    <w:rPr>
                      <w:b/>
                      <w:bCs/>
                      <w:szCs w:val="21"/>
                    </w:rPr>
                    <w:t>平均时间</w:t>
                  </w:r>
                </w:p>
              </w:tc>
              <w:tc>
                <w:tcPr>
                  <w:tcW w:w="680" w:type="pct"/>
                  <w:vMerge w:val="restart"/>
                  <w:vAlign w:val="center"/>
                </w:tcPr>
                <w:p w14:paraId="22808CD2">
                  <w:pPr>
                    <w:adjustRightInd w:val="0"/>
                    <w:snapToGrid w:val="0"/>
                    <w:jc w:val="center"/>
                    <w:rPr>
                      <w:b/>
                      <w:bCs/>
                      <w:szCs w:val="21"/>
                    </w:rPr>
                  </w:pPr>
                  <w:r>
                    <w:rPr>
                      <w:b/>
                      <w:bCs/>
                      <w:szCs w:val="21"/>
                    </w:rPr>
                    <w:t>评价标准/</w:t>
                  </w:r>
                  <w:r>
                    <w:rPr>
                      <w:b/>
                      <w:szCs w:val="21"/>
                    </w:rPr>
                    <w:t>（</w:t>
                  </w:r>
                  <w:r>
                    <w:rPr>
                      <w:rFonts w:hint="eastAsia"/>
                      <w:b/>
                      <w:szCs w:val="21"/>
                    </w:rPr>
                    <w:t>m</w:t>
                  </w:r>
                  <w:r>
                    <w:rPr>
                      <w:b/>
                      <w:szCs w:val="21"/>
                    </w:rPr>
                    <w:t>g/m</w:t>
                  </w:r>
                  <w:r>
                    <w:rPr>
                      <w:rFonts w:hint="eastAsia"/>
                      <w:b/>
                      <w:szCs w:val="21"/>
                      <w:vertAlign w:val="superscript"/>
                    </w:rPr>
                    <w:t>3</w:t>
                  </w:r>
                  <w:r>
                    <w:rPr>
                      <w:b/>
                      <w:szCs w:val="21"/>
                    </w:rPr>
                    <w:t>）</w:t>
                  </w:r>
                </w:p>
              </w:tc>
              <w:tc>
                <w:tcPr>
                  <w:tcW w:w="756" w:type="pct"/>
                  <w:vMerge w:val="restart"/>
                  <w:vAlign w:val="center"/>
                </w:tcPr>
                <w:p w14:paraId="662342D6">
                  <w:pPr>
                    <w:adjustRightInd w:val="0"/>
                    <w:snapToGrid w:val="0"/>
                    <w:jc w:val="center"/>
                    <w:rPr>
                      <w:b/>
                      <w:bCs/>
                      <w:szCs w:val="21"/>
                    </w:rPr>
                  </w:pPr>
                  <w:r>
                    <w:rPr>
                      <w:b/>
                      <w:bCs/>
                      <w:szCs w:val="21"/>
                    </w:rPr>
                    <w:t>监测浓度范围/</w:t>
                  </w:r>
                  <w:r>
                    <w:rPr>
                      <w:b/>
                      <w:szCs w:val="21"/>
                    </w:rPr>
                    <w:t>（</w:t>
                  </w:r>
                  <w:r>
                    <w:rPr>
                      <w:rFonts w:hint="eastAsia"/>
                      <w:b/>
                      <w:szCs w:val="21"/>
                    </w:rPr>
                    <w:t>m</w:t>
                  </w:r>
                  <w:r>
                    <w:rPr>
                      <w:b/>
                      <w:szCs w:val="21"/>
                    </w:rPr>
                    <w:t>g/m</w:t>
                  </w:r>
                  <w:r>
                    <w:rPr>
                      <w:rFonts w:hint="eastAsia"/>
                      <w:b/>
                      <w:szCs w:val="21"/>
                      <w:vertAlign w:val="superscript"/>
                    </w:rPr>
                    <w:t>3</w:t>
                  </w:r>
                  <w:r>
                    <w:rPr>
                      <w:b/>
                      <w:szCs w:val="21"/>
                    </w:rPr>
                    <w:t>）</w:t>
                  </w:r>
                </w:p>
              </w:tc>
              <w:tc>
                <w:tcPr>
                  <w:tcW w:w="680" w:type="pct"/>
                  <w:vMerge w:val="restart"/>
                  <w:vAlign w:val="center"/>
                </w:tcPr>
                <w:p w14:paraId="30F779A0">
                  <w:pPr>
                    <w:adjustRightInd w:val="0"/>
                    <w:snapToGrid w:val="0"/>
                    <w:jc w:val="center"/>
                    <w:rPr>
                      <w:b/>
                      <w:bCs/>
                      <w:szCs w:val="21"/>
                    </w:rPr>
                  </w:pPr>
                  <w:r>
                    <w:rPr>
                      <w:b/>
                      <w:bCs/>
                      <w:szCs w:val="21"/>
                    </w:rPr>
                    <w:t>最大浓度占标率/%</w:t>
                  </w:r>
                </w:p>
              </w:tc>
              <w:tc>
                <w:tcPr>
                  <w:tcW w:w="605" w:type="pct"/>
                  <w:vMerge w:val="restart"/>
                  <w:vAlign w:val="center"/>
                </w:tcPr>
                <w:p w14:paraId="72233314">
                  <w:pPr>
                    <w:adjustRightInd w:val="0"/>
                    <w:snapToGrid w:val="0"/>
                    <w:jc w:val="center"/>
                    <w:rPr>
                      <w:b/>
                      <w:bCs/>
                      <w:szCs w:val="21"/>
                    </w:rPr>
                  </w:pPr>
                  <w:r>
                    <w:rPr>
                      <w:b/>
                      <w:bCs/>
                      <w:szCs w:val="21"/>
                    </w:rPr>
                    <w:t>超标率/%</w:t>
                  </w:r>
                </w:p>
              </w:tc>
              <w:tc>
                <w:tcPr>
                  <w:tcW w:w="399" w:type="pct"/>
                  <w:vMerge w:val="restart"/>
                  <w:vAlign w:val="center"/>
                </w:tcPr>
                <w:p w14:paraId="583FC05F">
                  <w:pPr>
                    <w:adjustRightInd w:val="0"/>
                    <w:snapToGrid w:val="0"/>
                    <w:jc w:val="center"/>
                    <w:rPr>
                      <w:b/>
                      <w:bCs/>
                      <w:szCs w:val="21"/>
                    </w:rPr>
                  </w:pPr>
                  <w:r>
                    <w:rPr>
                      <w:b/>
                      <w:bCs/>
                      <w:szCs w:val="21"/>
                    </w:rPr>
                    <w:t>达标情况</w:t>
                  </w:r>
                </w:p>
              </w:tc>
            </w:tr>
            <w:tr w14:paraId="337CE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Merge w:val="continue"/>
                  <w:vAlign w:val="center"/>
                </w:tcPr>
                <w:p w14:paraId="2EABBCCD">
                  <w:pPr>
                    <w:adjustRightInd w:val="0"/>
                    <w:snapToGrid w:val="0"/>
                    <w:jc w:val="center"/>
                    <w:rPr>
                      <w:b/>
                      <w:bCs/>
                      <w:szCs w:val="21"/>
                    </w:rPr>
                  </w:pPr>
                </w:p>
              </w:tc>
              <w:tc>
                <w:tcPr>
                  <w:tcW w:w="454" w:type="pct"/>
                  <w:vMerge w:val="continue"/>
                  <w:vAlign w:val="center"/>
                </w:tcPr>
                <w:p w14:paraId="0203C051">
                  <w:pPr>
                    <w:adjustRightInd w:val="0"/>
                    <w:snapToGrid w:val="0"/>
                    <w:jc w:val="center"/>
                    <w:rPr>
                      <w:b/>
                      <w:bCs/>
                      <w:szCs w:val="21"/>
                    </w:rPr>
                  </w:pPr>
                </w:p>
              </w:tc>
              <w:tc>
                <w:tcPr>
                  <w:tcW w:w="605" w:type="pct"/>
                  <w:vMerge w:val="continue"/>
                  <w:vAlign w:val="center"/>
                </w:tcPr>
                <w:p w14:paraId="43B5BE93">
                  <w:pPr>
                    <w:adjustRightInd w:val="0"/>
                    <w:snapToGrid w:val="0"/>
                    <w:jc w:val="center"/>
                    <w:rPr>
                      <w:b/>
                      <w:bCs/>
                      <w:szCs w:val="21"/>
                    </w:rPr>
                  </w:pPr>
                </w:p>
              </w:tc>
              <w:tc>
                <w:tcPr>
                  <w:tcW w:w="680" w:type="pct"/>
                  <w:vMerge w:val="continue"/>
                  <w:vAlign w:val="center"/>
                </w:tcPr>
                <w:p w14:paraId="70E726F1">
                  <w:pPr>
                    <w:adjustRightInd w:val="0"/>
                    <w:snapToGrid w:val="0"/>
                    <w:jc w:val="center"/>
                    <w:rPr>
                      <w:b/>
                      <w:bCs/>
                      <w:szCs w:val="21"/>
                    </w:rPr>
                  </w:pPr>
                </w:p>
              </w:tc>
              <w:tc>
                <w:tcPr>
                  <w:tcW w:w="756" w:type="pct"/>
                  <w:vMerge w:val="continue"/>
                  <w:vAlign w:val="center"/>
                </w:tcPr>
                <w:p w14:paraId="7777D64E">
                  <w:pPr>
                    <w:adjustRightInd w:val="0"/>
                    <w:snapToGrid w:val="0"/>
                    <w:jc w:val="center"/>
                    <w:rPr>
                      <w:b/>
                      <w:bCs/>
                      <w:szCs w:val="21"/>
                    </w:rPr>
                  </w:pPr>
                </w:p>
              </w:tc>
              <w:tc>
                <w:tcPr>
                  <w:tcW w:w="680" w:type="pct"/>
                  <w:vMerge w:val="continue"/>
                  <w:vAlign w:val="center"/>
                </w:tcPr>
                <w:p w14:paraId="6A915302">
                  <w:pPr>
                    <w:adjustRightInd w:val="0"/>
                    <w:snapToGrid w:val="0"/>
                    <w:jc w:val="center"/>
                    <w:rPr>
                      <w:b/>
                      <w:bCs/>
                      <w:szCs w:val="21"/>
                    </w:rPr>
                  </w:pPr>
                </w:p>
              </w:tc>
              <w:tc>
                <w:tcPr>
                  <w:tcW w:w="605" w:type="pct"/>
                  <w:vMerge w:val="continue"/>
                  <w:vAlign w:val="center"/>
                </w:tcPr>
                <w:p w14:paraId="46CC368B">
                  <w:pPr>
                    <w:adjustRightInd w:val="0"/>
                    <w:snapToGrid w:val="0"/>
                    <w:jc w:val="center"/>
                    <w:rPr>
                      <w:b/>
                      <w:bCs/>
                      <w:szCs w:val="21"/>
                    </w:rPr>
                  </w:pPr>
                </w:p>
              </w:tc>
              <w:tc>
                <w:tcPr>
                  <w:tcW w:w="399" w:type="pct"/>
                  <w:vMerge w:val="continue"/>
                  <w:vAlign w:val="center"/>
                </w:tcPr>
                <w:p w14:paraId="4F46E67D">
                  <w:pPr>
                    <w:adjustRightInd w:val="0"/>
                    <w:snapToGrid w:val="0"/>
                    <w:jc w:val="center"/>
                    <w:rPr>
                      <w:b/>
                      <w:bCs/>
                      <w:szCs w:val="21"/>
                    </w:rPr>
                  </w:pPr>
                </w:p>
              </w:tc>
            </w:tr>
            <w:tr w14:paraId="0089A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2" w:type="pct"/>
                  <w:vAlign w:val="center"/>
                </w:tcPr>
                <w:p w14:paraId="5FDFB98B">
                  <w:pPr>
                    <w:widowControl/>
                    <w:snapToGrid w:val="0"/>
                    <w:jc w:val="center"/>
                    <w:rPr>
                      <w:kern w:val="0"/>
                      <w:szCs w:val="21"/>
                    </w:rPr>
                  </w:pPr>
                  <w:r>
                    <w:rPr>
                      <w:rFonts w:hint="eastAsia"/>
                      <w:kern w:val="0"/>
                      <w:szCs w:val="21"/>
                    </w:rPr>
                    <w:t>G1</w:t>
                  </w:r>
                  <w:r>
                    <w:rPr>
                      <w:rFonts w:hint="eastAsia"/>
                      <w:bCs/>
                      <w:szCs w:val="21"/>
                    </w:rPr>
                    <w:t>项目所在地下风向</w:t>
                  </w:r>
                </w:p>
              </w:tc>
              <w:tc>
                <w:tcPr>
                  <w:tcW w:w="454" w:type="pct"/>
                  <w:vAlign w:val="center"/>
                </w:tcPr>
                <w:p w14:paraId="5E8D9467">
                  <w:pPr>
                    <w:adjustRightInd w:val="0"/>
                    <w:snapToGrid w:val="0"/>
                    <w:jc w:val="center"/>
                    <w:rPr>
                      <w:bCs/>
                      <w:szCs w:val="21"/>
                    </w:rPr>
                  </w:pPr>
                  <w:r>
                    <w:rPr>
                      <w:rFonts w:hint="eastAsia"/>
                      <w:bCs/>
                      <w:szCs w:val="21"/>
                    </w:rPr>
                    <w:t>TSP</w:t>
                  </w:r>
                </w:p>
              </w:tc>
              <w:tc>
                <w:tcPr>
                  <w:tcW w:w="605" w:type="pct"/>
                  <w:vAlign w:val="center"/>
                </w:tcPr>
                <w:p w14:paraId="6851DC67">
                  <w:pPr>
                    <w:adjustRightInd w:val="0"/>
                    <w:snapToGrid w:val="0"/>
                    <w:jc w:val="center"/>
                    <w:rPr>
                      <w:bCs/>
                      <w:szCs w:val="21"/>
                    </w:rPr>
                  </w:pPr>
                  <w:r>
                    <w:rPr>
                      <w:bCs/>
                      <w:szCs w:val="21"/>
                    </w:rPr>
                    <w:t>日均值</w:t>
                  </w:r>
                </w:p>
              </w:tc>
              <w:tc>
                <w:tcPr>
                  <w:tcW w:w="680" w:type="pct"/>
                  <w:vAlign w:val="center"/>
                </w:tcPr>
                <w:p w14:paraId="0EBE5FA1">
                  <w:pPr>
                    <w:adjustRightInd w:val="0"/>
                    <w:snapToGrid w:val="0"/>
                    <w:jc w:val="center"/>
                    <w:rPr>
                      <w:bCs/>
                      <w:szCs w:val="21"/>
                    </w:rPr>
                  </w:pPr>
                  <w:r>
                    <w:rPr>
                      <w:rFonts w:hint="eastAsia"/>
                      <w:bCs/>
                      <w:szCs w:val="21"/>
                    </w:rPr>
                    <w:t>0.127~0.140</w:t>
                  </w:r>
                </w:p>
              </w:tc>
              <w:tc>
                <w:tcPr>
                  <w:tcW w:w="756" w:type="pct"/>
                  <w:vAlign w:val="center"/>
                </w:tcPr>
                <w:p w14:paraId="18456A73">
                  <w:pPr>
                    <w:adjustRightInd w:val="0"/>
                    <w:snapToGrid w:val="0"/>
                    <w:jc w:val="center"/>
                    <w:rPr>
                      <w:bCs/>
                      <w:szCs w:val="21"/>
                    </w:rPr>
                  </w:pPr>
                  <w:r>
                    <w:rPr>
                      <w:rFonts w:hint="eastAsia"/>
                      <w:bCs/>
                      <w:szCs w:val="21"/>
                    </w:rPr>
                    <w:t>0.3</w:t>
                  </w:r>
                </w:p>
              </w:tc>
              <w:tc>
                <w:tcPr>
                  <w:tcW w:w="680" w:type="pct"/>
                  <w:vAlign w:val="center"/>
                </w:tcPr>
                <w:p w14:paraId="79D9CFD6">
                  <w:pPr>
                    <w:adjustRightInd w:val="0"/>
                    <w:snapToGrid w:val="0"/>
                    <w:jc w:val="center"/>
                    <w:rPr>
                      <w:bCs/>
                      <w:szCs w:val="21"/>
                    </w:rPr>
                  </w:pPr>
                  <w:r>
                    <w:rPr>
                      <w:rFonts w:hint="eastAsia"/>
                      <w:bCs/>
                      <w:szCs w:val="21"/>
                    </w:rPr>
                    <w:t>46.7</w:t>
                  </w:r>
                </w:p>
              </w:tc>
              <w:tc>
                <w:tcPr>
                  <w:tcW w:w="605" w:type="pct"/>
                  <w:vAlign w:val="center"/>
                </w:tcPr>
                <w:p w14:paraId="681C5EF7">
                  <w:pPr>
                    <w:adjustRightInd w:val="0"/>
                    <w:snapToGrid w:val="0"/>
                    <w:jc w:val="center"/>
                    <w:rPr>
                      <w:bCs/>
                      <w:szCs w:val="21"/>
                    </w:rPr>
                  </w:pPr>
                  <w:r>
                    <w:rPr>
                      <w:rFonts w:hint="eastAsia"/>
                      <w:bCs/>
                      <w:szCs w:val="21"/>
                    </w:rPr>
                    <w:t>0</w:t>
                  </w:r>
                </w:p>
              </w:tc>
              <w:tc>
                <w:tcPr>
                  <w:tcW w:w="399" w:type="pct"/>
                  <w:vAlign w:val="center"/>
                </w:tcPr>
                <w:p w14:paraId="4995099B">
                  <w:pPr>
                    <w:adjustRightInd w:val="0"/>
                    <w:snapToGrid w:val="0"/>
                    <w:jc w:val="center"/>
                    <w:rPr>
                      <w:bCs/>
                      <w:szCs w:val="21"/>
                    </w:rPr>
                  </w:pPr>
                  <w:r>
                    <w:rPr>
                      <w:bCs/>
                      <w:szCs w:val="21"/>
                    </w:rPr>
                    <w:t>达标</w:t>
                  </w:r>
                </w:p>
              </w:tc>
            </w:tr>
          </w:tbl>
          <w:p w14:paraId="23D36B89">
            <w:pPr>
              <w:pStyle w:val="54"/>
              <w:rPr>
                <w:b/>
                <w:spacing w:val="8"/>
                <w:szCs w:val="24"/>
              </w:rPr>
            </w:pPr>
            <w:r>
              <w:rPr>
                <w:rFonts w:hint="eastAsia"/>
              </w:rPr>
              <w:t>监测结果表明，评价区域内监测点TSP日均浓度满足</w:t>
            </w:r>
            <w:r>
              <w:rPr>
                <w:rFonts w:hAnsi="宋体"/>
              </w:rPr>
              <w:t>《环境空气质量标准》（GB3095-20</w:t>
            </w:r>
            <w:r>
              <w:rPr>
                <w:rFonts w:hint="eastAsia" w:hAnsi="宋体"/>
              </w:rPr>
              <w:t>26</w:t>
            </w:r>
            <w:r>
              <w:rPr>
                <w:rFonts w:hAnsi="宋体"/>
              </w:rPr>
              <w:t>）</w:t>
            </w:r>
            <w:r>
              <w:rPr>
                <w:rFonts w:hint="eastAsia" w:hAnsi="宋体"/>
              </w:rPr>
              <w:t>表2</w:t>
            </w:r>
            <w:r>
              <w:rPr>
                <w:rFonts w:hAnsi="宋体"/>
              </w:rPr>
              <w:t>中的二级</w:t>
            </w:r>
            <w:r>
              <w:rPr>
                <w:rFonts w:hint="eastAsia" w:hAnsi="宋体"/>
              </w:rPr>
              <w:t>浓度</w:t>
            </w:r>
            <w:r>
              <w:rPr>
                <w:rFonts w:hAnsi="宋体"/>
              </w:rPr>
              <w:t>限值，说明项目所在区域环境空气质量良好</w:t>
            </w:r>
            <w:r>
              <w:rPr>
                <w:rFonts w:hint="eastAsia" w:hAnsi="宋体"/>
              </w:rPr>
              <w:t>。</w:t>
            </w:r>
          </w:p>
          <w:p w14:paraId="429A2FA0">
            <w:pPr>
              <w:pStyle w:val="54"/>
              <w:ind w:firstLine="514"/>
              <w:rPr>
                <w:b/>
              </w:rPr>
            </w:pPr>
            <w:r>
              <w:rPr>
                <w:b/>
                <w:spacing w:val="8"/>
                <w:szCs w:val="24"/>
              </w:rPr>
              <w:t>二、</w:t>
            </w:r>
            <w:r>
              <w:rPr>
                <w:b/>
              </w:rPr>
              <w:t>地表水质量现状</w:t>
            </w:r>
          </w:p>
          <w:p w14:paraId="24D9C72F">
            <w:pPr>
              <w:spacing w:line="360" w:lineRule="auto"/>
              <w:ind w:firstLine="480" w:firstLineChars="200"/>
              <w:rPr>
                <w:rFonts w:hAnsi="宋体"/>
                <w:kern w:val="0"/>
                <w:sz w:val="24"/>
              </w:rPr>
            </w:pPr>
            <w:r>
              <w:rPr>
                <w:rFonts w:hint="eastAsia" w:hAnsi="宋体"/>
                <w:kern w:val="0"/>
                <w:sz w:val="24"/>
              </w:rPr>
              <w:t>根据《环境影响评价技术导则  地表水环境》（HJ2.3-2018）：“6.6.3.2环境现状调查与评价应优先采用国务院生态环境保护主管部门统一发布的水环境状况信息”。本次地表水环境质量现状评价引用衡阳市生态环境局《关于2025年12月份及1~12月份全市环境质量状况的通报》中结论，距离本项目最近的地表水监测断面为涓水和平村监测断面、涓水小岚村监测断面，其水质监测情况如下图所示。</w:t>
            </w:r>
          </w:p>
          <w:p w14:paraId="4FB085F1">
            <w:pPr>
              <w:spacing w:line="360" w:lineRule="auto"/>
              <w:jc w:val="center"/>
              <w:rPr>
                <w:rFonts w:hAnsi="宋体"/>
                <w:kern w:val="0"/>
                <w:sz w:val="24"/>
              </w:rPr>
            </w:pPr>
            <w:r>
              <w:rPr>
                <w:rFonts w:hAnsi="宋体"/>
                <w:kern w:val="0"/>
                <w:sz w:val="24"/>
              </w:rPr>
              <w:drawing>
                <wp:inline distT="0" distB="0" distL="0" distR="0">
                  <wp:extent cx="5716905" cy="1047750"/>
                  <wp:effectExtent l="0" t="0" r="0" b="0"/>
                  <wp:docPr id="3" name="图片 3" descr="C:\Users\JET\Documents\xwechat_files\wxid_32f6s68zf6ta12_5a49\temp\InputTemp\c20541ef-45f3-4c79-becf-97c928448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ET\Documents\xwechat_files\wxid_32f6s68zf6ta12_5a49\temp\InputTemp\c20541ef-45f3-4c79-becf-97c9284487f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7070" cy="1047750"/>
                          </a:xfrm>
                          <a:prstGeom prst="rect">
                            <a:avLst/>
                          </a:prstGeom>
                          <a:noFill/>
                          <a:ln>
                            <a:noFill/>
                          </a:ln>
                        </pic:spPr>
                      </pic:pic>
                    </a:graphicData>
                  </a:graphic>
                </wp:inline>
              </w:drawing>
            </w:r>
          </w:p>
          <w:p w14:paraId="3A977DCE">
            <w:pPr>
              <w:adjustRightInd w:val="0"/>
              <w:snapToGrid w:val="0"/>
              <w:spacing w:after="120" w:afterLines="50"/>
              <w:jc w:val="center"/>
              <w:rPr>
                <w:b/>
                <w:bCs/>
                <w:szCs w:val="21"/>
              </w:rPr>
            </w:pPr>
            <w:r>
              <w:rPr>
                <w:b/>
                <w:bCs/>
                <w:szCs w:val="21"/>
              </w:rPr>
              <w:t>图</w:t>
            </w:r>
            <w:r>
              <w:rPr>
                <w:rFonts w:hint="eastAsia"/>
                <w:b/>
                <w:bCs/>
                <w:szCs w:val="21"/>
              </w:rPr>
              <w:t>3-1</w:t>
            </w:r>
            <w:r>
              <w:rPr>
                <w:b/>
                <w:bCs/>
                <w:szCs w:val="21"/>
              </w:rPr>
              <w:t xml:space="preserve"> </w:t>
            </w:r>
            <w:r>
              <w:rPr>
                <w:rFonts w:hint="eastAsia"/>
                <w:b/>
                <w:bCs/>
                <w:szCs w:val="21"/>
              </w:rPr>
              <w:t xml:space="preserve"> 2025年1~12月衡阳市地表水水质情况</w:t>
            </w:r>
          </w:p>
          <w:p w14:paraId="1F82AE27">
            <w:pPr>
              <w:pStyle w:val="2"/>
              <w:spacing w:line="360" w:lineRule="auto"/>
              <w:ind w:firstLine="480" w:firstLineChars="200"/>
              <w:jc w:val="both"/>
              <w:rPr>
                <w:rFonts w:ascii="Times New Roman" w:hAnsi="宋体" w:cs="Times New Roman"/>
                <w:bCs/>
                <w:color w:val="auto"/>
              </w:rPr>
            </w:pPr>
            <w:r>
              <w:rPr>
                <w:rFonts w:hint="eastAsia" w:ascii="Times New Roman" w:hAnsi="宋体" w:cs="Times New Roman"/>
                <w:bCs/>
                <w:color w:val="auto"/>
              </w:rPr>
              <w:t>根据上表可知，监测断面水质满足《地表水环境质量标准》（</w:t>
            </w:r>
            <w:r>
              <w:rPr>
                <w:rFonts w:ascii="Times New Roman" w:hAnsi="宋体" w:cs="Times New Roman"/>
                <w:bCs/>
                <w:color w:val="auto"/>
              </w:rPr>
              <w:t>GB3838-2002</w:t>
            </w:r>
            <w:r>
              <w:rPr>
                <w:rFonts w:hint="eastAsia" w:ascii="Times New Roman" w:hAnsi="宋体" w:cs="Times New Roman"/>
                <w:bCs/>
                <w:color w:val="auto"/>
              </w:rPr>
              <w:t>）</w:t>
            </w:r>
            <w:r>
              <w:rPr>
                <w:rFonts w:hint="eastAsia" w:hAnsi="宋体" w:cs="Times New Roman"/>
                <w:bCs/>
                <w:color w:val="auto"/>
              </w:rPr>
              <w:t>Ⅲ</w:t>
            </w:r>
            <w:r>
              <w:rPr>
                <w:rFonts w:hint="eastAsia" w:ascii="Times New Roman" w:hAnsi="宋体" w:cs="Times New Roman"/>
                <w:bCs/>
                <w:color w:val="auto"/>
              </w:rPr>
              <w:t>类标准的要求，项目所在区域地表水环境质量现状较好。</w:t>
            </w:r>
          </w:p>
          <w:p w14:paraId="14F4B6CE">
            <w:pPr>
              <w:pStyle w:val="54"/>
              <w:ind w:firstLine="514"/>
              <w:rPr>
                <w:b/>
              </w:rPr>
            </w:pPr>
            <w:r>
              <w:rPr>
                <w:b/>
                <w:spacing w:val="8"/>
                <w:szCs w:val="24"/>
              </w:rPr>
              <w:t>三、噪声环境</w:t>
            </w:r>
            <w:r>
              <w:rPr>
                <w:b/>
              </w:rPr>
              <w:t>质量现状</w:t>
            </w:r>
          </w:p>
          <w:p w14:paraId="778170C1">
            <w:pPr>
              <w:pStyle w:val="2"/>
              <w:spacing w:line="360" w:lineRule="auto"/>
              <w:ind w:firstLine="480" w:firstLineChars="200"/>
              <w:jc w:val="both"/>
              <w:rPr>
                <w:rFonts w:ascii="Times New Roman" w:hAnsi="宋体" w:cs="Times New Roman"/>
                <w:bCs/>
                <w:color w:val="auto"/>
              </w:rPr>
            </w:pPr>
            <w:r>
              <w:rPr>
                <w:rFonts w:ascii="Times New Roman" w:hAnsi="宋体" w:cs="Times New Roman"/>
                <w:bCs/>
                <w:color w:val="auto"/>
              </w:rPr>
              <w:t>根据《建设项目环境影响报告表编制技术指南（污染影响类）（试行）》，厂界外周边50米范围内存在声环境保护目标的建设项目，应监测保护目标声环境质量现状并评价达标情况。</w:t>
            </w:r>
          </w:p>
          <w:p w14:paraId="07F5B170">
            <w:pPr>
              <w:autoSpaceDE w:val="0"/>
              <w:autoSpaceDN w:val="0"/>
              <w:adjustRightInd w:val="0"/>
              <w:spacing w:line="360" w:lineRule="auto"/>
              <w:ind w:firstLine="482" w:firstLineChars="200"/>
              <w:rPr>
                <w:rFonts w:hAnsi="宋体"/>
                <w:b/>
                <w:bCs/>
                <w:sz w:val="24"/>
              </w:rPr>
            </w:pPr>
            <w:r>
              <w:rPr>
                <w:rFonts w:hint="eastAsia" w:hAnsi="宋体"/>
                <w:b/>
                <w:bCs/>
                <w:sz w:val="24"/>
              </w:rPr>
              <w:t>1、</w:t>
            </w:r>
            <w:r>
              <w:rPr>
                <w:rFonts w:hAnsi="宋体"/>
                <w:b/>
                <w:bCs/>
                <w:sz w:val="24"/>
              </w:rPr>
              <w:t>监测</w:t>
            </w:r>
            <w:r>
              <w:rPr>
                <w:rFonts w:hint="eastAsia" w:hAnsi="宋体"/>
                <w:b/>
                <w:bCs/>
                <w:sz w:val="24"/>
              </w:rPr>
              <w:t>点位</w:t>
            </w:r>
          </w:p>
          <w:p w14:paraId="32EB08EB">
            <w:pPr>
              <w:autoSpaceDE w:val="0"/>
              <w:autoSpaceDN w:val="0"/>
              <w:adjustRightInd w:val="0"/>
              <w:spacing w:line="360" w:lineRule="auto"/>
              <w:ind w:firstLine="480" w:firstLineChars="200"/>
              <w:rPr>
                <w:rFonts w:hAnsi="宋体"/>
                <w:bCs/>
                <w:sz w:val="24"/>
              </w:rPr>
            </w:pPr>
            <w:r>
              <w:rPr>
                <w:rFonts w:hint="eastAsia" w:hAnsi="宋体"/>
                <w:bCs/>
                <w:sz w:val="24"/>
              </w:rPr>
              <w:t>在</w:t>
            </w:r>
            <w:r>
              <w:rPr>
                <w:rFonts w:hint="eastAsia"/>
                <w:sz w:val="24"/>
              </w:rPr>
              <w:t>项目周边</w:t>
            </w:r>
            <w:r>
              <w:rPr>
                <w:rFonts w:hint="eastAsia" w:hAnsi="宋体"/>
                <w:bCs/>
                <w:sz w:val="24"/>
              </w:rPr>
              <w:t>敏感点处设置5个声环境质量现状监测点位，监测布点见附图6。</w:t>
            </w:r>
          </w:p>
          <w:p w14:paraId="38816A61">
            <w:pPr>
              <w:autoSpaceDE w:val="0"/>
              <w:autoSpaceDN w:val="0"/>
              <w:adjustRightInd w:val="0"/>
              <w:spacing w:line="360" w:lineRule="auto"/>
              <w:ind w:firstLine="482" w:firstLineChars="200"/>
              <w:rPr>
                <w:rFonts w:hAnsi="宋体"/>
                <w:b/>
                <w:bCs/>
                <w:sz w:val="24"/>
              </w:rPr>
            </w:pPr>
            <w:r>
              <w:rPr>
                <w:rFonts w:hint="eastAsia" w:hAnsi="宋体"/>
                <w:b/>
                <w:bCs/>
                <w:sz w:val="24"/>
              </w:rPr>
              <w:t>2、监测时间及频次</w:t>
            </w:r>
          </w:p>
          <w:p w14:paraId="4F740607">
            <w:pPr>
              <w:autoSpaceDE w:val="0"/>
              <w:autoSpaceDN w:val="0"/>
              <w:adjustRightInd w:val="0"/>
              <w:spacing w:line="360" w:lineRule="auto"/>
              <w:ind w:firstLine="480" w:firstLineChars="200"/>
              <w:rPr>
                <w:rFonts w:hAnsi="宋体"/>
                <w:bCs/>
                <w:sz w:val="24"/>
              </w:rPr>
            </w:pPr>
            <w:r>
              <w:rPr>
                <w:rFonts w:hAnsi="宋体"/>
                <w:bCs/>
                <w:sz w:val="24"/>
              </w:rPr>
              <w:t>本次环评委托</w:t>
            </w:r>
            <w:r>
              <w:rPr>
                <w:sz w:val="24"/>
              </w:rPr>
              <w:t>湖南</w:t>
            </w:r>
            <w:r>
              <w:rPr>
                <w:rFonts w:hint="eastAsia"/>
                <w:sz w:val="24"/>
              </w:rPr>
              <w:t>聚鸿环保科技</w:t>
            </w:r>
            <w:r>
              <w:rPr>
                <w:sz w:val="24"/>
              </w:rPr>
              <w:t>有限公司</w:t>
            </w:r>
            <w:r>
              <w:rPr>
                <w:rFonts w:hAnsi="宋体"/>
                <w:bCs/>
                <w:sz w:val="24"/>
              </w:rPr>
              <w:t>对项目</w:t>
            </w:r>
            <w:r>
              <w:rPr>
                <w:rFonts w:hint="eastAsia" w:hAnsi="宋体"/>
                <w:bCs/>
                <w:sz w:val="24"/>
              </w:rPr>
              <w:t>周边</w:t>
            </w:r>
            <w:r>
              <w:rPr>
                <w:rFonts w:hAnsi="宋体"/>
                <w:bCs/>
                <w:sz w:val="24"/>
              </w:rPr>
              <w:t>敏感点处的声环境质量进行了监测（检测报告编号：</w:t>
            </w:r>
            <w:r>
              <w:rPr>
                <w:sz w:val="24"/>
              </w:rPr>
              <w:t>JH2603140202</w:t>
            </w:r>
            <w:r>
              <w:rPr>
                <w:rFonts w:hAnsi="宋体"/>
                <w:bCs/>
                <w:sz w:val="24"/>
              </w:rPr>
              <w:t>），</w:t>
            </w:r>
            <w:r>
              <w:rPr>
                <w:rFonts w:hint="eastAsia" w:hAnsi="宋体"/>
                <w:bCs/>
                <w:sz w:val="24"/>
              </w:rPr>
              <w:t>噪声监测时间为：2026年3月15日~2026年3月16日，</w:t>
            </w:r>
            <w:r>
              <w:rPr>
                <w:rFonts w:hAnsi="宋体"/>
                <w:bCs/>
                <w:sz w:val="24"/>
              </w:rPr>
              <w:t>连续监测两天，每天监测2次，昼夜各1次。</w:t>
            </w:r>
          </w:p>
          <w:p w14:paraId="42C83FE8">
            <w:pPr>
              <w:autoSpaceDE w:val="0"/>
              <w:autoSpaceDN w:val="0"/>
              <w:adjustRightInd w:val="0"/>
              <w:spacing w:line="360" w:lineRule="auto"/>
              <w:ind w:firstLine="482" w:firstLineChars="200"/>
              <w:rPr>
                <w:rFonts w:hAnsi="宋体"/>
                <w:b/>
                <w:bCs/>
                <w:sz w:val="24"/>
              </w:rPr>
            </w:pPr>
            <w:r>
              <w:rPr>
                <w:rFonts w:hint="eastAsia" w:hAnsi="宋体"/>
                <w:b/>
                <w:bCs/>
                <w:sz w:val="24"/>
              </w:rPr>
              <w:t>3、监测结果分析与评价</w:t>
            </w:r>
          </w:p>
          <w:p w14:paraId="734992FE">
            <w:pPr>
              <w:autoSpaceDE w:val="0"/>
              <w:autoSpaceDN w:val="0"/>
              <w:adjustRightInd w:val="0"/>
              <w:spacing w:line="360" w:lineRule="auto"/>
              <w:ind w:firstLine="480" w:firstLineChars="200"/>
              <w:rPr>
                <w:rFonts w:hAnsi="宋体"/>
                <w:bCs/>
                <w:sz w:val="24"/>
              </w:rPr>
            </w:pPr>
            <w:r>
              <w:rPr>
                <w:rFonts w:hint="eastAsia" w:hAnsi="宋体"/>
                <w:bCs/>
                <w:sz w:val="24"/>
              </w:rPr>
              <w:t>噪声监测结果见表</w:t>
            </w:r>
            <w:r>
              <w:rPr>
                <w:rFonts w:hAnsi="宋体"/>
                <w:bCs/>
                <w:sz w:val="24"/>
              </w:rPr>
              <w:t>3-</w:t>
            </w:r>
            <w:r>
              <w:rPr>
                <w:rFonts w:hint="eastAsia" w:hAnsi="宋体"/>
                <w:bCs/>
                <w:sz w:val="24"/>
              </w:rPr>
              <w:t>4。</w:t>
            </w:r>
          </w:p>
          <w:p w14:paraId="40C56159">
            <w:pPr>
              <w:tabs>
                <w:tab w:val="left" w:pos="-900"/>
              </w:tabs>
              <w:jc w:val="center"/>
              <w:rPr>
                <w:b/>
                <w:bCs/>
                <w:kern w:val="0"/>
                <w:lang w:bidi="ar-BH"/>
              </w:rPr>
            </w:pPr>
            <w:r>
              <w:rPr>
                <w:b/>
                <w:bCs/>
                <w:kern w:val="0"/>
                <w:lang w:bidi="ar-BH"/>
              </w:rPr>
              <w:t>表3-</w:t>
            </w:r>
            <w:r>
              <w:rPr>
                <w:rFonts w:hint="eastAsia"/>
                <w:b/>
                <w:bCs/>
                <w:kern w:val="0"/>
                <w:lang w:bidi="ar-BH"/>
              </w:rPr>
              <w:t>4</w:t>
            </w:r>
            <w:r>
              <w:rPr>
                <w:b/>
                <w:bCs/>
                <w:kern w:val="0"/>
                <w:lang w:bidi="ar-BH"/>
              </w:rPr>
              <w:t xml:space="preserve">  </w:t>
            </w:r>
            <w:r>
              <w:rPr>
                <w:rFonts w:hint="eastAsia"/>
                <w:b/>
                <w:bCs/>
                <w:kern w:val="0"/>
                <w:lang w:bidi="ar-BH"/>
              </w:rPr>
              <w:t>噪声监测结果一览表  单位：dB（A）</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1963"/>
              <w:gridCol w:w="824"/>
              <w:gridCol w:w="878"/>
              <w:gridCol w:w="884"/>
              <w:gridCol w:w="1004"/>
              <w:gridCol w:w="1000"/>
              <w:gridCol w:w="1000"/>
              <w:gridCol w:w="998"/>
            </w:tblGrid>
            <w:tr w14:paraId="4089A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restart"/>
                  <w:vAlign w:val="center"/>
                </w:tcPr>
                <w:p w14:paraId="7BEE1C8D">
                  <w:pPr>
                    <w:jc w:val="center"/>
                    <w:rPr>
                      <w:b/>
                      <w:szCs w:val="21"/>
                    </w:rPr>
                  </w:pPr>
                  <w:r>
                    <w:rPr>
                      <w:b/>
                      <w:szCs w:val="21"/>
                    </w:rPr>
                    <w:t>点位号</w:t>
                  </w:r>
                </w:p>
              </w:tc>
              <w:tc>
                <w:tcPr>
                  <w:tcW w:w="1046" w:type="pct"/>
                  <w:vMerge w:val="restart"/>
                  <w:vAlign w:val="center"/>
                </w:tcPr>
                <w:p w14:paraId="53236706">
                  <w:pPr>
                    <w:jc w:val="center"/>
                    <w:rPr>
                      <w:b/>
                      <w:szCs w:val="21"/>
                    </w:rPr>
                  </w:pPr>
                  <w:r>
                    <w:rPr>
                      <w:b/>
                      <w:szCs w:val="21"/>
                    </w:rPr>
                    <w:t>点位名称</w:t>
                  </w:r>
                </w:p>
              </w:tc>
              <w:tc>
                <w:tcPr>
                  <w:tcW w:w="1913" w:type="pct"/>
                  <w:gridSpan w:val="4"/>
                  <w:vAlign w:val="center"/>
                </w:tcPr>
                <w:p w14:paraId="29B290B9">
                  <w:pPr>
                    <w:jc w:val="center"/>
                    <w:rPr>
                      <w:b/>
                      <w:szCs w:val="21"/>
                    </w:rPr>
                  </w:pPr>
                  <w:r>
                    <w:rPr>
                      <w:b/>
                      <w:szCs w:val="21"/>
                    </w:rPr>
                    <w:t>等效声级 dB（A）</w:t>
                  </w:r>
                </w:p>
              </w:tc>
              <w:tc>
                <w:tcPr>
                  <w:tcW w:w="1066" w:type="pct"/>
                  <w:gridSpan w:val="2"/>
                  <w:vMerge w:val="restart"/>
                  <w:vAlign w:val="center"/>
                </w:tcPr>
                <w:p w14:paraId="044E9ED8">
                  <w:pPr>
                    <w:jc w:val="center"/>
                    <w:rPr>
                      <w:b/>
                      <w:szCs w:val="21"/>
                    </w:rPr>
                  </w:pPr>
                  <w:r>
                    <w:rPr>
                      <w:b/>
                      <w:szCs w:val="21"/>
                    </w:rPr>
                    <w:t>标准值</w:t>
                  </w:r>
                </w:p>
              </w:tc>
              <w:tc>
                <w:tcPr>
                  <w:tcW w:w="531" w:type="pct"/>
                  <w:vMerge w:val="restart"/>
                  <w:vAlign w:val="center"/>
                </w:tcPr>
                <w:p w14:paraId="5B481304">
                  <w:pPr>
                    <w:jc w:val="center"/>
                    <w:rPr>
                      <w:b/>
                      <w:szCs w:val="21"/>
                    </w:rPr>
                  </w:pPr>
                  <w:r>
                    <w:rPr>
                      <w:b/>
                      <w:szCs w:val="21"/>
                    </w:rPr>
                    <w:t>达标</w:t>
                  </w:r>
                </w:p>
                <w:p w14:paraId="3C796C42">
                  <w:pPr>
                    <w:jc w:val="center"/>
                    <w:rPr>
                      <w:b/>
                      <w:szCs w:val="21"/>
                    </w:rPr>
                  </w:pPr>
                  <w:r>
                    <w:rPr>
                      <w:b/>
                      <w:szCs w:val="21"/>
                    </w:rPr>
                    <w:t>情况</w:t>
                  </w:r>
                </w:p>
              </w:tc>
            </w:tr>
            <w:tr w14:paraId="5CE5D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continue"/>
                  <w:vAlign w:val="center"/>
                </w:tcPr>
                <w:p w14:paraId="2D3F03CB">
                  <w:pPr>
                    <w:jc w:val="center"/>
                    <w:rPr>
                      <w:b/>
                      <w:szCs w:val="21"/>
                    </w:rPr>
                  </w:pPr>
                </w:p>
              </w:tc>
              <w:tc>
                <w:tcPr>
                  <w:tcW w:w="1046" w:type="pct"/>
                  <w:vMerge w:val="continue"/>
                  <w:vAlign w:val="center"/>
                </w:tcPr>
                <w:p w14:paraId="3713FC8D">
                  <w:pPr>
                    <w:jc w:val="center"/>
                    <w:rPr>
                      <w:b/>
                      <w:szCs w:val="21"/>
                    </w:rPr>
                  </w:pPr>
                </w:p>
              </w:tc>
              <w:tc>
                <w:tcPr>
                  <w:tcW w:w="907" w:type="pct"/>
                  <w:gridSpan w:val="2"/>
                  <w:vAlign w:val="center"/>
                </w:tcPr>
                <w:p w14:paraId="50022097">
                  <w:pPr>
                    <w:jc w:val="center"/>
                    <w:rPr>
                      <w:b/>
                      <w:szCs w:val="21"/>
                    </w:rPr>
                  </w:pPr>
                  <w:r>
                    <w:rPr>
                      <w:rFonts w:hint="eastAsia"/>
                      <w:b/>
                      <w:szCs w:val="21"/>
                    </w:rPr>
                    <w:t>2026.3.15</w:t>
                  </w:r>
                </w:p>
              </w:tc>
              <w:tc>
                <w:tcPr>
                  <w:tcW w:w="1006" w:type="pct"/>
                  <w:gridSpan w:val="2"/>
                  <w:vAlign w:val="center"/>
                </w:tcPr>
                <w:p w14:paraId="7C47174B">
                  <w:pPr>
                    <w:jc w:val="center"/>
                    <w:rPr>
                      <w:b/>
                      <w:szCs w:val="21"/>
                    </w:rPr>
                  </w:pPr>
                  <w:r>
                    <w:rPr>
                      <w:rFonts w:hint="eastAsia"/>
                      <w:b/>
                      <w:szCs w:val="21"/>
                    </w:rPr>
                    <w:t>2026.3.16</w:t>
                  </w:r>
                </w:p>
              </w:tc>
              <w:tc>
                <w:tcPr>
                  <w:tcW w:w="1066" w:type="pct"/>
                  <w:gridSpan w:val="2"/>
                  <w:vMerge w:val="continue"/>
                  <w:vAlign w:val="center"/>
                </w:tcPr>
                <w:p w14:paraId="4B16BB2F">
                  <w:pPr>
                    <w:jc w:val="center"/>
                    <w:rPr>
                      <w:b/>
                      <w:szCs w:val="21"/>
                    </w:rPr>
                  </w:pPr>
                </w:p>
              </w:tc>
              <w:tc>
                <w:tcPr>
                  <w:tcW w:w="531" w:type="pct"/>
                  <w:vMerge w:val="continue"/>
                  <w:vAlign w:val="center"/>
                </w:tcPr>
                <w:p w14:paraId="0A9C8A68">
                  <w:pPr>
                    <w:jc w:val="center"/>
                    <w:rPr>
                      <w:b/>
                      <w:szCs w:val="21"/>
                    </w:rPr>
                  </w:pPr>
                </w:p>
              </w:tc>
            </w:tr>
            <w:tr w14:paraId="42B1F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Merge w:val="continue"/>
                  <w:vAlign w:val="center"/>
                </w:tcPr>
                <w:p w14:paraId="620480B9">
                  <w:pPr>
                    <w:jc w:val="center"/>
                    <w:rPr>
                      <w:szCs w:val="21"/>
                    </w:rPr>
                  </w:pPr>
                </w:p>
              </w:tc>
              <w:tc>
                <w:tcPr>
                  <w:tcW w:w="1046" w:type="pct"/>
                  <w:vMerge w:val="continue"/>
                  <w:vAlign w:val="center"/>
                </w:tcPr>
                <w:p w14:paraId="76FF4E9A">
                  <w:pPr>
                    <w:jc w:val="center"/>
                    <w:rPr>
                      <w:szCs w:val="21"/>
                    </w:rPr>
                  </w:pPr>
                </w:p>
              </w:tc>
              <w:tc>
                <w:tcPr>
                  <w:tcW w:w="439" w:type="pct"/>
                  <w:vAlign w:val="center"/>
                </w:tcPr>
                <w:p w14:paraId="5D7C543B">
                  <w:pPr>
                    <w:jc w:val="center"/>
                    <w:rPr>
                      <w:b/>
                      <w:szCs w:val="21"/>
                    </w:rPr>
                  </w:pPr>
                  <w:r>
                    <w:rPr>
                      <w:b/>
                      <w:szCs w:val="21"/>
                    </w:rPr>
                    <w:t>昼间</w:t>
                  </w:r>
                </w:p>
              </w:tc>
              <w:tc>
                <w:tcPr>
                  <w:tcW w:w="468" w:type="pct"/>
                  <w:vAlign w:val="center"/>
                </w:tcPr>
                <w:p w14:paraId="2D74D651">
                  <w:pPr>
                    <w:jc w:val="center"/>
                    <w:rPr>
                      <w:b/>
                      <w:szCs w:val="21"/>
                    </w:rPr>
                  </w:pPr>
                  <w:r>
                    <w:rPr>
                      <w:b/>
                      <w:szCs w:val="21"/>
                    </w:rPr>
                    <w:t>夜间</w:t>
                  </w:r>
                </w:p>
              </w:tc>
              <w:tc>
                <w:tcPr>
                  <w:tcW w:w="471" w:type="pct"/>
                  <w:vAlign w:val="center"/>
                </w:tcPr>
                <w:p w14:paraId="12369FE7">
                  <w:pPr>
                    <w:jc w:val="center"/>
                    <w:rPr>
                      <w:b/>
                      <w:szCs w:val="21"/>
                    </w:rPr>
                  </w:pPr>
                  <w:r>
                    <w:rPr>
                      <w:b/>
                      <w:szCs w:val="21"/>
                    </w:rPr>
                    <w:t>昼间</w:t>
                  </w:r>
                </w:p>
              </w:tc>
              <w:tc>
                <w:tcPr>
                  <w:tcW w:w="535" w:type="pct"/>
                  <w:vAlign w:val="center"/>
                </w:tcPr>
                <w:p w14:paraId="308A7758">
                  <w:pPr>
                    <w:jc w:val="center"/>
                    <w:rPr>
                      <w:b/>
                      <w:szCs w:val="21"/>
                    </w:rPr>
                  </w:pPr>
                  <w:r>
                    <w:rPr>
                      <w:b/>
                      <w:szCs w:val="21"/>
                    </w:rPr>
                    <w:t>夜间</w:t>
                  </w:r>
                </w:p>
              </w:tc>
              <w:tc>
                <w:tcPr>
                  <w:tcW w:w="533" w:type="pct"/>
                  <w:vAlign w:val="center"/>
                </w:tcPr>
                <w:p w14:paraId="57BC8C31">
                  <w:pPr>
                    <w:jc w:val="center"/>
                    <w:rPr>
                      <w:b/>
                      <w:szCs w:val="21"/>
                    </w:rPr>
                  </w:pPr>
                  <w:r>
                    <w:rPr>
                      <w:b/>
                      <w:szCs w:val="21"/>
                    </w:rPr>
                    <w:t>昼间</w:t>
                  </w:r>
                </w:p>
              </w:tc>
              <w:tc>
                <w:tcPr>
                  <w:tcW w:w="533" w:type="pct"/>
                  <w:vAlign w:val="center"/>
                </w:tcPr>
                <w:p w14:paraId="4E384D63">
                  <w:pPr>
                    <w:jc w:val="center"/>
                    <w:rPr>
                      <w:b/>
                      <w:szCs w:val="21"/>
                    </w:rPr>
                  </w:pPr>
                  <w:r>
                    <w:rPr>
                      <w:b/>
                      <w:szCs w:val="21"/>
                    </w:rPr>
                    <w:t>夜间</w:t>
                  </w:r>
                </w:p>
              </w:tc>
              <w:tc>
                <w:tcPr>
                  <w:tcW w:w="531" w:type="pct"/>
                  <w:vMerge w:val="continue"/>
                  <w:vAlign w:val="center"/>
                </w:tcPr>
                <w:p w14:paraId="0B833C0C">
                  <w:pPr>
                    <w:jc w:val="center"/>
                    <w:rPr>
                      <w:b/>
                      <w:szCs w:val="21"/>
                    </w:rPr>
                  </w:pPr>
                </w:p>
              </w:tc>
            </w:tr>
            <w:tr w14:paraId="6ED19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50898CFE">
                  <w:pPr>
                    <w:jc w:val="center"/>
                    <w:rPr>
                      <w:szCs w:val="21"/>
                    </w:rPr>
                  </w:pPr>
                  <w:r>
                    <w:rPr>
                      <w:szCs w:val="21"/>
                    </w:rPr>
                    <w:t>N1</w:t>
                  </w:r>
                </w:p>
              </w:tc>
              <w:tc>
                <w:tcPr>
                  <w:tcW w:w="1046" w:type="pct"/>
                  <w:vAlign w:val="center"/>
                </w:tcPr>
                <w:p w14:paraId="3AE83CB0">
                  <w:pPr>
                    <w:jc w:val="center"/>
                    <w:rPr>
                      <w:szCs w:val="21"/>
                    </w:rPr>
                  </w:pPr>
                  <w:r>
                    <w:rPr>
                      <w:rFonts w:hint="eastAsia"/>
                      <w:szCs w:val="21"/>
                    </w:rPr>
                    <w:t>项目东南侧居民点</w:t>
                  </w:r>
                </w:p>
              </w:tc>
              <w:tc>
                <w:tcPr>
                  <w:tcW w:w="439" w:type="pct"/>
                  <w:vAlign w:val="center"/>
                </w:tcPr>
                <w:p w14:paraId="26C908CF">
                  <w:pPr>
                    <w:jc w:val="center"/>
                    <w:rPr>
                      <w:szCs w:val="21"/>
                    </w:rPr>
                  </w:pPr>
                  <w:r>
                    <w:rPr>
                      <w:rFonts w:hint="eastAsia"/>
                      <w:szCs w:val="21"/>
                    </w:rPr>
                    <w:t>56.5</w:t>
                  </w:r>
                </w:p>
              </w:tc>
              <w:tc>
                <w:tcPr>
                  <w:tcW w:w="468" w:type="pct"/>
                  <w:vAlign w:val="center"/>
                </w:tcPr>
                <w:p w14:paraId="463165F2">
                  <w:pPr>
                    <w:jc w:val="center"/>
                    <w:rPr>
                      <w:szCs w:val="21"/>
                    </w:rPr>
                  </w:pPr>
                  <w:r>
                    <w:rPr>
                      <w:rFonts w:hint="eastAsia"/>
                      <w:szCs w:val="21"/>
                    </w:rPr>
                    <w:t>44.3</w:t>
                  </w:r>
                </w:p>
              </w:tc>
              <w:tc>
                <w:tcPr>
                  <w:tcW w:w="471" w:type="pct"/>
                  <w:vAlign w:val="center"/>
                </w:tcPr>
                <w:p w14:paraId="70D60842">
                  <w:pPr>
                    <w:jc w:val="center"/>
                    <w:rPr>
                      <w:szCs w:val="21"/>
                    </w:rPr>
                  </w:pPr>
                  <w:r>
                    <w:rPr>
                      <w:rFonts w:hint="eastAsia"/>
                      <w:szCs w:val="21"/>
                    </w:rPr>
                    <w:t>55.8</w:t>
                  </w:r>
                </w:p>
              </w:tc>
              <w:tc>
                <w:tcPr>
                  <w:tcW w:w="535" w:type="pct"/>
                  <w:vAlign w:val="center"/>
                </w:tcPr>
                <w:p w14:paraId="59CD1FF7">
                  <w:pPr>
                    <w:jc w:val="center"/>
                    <w:rPr>
                      <w:szCs w:val="21"/>
                    </w:rPr>
                  </w:pPr>
                  <w:r>
                    <w:rPr>
                      <w:rFonts w:hint="eastAsia"/>
                      <w:szCs w:val="21"/>
                    </w:rPr>
                    <w:t>43.6</w:t>
                  </w:r>
                </w:p>
              </w:tc>
              <w:tc>
                <w:tcPr>
                  <w:tcW w:w="533" w:type="pct"/>
                  <w:vAlign w:val="center"/>
                </w:tcPr>
                <w:p w14:paraId="2F300DEF">
                  <w:pPr>
                    <w:jc w:val="center"/>
                    <w:rPr>
                      <w:szCs w:val="21"/>
                    </w:rPr>
                  </w:pPr>
                  <w:r>
                    <w:rPr>
                      <w:rFonts w:hint="eastAsia"/>
                      <w:szCs w:val="21"/>
                    </w:rPr>
                    <w:t>70</w:t>
                  </w:r>
                </w:p>
              </w:tc>
              <w:tc>
                <w:tcPr>
                  <w:tcW w:w="533" w:type="pct"/>
                  <w:vAlign w:val="center"/>
                </w:tcPr>
                <w:p w14:paraId="5D26889C">
                  <w:pPr>
                    <w:jc w:val="center"/>
                    <w:rPr>
                      <w:szCs w:val="21"/>
                    </w:rPr>
                  </w:pPr>
                  <w:r>
                    <w:rPr>
                      <w:rFonts w:hint="eastAsia"/>
                      <w:szCs w:val="21"/>
                    </w:rPr>
                    <w:t>55</w:t>
                  </w:r>
                </w:p>
              </w:tc>
              <w:tc>
                <w:tcPr>
                  <w:tcW w:w="531" w:type="pct"/>
                  <w:vAlign w:val="center"/>
                </w:tcPr>
                <w:p w14:paraId="496121C5">
                  <w:pPr>
                    <w:jc w:val="center"/>
                    <w:rPr>
                      <w:szCs w:val="21"/>
                    </w:rPr>
                  </w:pPr>
                  <w:r>
                    <w:rPr>
                      <w:szCs w:val="21"/>
                    </w:rPr>
                    <w:t>达标</w:t>
                  </w:r>
                </w:p>
              </w:tc>
            </w:tr>
            <w:tr w14:paraId="49DA2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628EFA48">
                  <w:pPr>
                    <w:jc w:val="center"/>
                    <w:rPr>
                      <w:szCs w:val="21"/>
                    </w:rPr>
                  </w:pPr>
                  <w:r>
                    <w:rPr>
                      <w:rFonts w:hint="eastAsia"/>
                      <w:szCs w:val="21"/>
                    </w:rPr>
                    <w:t>N2</w:t>
                  </w:r>
                </w:p>
              </w:tc>
              <w:tc>
                <w:tcPr>
                  <w:tcW w:w="1046" w:type="pct"/>
                  <w:vAlign w:val="center"/>
                </w:tcPr>
                <w:p w14:paraId="6EC6C13E">
                  <w:pPr>
                    <w:jc w:val="center"/>
                    <w:rPr>
                      <w:szCs w:val="21"/>
                    </w:rPr>
                  </w:pPr>
                  <w:r>
                    <w:rPr>
                      <w:rFonts w:hint="eastAsia"/>
                      <w:szCs w:val="21"/>
                    </w:rPr>
                    <w:t>项目东侧居民点</w:t>
                  </w:r>
                </w:p>
              </w:tc>
              <w:tc>
                <w:tcPr>
                  <w:tcW w:w="439" w:type="pct"/>
                  <w:vAlign w:val="center"/>
                </w:tcPr>
                <w:p w14:paraId="2E0CE62F">
                  <w:pPr>
                    <w:jc w:val="center"/>
                    <w:rPr>
                      <w:szCs w:val="21"/>
                    </w:rPr>
                  </w:pPr>
                  <w:r>
                    <w:rPr>
                      <w:rFonts w:hint="eastAsia"/>
                      <w:szCs w:val="21"/>
                    </w:rPr>
                    <w:t>56.2</w:t>
                  </w:r>
                </w:p>
              </w:tc>
              <w:tc>
                <w:tcPr>
                  <w:tcW w:w="468" w:type="pct"/>
                  <w:vAlign w:val="center"/>
                </w:tcPr>
                <w:p w14:paraId="42C05C14">
                  <w:pPr>
                    <w:jc w:val="center"/>
                    <w:rPr>
                      <w:szCs w:val="21"/>
                    </w:rPr>
                  </w:pPr>
                  <w:r>
                    <w:rPr>
                      <w:rFonts w:hint="eastAsia"/>
                      <w:szCs w:val="21"/>
                    </w:rPr>
                    <w:t>43.8</w:t>
                  </w:r>
                </w:p>
              </w:tc>
              <w:tc>
                <w:tcPr>
                  <w:tcW w:w="471" w:type="pct"/>
                  <w:vAlign w:val="center"/>
                </w:tcPr>
                <w:p w14:paraId="0975ADA3">
                  <w:pPr>
                    <w:jc w:val="center"/>
                    <w:rPr>
                      <w:szCs w:val="21"/>
                    </w:rPr>
                  </w:pPr>
                  <w:r>
                    <w:rPr>
                      <w:rFonts w:hint="eastAsia"/>
                      <w:szCs w:val="21"/>
                    </w:rPr>
                    <w:t>55.2</w:t>
                  </w:r>
                </w:p>
              </w:tc>
              <w:tc>
                <w:tcPr>
                  <w:tcW w:w="535" w:type="pct"/>
                  <w:vAlign w:val="center"/>
                </w:tcPr>
                <w:p w14:paraId="6D358DAD">
                  <w:pPr>
                    <w:jc w:val="center"/>
                    <w:rPr>
                      <w:szCs w:val="21"/>
                    </w:rPr>
                  </w:pPr>
                  <w:r>
                    <w:rPr>
                      <w:rFonts w:hint="eastAsia"/>
                      <w:szCs w:val="21"/>
                    </w:rPr>
                    <w:t>44.3</w:t>
                  </w:r>
                </w:p>
              </w:tc>
              <w:tc>
                <w:tcPr>
                  <w:tcW w:w="533" w:type="pct"/>
                  <w:vAlign w:val="center"/>
                </w:tcPr>
                <w:p w14:paraId="3B4B9F65">
                  <w:pPr>
                    <w:jc w:val="center"/>
                    <w:rPr>
                      <w:szCs w:val="21"/>
                    </w:rPr>
                  </w:pPr>
                  <w:r>
                    <w:rPr>
                      <w:rFonts w:hint="eastAsia"/>
                      <w:szCs w:val="21"/>
                    </w:rPr>
                    <w:t>70</w:t>
                  </w:r>
                </w:p>
              </w:tc>
              <w:tc>
                <w:tcPr>
                  <w:tcW w:w="533" w:type="pct"/>
                  <w:vAlign w:val="center"/>
                </w:tcPr>
                <w:p w14:paraId="4AB9CA72">
                  <w:pPr>
                    <w:jc w:val="center"/>
                    <w:rPr>
                      <w:szCs w:val="21"/>
                    </w:rPr>
                  </w:pPr>
                  <w:r>
                    <w:rPr>
                      <w:rFonts w:hint="eastAsia"/>
                      <w:szCs w:val="21"/>
                    </w:rPr>
                    <w:t>55</w:t>
                  </w:r>
                </w:p>
              </w:tc>
              <w:tc>
                <w:tcPr>
                  <w:tcW w:w="531" w:type="pct"/>
                  <w:vAlign w:val="center"/>
                </w:tcPr>
                <w:p w14:paraId="63AF2BD1">
                  <w:pPr>
                    <w:jc w:val="center"/>
                    <w:rPr>
                      <w:szCs w:val="21"/>
                    </w:rPr>
                  </w:pPr>
                  <w:r>
                    <w:rPr>
                      <w:szCs w:val="21"/>
                    </w:rPr>
                    <w:t>达标</w:t>
                  </w:r>
                </w:p>
              </w:tc>
            </w:tr>
            <w:tr w14:paraId="4D684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0C6F9282">
                  <w:pPr>
                    <w:jc w:val="center"/>
                    <w:rPr>
                      <w:szCs w:val="21"/>
                    </w:rPr>
                  </w:pPr>
                  <w:r>
                    <w:rPr>
                      <w:szCs w:val="21"/>
                    </w:rPr>
                    <w:t>N</w:t>
                  </w:r>
                  <w:r>
                    <w:rPr>
                      <w:rFonts w:hint="eastAsia"/>
                      <w:szCs w:val="21"/>
                    </w:rPr>
                    <w:t>3</w:t>
                  </w:r>
                </w:p>
              </w:tc>
              <w:tc>
                <w:tcPr>
                  <w:tcW w:w="1046" w:type="pct"/>
                  <w:vAlign w:val="center"/>
                </w:tcPr>
                <w:p w14:paraId="71108B48">
                  <w:pPr>
                    <w:jc w:val="center"/>
                    <w:rPr>
                      <w:szCs w:val="21"/>
                    </w:rPr>
                  </w:pPr>
                  <w:r>
                    <w:rPr>
                      <w:rFonts w:hint="eastAsia"/>
                      <w:szCs w:val="21"/>
                    </w:rPr>
                    <w:t>项目东北</w:t>
                  </w:r>
                  <w:bookmarkStart w:id="55" w:name="OLE_LINK13"/>
                  <w:bookmarkStart w:id="56" w:name="OLE_LINK7"/>
                  <w:r>
                    <w:rPr>
                      <w:rFonts w:hint="eastAsia"/>
                      <w:szCs w:val="21"/>
                    </w:rPr>
                    <w:t>侧居民点</w:t>
                  </w:r>
                </w:p>
              </w:tc>
              <w:tc>
                <w:tcPr>
                  <w:tcW w:w="439" w:type="pct"/>
                  <w:vAlign w:val="center"/>
                </w:tcPr>
                <w:p w14:paraId="188AEE2B">
                  <w:pPr>
                    <w:jc w:val="center"/>
                    <w:rPr>
                      <w:szCs w:val="21"/>
                    </w:rPr>
                  </w:pPr>
                  <w:r>
                    <w:rPr>
                      <w:rFonts w:hint="eastAsia"/>
                      <w:szCs w:val="21"/>
                    </w:rPr>
                    <w:t>55.</w:t>
                  </w:r>
                  <w:bookmarkEnd w:id="55"/>
                  <w:bookmarkEnd w:id="56"/>
                  <w:r>
                    <w:rPr>
                      <w:rFonts w:hint="eastAsia"/>
                      <w:szCs w:val="21"/>
                    </w:rPr>
                    <w:t>6</w:t>
                  </w:r>
                </w:p>
              </w:tc>
              <w:tc>
                <w:tcPr>
                  <w:tcW w:w="468" w:type="pct"/>
                  <w:vAlign w:val="center"/>
                </w:tcPr>
                <w:p w14:paraId="1B0034F6">
                  <w:pPr>
                    <w:jc w:val="center"/>
                    <w:rPr>
                      <w:szCs w:val="21"/>
                    </w:rPr>
                  </w:pPr>
                  <w:r>
                    <w:rPr>
                      <w:rFonts w:hint="eastAsia"/>
                      <w:szCs w:val="21"/>
                    </w:rPr>
                    <w:t>43.3</w:t>
                  </w:r>
                </w:p>
              </w:tc>
              <w:tc>
                <w:tcPr>
                  <w:tcW w:w="471" w:type="pct"/>
                  <w:vAlign w:val="center"/>
                </w:tcPr>
                <w:p w14:paraId="1E4DE06C">
                  <w:pPr>
                    <w:jc w:val="center"/>
                    <w:rPr>
                      <w:szCs w:val="21"/>
                    </w:rPr>
                  </w:pPr>
                  <w:r>
                    <w:rPr>
                      <w:rFonts w:hint="eastAsia"/>
                      <w:szCs w:val="21"/>
                    </w:rPr>
                    <w:t>54.9</w:t>
                  </w:r>
                </w:p>
              </w:tc>
              <w:tc>
                <w:tcPr>
                  <w:tcW w:w="535" w:type="pct"/>
                  <w:vAlign w:val="center"/>
                </w:tcPr>
                <w:p w14:paraId="3EC434A5">
                  <w:pPr>
                    <w:jc w:val="center"/>
                    <w:rPr>
                      <w:szCs w:val="21"/>
                    </w:rPr>
                  </w:pPr>
                  <w:r>
                    <w:rPr>
                      <w:rFonts w:hint="eastAsia"/>
                      <w:szCs w:val="21"/>
                    </w:rPr>
                    <w:t>43.1</w:t>
                  </w:r>
                </w:p>
              </w:tc>
              <w:tc>
                <w:tcPr>
                  <w:tcW w:w="533" w:type="pct"/>
                  <w:vAlign w:val="center"/>
                </w:tcPr>
                <w:p w14:paraId="1E2E90F9">
                  <w:pPr>
                    <w:jc w:val="center"/>
                    <w:rPr>
                      <w:szCs w:val="21"/>
                    </w:rPr>
                  </w:pPr>
                  <w:r>
                    <w:rPr>
                      <w:rFonts w:hint="eastAsia"/>
                      <w:szCs w:val="21"/>
                    </w:rPr>
                    <w:t>70</w:t>
                  </w:r>
                </w:p>
              </w:tc>
              <w:tc>
                <w:tcPr>
                  <w:tcW w:w="533" w:type="pct"/>
                  <w:vAlign w:val="center"/>
                </w:tcPr>
                <w:p w14:paraId="22845910">
                  <w:pPr>
                    <w:jc w:val="center"/>
                    <w:rPr>
                      <w:szCs w:val="21"/>
                    </w:rPr>
                  </w:pPr>
                  <w:r>
                    <w:rPr>
                      <w:rFonts w:hint="eastAsia"/>
                      <w:szCs w:val="21"/>
                    </w:rPr>
                    <w:t>55</w:t>
                  </w:r>
                </w:p>
              </w:tc>
              <w:tc>
                <w:tcPr>
                  <w:tcW w:w="531" w:type="pct"/>
                  <w:vAlign w:val="center"/>
                </w:tcPr>
                <w:p w14:paraId="79396761">
                  <w:pPr>
                    <w:jc w:val="center"/>
                    <w:rPr>
                      <w:szCs w:val="21"/>
                    </w:rPr>
                  </w:pPr>
                  <w:r>
                    <w:rPr>
                      <w:szCs w:val="21"/>
                    </w:rPr>
                    <w:t>达标</w:t>
                  </w:r>
                </w:p>
              </w:tc>
            </w:tr>
            <w:tr w14:paraId="7D479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4EDF2EEB">
                  <w:pPr>
                    <w:jc w:val="center"/>
                    <w:rPr>
                      <w:szCs w:val="21"/>
                    </w:rPr>
                  </w:pPr>
                  <w:r>
                    <w:rPr>
                      <w:rFonts w:hint="eastAsia"/>
                      <w:szCs w:val="21"/>
                    </w:rPr>
                    <w:t>N4</w:t>
                  </w:r>
                </w:p>
              </w:tc>
              <w:tc>
                <w:tcPr>
                  <w:tcW w:w="1046" w:type="pct"/>
                  <w:vAlign w:val="center"/>
                </w:tcPr>
                <w:p w14:paraId="252B0287">
                  <w:pPr>
                    <w:jc w:val="center"/>
                    <w:rPr>
                      <w:szCs w:val="21"/>
                    </w:rPr>
                  </w:pPr>
                  <w:r>
                    <w:rPr>
                      <w:rFonts w:hint="eastAsia"/>
                      <w:szCs w:val="21"/>
                    </w:rPr>
                    <w:t>项目北侧居民点</w:t>
                  </w:r>
                </w:p>
              </w:tc>
              <w:tc>
                <w:tcPr>
                  <w:tcW w:w="439" w:type="pct"/>
                  <w:vAlign w:val="center"/>
                </w:tcPr>
                <w:p w14:paraId="4767B357">
                  <w:pPr>
                    <w:jc w:val="center"/>
                    <w:rPr>
                      <w:szCs w:val="21"/>
                    </w:rPr>
                  </w:pPr>
                  <w:r>
                    <w:rPr>
                      <w:rFonts w:hint="eastAsia"/>
                      <w:szCs w:val="21"/>
                    </w:rPr>
                    <w:t>53.4</w:t>
                  </w:r>
                </w:p>
              </w:tc>
              <w:tc>
                <w:tcPr>
                  <w:tcW w:w="468" w:type="pct"/>
                  <w:vAlign w:val="center"/>
                </w:tcPr>
                <w:p w14:paraId="4039EEB3">
                  <w:pPr>
                    <w:jc w:val="center"/>
                    <w:rPr>
                      <w:szCs w:val="21"/>
                    </w:rPr>
                  </w:pPr>
                  <w:r>
                    <w:rPr>
                      <w:rFonts w:hint="eastAsia"/>
                      <w:szCs w:val="21"/>
                    </w:rPr>
                    <w:t>41.7</w:t>
                  </w:r>
                </w:p>
              </w:tc>
              <w:tc>
                <w:tcPr>
                  <w:tcW w:w="471" w:type="pct"/>
                  <w:vAlign w:val="center"/>
                </w:tcPr>
                <w:p w14:paraId="4B438621">
                  <w:pPr>
                    <w:jc w:val="center"/>
                    <w:rPr>
                      <w:szCs w:val="21"/>
                    </w:rPr>
                  </w:pPr>
                  <w:r>
                    <w:rPr>
                      <w:rFonts w:hint="eastAsia"/>
                      <w:szCs w:val="21"/>
                    </w:rPr>
                    <w:t>54.4</w:t>
                  </w:r>
                </w:p>
              </w:tc>
              <w:tc>
                <w:tcPr>
                  <w:tcW w:w="535" w:type="pct"/>
                  <w:vAlign w:val="center"/>
                </w:tcPr>
                <w:p w14:paraId="60C85C65">
                  <w:pPr>
                    <w:jc w:val="center"/>
                    <w:rPr>
                      <w:szCs w:val="21"/>
                    </w:rPr>
                  </w:pPr>
                  <w:r>
                    <w:rPr>
                      <w:rFonts w:hint="eastAsia"/>
                      <w:szCs w:val="21"/>
                    </w:rPr>
                    <w:t>42.2</w:t>
                  </w:r>
                </w:p>
              </w:tc>
              <w:tc>
                <w:tcPr>
                  <w:tcW w:w="533" w:type="pct"/>
                  <w:vAlign w:val="center"/>
                </w:tcPr>
                <w:p w14:paraId="24363A13">
                  <w:pPr>
                    <w:jc w:val="center"/>
                    <w:rPr>
                      <w:szCs w:val="21"/>
                    </w:rPr>
                  </w:pPr>
                  <w:r>
                    <w:rPr>
                      <w:rFonts w:hint="eastAsia"/>
                      <w:szCs w:val="21"/>
                    </w:rPr>
                    <w:t>60</w:t>
                  </w:r>
                </w:p>
              </w:tc>
              <w:tc>
                <w:tcPr>
                  <w:tcW w:w="533" w:type="pct"/>
                  <w:vAlign w:val="center"/>
                </w:tcPr>
                <w:p w14:paraId="7F55BB35">
                  <w:pPr>
                    <w:jc w:val="center"/>
                    <w:rPr>
                      <w:szCs w:val="21"/>
                    </w:rPr>
                  </w:pPr>
                  <w:r>
                    <w:rPr>
                      <w:rFonts w:hint="eastAsia"/>
                      <w:szCs w:val="21"/>
                    </w:rPr>
                    <w:t>50</w:t>
                  </w:r>
                </w:p>
              </w:tc>
              <w:tc>
                <w:tcPr>
                  <w:tcW w:w="531" w:type="pct"/>
                  <w:vAlign w:val="center"/>
                </w:tcPr>
                <w:p w14:paraId="450C226A">
                  <w:pPr>
                    <w:jc w:val="center"/>
                    <w:rPr>
                      <w:szCs w:val="21"/>
                    </w:rPr>
                  </w:pPr>
                  <w:r>
                    <w:rPr>
                      <w:szCs w:val="21"/>
                    </w:rPr>
                    <w:t>达标</w:t>
                  </w:r>
                </w:p>
              </w:tc>
            </w:tr>
            <w:tr w14:paraId="4A7EA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4" w:type="pct"/>
                  <w:vAlign w:val="center"/>
                </w:tcPr>
                <w:p w14:paraId="66E2BAAC">
                  <w:pPr>
                    <w:jc w:val="center"/>
                    <w:rPr>
                      <w:szCs w:val="21"/>
                    </w:rPr>
                  </w:pPr>
                  <w:r>
                    <w:rPr>
                      <w:rFonts w:hint="eastAsia"/>
                      <w:szCs w:val="21"/>
                    </w:rPr>
                    <w:t>N5</w:t>
                  </w:r>
                </w:p>
              </w:tc>
              <w:tc>
                <w:tcPr>
                  <w:tcW w:w="1046" w:type="pct"/>
                  <w:vAlign w:val="center"/>
                </w:tcPr>
                <w:p w14:paraId="5487BFD1">
                  <w:pPr>
                    <w:jc w:val="center"/>
                    <w:rPr>
                      <w:szCs w:val="21"/>
                    </w:rPr>
                  </w:pPr>
                  <w:r>
                    <w:rPr>
                      <w:rFonts w:hint="eastAsia"/>
                      <w:szCs w:val="21"/>
                    </w:rPr>
                    <w:t>项目西北侧居民点</w:t>
                  </w:r>
                </w:p>
              </w:tc>
              <w:tc>
                <w:tcPr>
                  <w:tcW w:w="439" w:type="pct"/>
                  <w:vAlign w:val="center"/>
                </w:tcPr>
                <w:p w14:paraId="10EE2096">
                  <w:pPr>
                    <w:jc w:val="center"/>
                    <w:rPr>
                      <w:szCs w:val="21"/>
                    </w:rPr>
                  </w:pPr>
                  <w:r>
                    <w:rPr>
                      <w:rFonts w:hint="eastAsia"/>
                      <w:szCs w:val="21"/>
                    </w:rPr>
                    <w:t>54.1</w:t>
                  </w:r>
                </w:p>
              </w:tc>
              <w:tc>
                <w:tcPr>
                  <w:tcW w:w="468" w:type="pct"/>
                  <w:vAlign w:val="center"/>
                </w:tcPr>
                <w:p w14:paraId="2148F905">
                  <w:pPr>
                    <w:jc w:val="center"/>
                    <w:rPr>
                      <w:szCs w:val="21"/>
                    </w:rPr>
                  </w:pPr>
                  <w:r>
                    <w:rPr>
                      <w:rFonts w:hint="eastAsia"/>
                      <w:szCs w:val="21"/>
                    </w:rPr>
                    <w:t>41.1</w:t>
                  </w:r>
                </w:p>
              </w:tc>
              <w:tc>
                <w:tcPr>
                  <w:tcW w:w="471" w:type="pct"/>
                  <w:vAlign w:val="center"/>
                </w:tcPr>
                <w:p w14:paraId="7FCFCA93">
                  <w:pPr>
                    <w:jc w:val="center"/>
                    <w:rPr>
                      <w:szCs w:val="21"/>
                    </w:rPr>
                  </w:pPr>
                  <w:r>
                    <w:rPr>
                      <w:rFonts w:hint="eastAsia"/>
                      <w:szCs w:val="21"/>
                    </w:rPr>
                    <w:t>54.7</w:t>
                  </w:r>
                </w:p>
              </w:tc>
              <w:tc>
                <w:tcPr>
                  <w:tcW w:w="535" w:type="pct"/>
                  <w:vAlign w:val="center"/>
                </w:tcPr>
                <w:p w14:paraId="463DB5D1">
                  <w:pPr>
                    <w:jc w:val="center"/>
                    <w:rPr>
                      <w:szCs w:val="21"/>
                    </w:rPr>
                  </w:pPr>
                  <w:r>
                    <w:rPr>
                      <w:rFonts w:hint="eastAsia"/>
                      <w:szCs w:val="21"/>
                    </w:rPr>
                    <w:t>41.3</w:t>
                  </w:r>
                </w:p>
              </w:tc>
              <w:tc>
                <w:tcPr>
                  <w:tcW w:w="533" w:type="pct"/>
                  <w:vAlign w:val="center"/>
                </w:tcPr>
                <w:p w14:paraId="54E1295B">
                  <w:pPr>
                    <w:jc w:val="center"/>
                    <w:rPr>
                      <w:szCs w:val="21"/>
                    </w:rPr>
                  </w:pPr>
                  <w:r>
                    <w:rPr>
                      <w:rFonts w:hint="eastAsia"/>
                      <w:szCs w:val="21"/>
                    </w:rPr>
                    <w:t>60</w:t>
                  </w:r>
                </w:p>
              </w:tc>
              <w:tc>
                <w:tcPr>
                  <w:tcW w:w="533" w:type="pct"/>
                  <w:vAlign w:val="center"/>
                </w:tcPr>
                <w:p w14:paraId="13A4F7D8">
                  <w:pPr>
                    <w:jc w:val="center"/>
                    <w:rPr>
                      <w:szCs w:val="21"/>
                    </w:rPr>
                  </w:pPr>
                  <w:r>
                    <w:rPr>
                      <w:rFonts w:hint="eastAsia"/>
                      <w:szCs w:val="21"/>
                    </w:rPr>
                    <w:t>50</w:t>
                  </w:r>
                </w:p>
              </w:tc>
              <w:tc>
                <w:tcPr>
                  <w:tcW w:w="531" w:type="pct"/>
                  <w:vAlign w:val="center"/>
                </w:tcPr>
                <w:p w14:paraId="067C3EF5">
                  <w:pPr>
                    <w:jc w:val="center"/>
                    <w:rPr>
                      <w:szCs w:val="21"/>
                    </w:rPr>
                  </w:pPr>
                  <w:r>
                    <w:rPr>
                      <w:szCs w:val="21"/>
                    </w:rPr>
                    <w:t>达标</w:t>
                  </w:r>
                </w:p>
              </w:tc>
            </w:tr>
          </w:tbl>
          <w:p w14:paraId="4CD9B350">
            <w:pPr>
              <w:pStyle w:val="2"/>
              <w:spacing w:line="360" w:lineRule="auto"/>
              <w:ind w:firstLine="480" w:firstLineChars="200"/>
              <w:jc w:val="both"/>
              <w:rPr>
                <w:rFonts w:ascii="Times New Roman" w:hAnsi="宋体" w:cs="Times New Roman"/>
                <w:bCs/>
                <w:color w:val="auto"/>
              </w:rPr>
            </w:pPr>
            <w:r>
              <w:rPr>
                <w:rFonts w:ascii="Times New Roman" w:cs="Times New Roman"/>
                <w:color w:val="auto"/>
              </w:rPr>
              <w:t>从上表中的监测结果可以看出，项目</w:t>
            </w:r>
            <w:r>
              <w:rPr>
                <w:rFonts w:hint="eastAsia"/>
                <w:color w:val="auto"/>
              </w:rPr>
              <w:t>周边东南侧、东侧、东北侧</w:t>
            </w:r>
            <w:r>
              <w:rPr>
                <w:rFonts w:hint="eastAsia" w:ascii="Times New Roman" w:hAnsi="宋体" w:cs="Times New Roman"/>
                <w:bCs/>
                <w:color w:val="auto"/>
              </w:rPr>
              <w:t>敏感点</w:t>
            </w:r>
            <w:r>
              <w:rPr>
                <w:rFonts w:ascii="Times New Roman" w:cs="Times New Roman"/>
                <w:color w:val="auto"/>
              </w:rPr>
              <w:t>昼夜噪声监测值均满足《声环境质量标准》（GB3096-2008）中的</w:t>
            </w:r>
            <w:r>
              <w:rPr>
                <w:rFonts w:hint="eastAsia" w:ascii="Times New Roman" w:cs="Times New Roman"/>
                <w:color w:val="auto"/>
              </w:rPr>
              <w:t>4a</w:t>
            </w:r>
            <w:r>
              <w:rPr>
                <w:rFonts w:ascii="Times New Roman" w:cs="Times New Roman"/>
                <w:color w:val="auto"/>
              </w:rPr>
              <w:t>类区标准，其余侧</w:t>
            </w:r>
            <w:r>
              <w:rPr>
                <w:rFonts w:hint="eastAsia" w:ascii="Times New Roman" w:hAnsi="宋体" w:cs="Times New Roman"/>
                <w:bCs/>
                <w:color w:val="auto"/>
              </w:rPr>
              <w:t>敏感点</w:t>
            </w:r>
            <w:r>
              <w:rPr>
                <w:rFonts w:ascii="Times New Roman" w:cs="Times New Roman"/>
                <w:color w:val="auto"/>
              </w:rPr>
              <w:t>昼夜噪声监测值均满足《声环境质量标准》（GB3096-2008）中的</w:t>
            </w:r>
            <w:r>
              <w:rPr>
                <w:rFonts w:hint="eastAsia" w:ascii="Times New Roman" w:cs="Times New Roman"/>
                <w:color w:val="auto"/>
              </w:rPr>
              <w:t>2</w:t>
            </w:r>
            <w:r>
              <w:rPr>
                <w:rFonts w:ascii="Times New Roman" w:cs="Times New Roman"/>
                <w:color w:val="auto"/>
              </w:rPr>
              <w:t>类区标准</w:t>
            </w:r>
            <w:r>
              <w:rPr>
                <w:rFonts w:ascii="Times New Roman" w:hAnsi="宋体" w:cs="Times New Roman"/>
                <w:bCs/>
                <w:color w:val="auto"/>
              </w:rPr>
              <w:t>。</w:t>
            </w:r>
          </w:p>
          <w:p w14:paraId="5F92D9B4">
            <w:pPr>
              <w:pStyle w:val="54"/>
              <w:spacing w:before="72"/>
              <w:ind w:firstLine="514"/>
              <w:rPr>
                <w:b/>
              </w:rPr>
            </w:pPr>
            <w:r>
              <w:rPr>
                <w:b/>
                <w:spacing w:val="8"/>
                <w:szCs w:val="24"/>
              </w:rPr>
              <w:t>四、</w:t>
            </w:r>
            <w:r>
              <w:rPr>
                <w:rFonts w:hint="eastAsia"/>
                <w:b/>
              </w:rPr>
              <w:t>生态环境现状</w:t>
            </w:r>
          </w:p>
          <w:p w14:paraId="145AB4B9">
            <w:pPr>
              <w:snapToGrid w:val="0"/>
              <w:spacing w:line="360" w:lineRule="auto"/>
              <w:ind w:firstLine="480" w:firstLineChars="200"/>
              <w:rPr>
                <w:sz w:val="24"/>
              </w:rPr>
            </w:pPr>
            <w:r>
              <w:rPr>
                <w:rFonts w:hint="eastAsia"/>
                <w:sz w:val="24"/>
              </w:rPr>
              <w:t>根据《建设项目环境影响报告表编制技术指南（污染影响类）（试行）》，建设项目新增用地且用地范围内含有生态环境保护目标时，应进行生态现状调查。本项目位于湖南省衡阳市</w:t>
            </w:r>
            <w:r>
              <w:rPr>
                <w:rFonts w:hint="eastAsia"/>
                <w:sz w:val="24"/>
                <w:szCs w:val="28"/>
              </w:rPr>
              <w:t>衡山县白果镇岳北村</w:t>
            </w:r>
            <w:r>
              <w:rPr>
                <w:rFonts w:hint="eastAsia"/>
                <w:sz w:val="24"/>
              </w:rPr>
              <w:t>，衡山岳北粮食收储有限公司现有用地红线内，未新增用地且用地范围内无生态环境保护目标，因此本项目无需开展生态环境质量现状调查。</w:t>
            </w:r>
          </w:p>
          <w:p w14:paraId="65D19935">
            <w:pPr>
              <w:snapToGrid w:val="0"/>
              <w:spacing w:line="360" w:lineRule="auto"/>
              <w:ind w:firstLine="482" w:firstLineChars="200"/>
              <w:rPr>
                <w:b/>
                <w:sz w:val="24"/>
              </w:rPr>
            </w:pPr>
            <w:r>
              <w:rPr>
                <w:rFonts w:hint="eastAsia"/>
                <w:b/>
                <w:sz w:val="24"/>
              </w:rPr>
              <w:t>五、土壤、地下水环境</w:t>
            </w:r>
          </w:p>
          <w:p w14:paraId="11A30B79">
            <w:pPr>
              <w:snapToGrid w:val="0"/>
              <w:spacing w:line="360" w:lineRule="auto"/>
              <w:ind w:firstLine="480" w:firstLineChars="200"/>
              <w:rPr>
                <w:sz w:val="24"/>
              </w:rPr>
            </w:pPr>
            <w:r>
              <w:rPr>
                <w:rFonts w:hint="eastAsia"/>
                <w:sz w:val="24"/>
              </w:rPr>
              <w:t>根据《</w:t>
            </w:r>
            <w:bookmarkStart w:id="57" w:name="OLE_LINK39"/>
            <w:r>
              <w:rPr>
                <w:rFonts w:hint="eastAsia"/>
                <w:sz w:val="24"/>
              </w:rPr>
              <w:t>建设项目环境影响报告表编制技术指南（污染影响类）（试行）</w:t>
            </w:r>
            <w:bookmarkEnd w:id="57"/>
            <w:r>
              <w:rPr>
                <w:rFonts w:hint="eastAsia"/>
                <w:sz w:val="24"/>
              </w:rPr>
              <w:t>》，“地下水、土壤环境。原则上不开展环境质量现状调查。建设项目存在土壤、地下水环境污染途径的，应结合污染源、保护目标分布情况开展现状调查以留作背景值。结合本项目工程分析，项目场地硬化处理，做好防渗，项目不存在土壤、地下水环境污染途径，因此，可不开展土壤、地下水环境质量现状调查</w:t>
            </w:r>
            <w:r>
              <w:rPr>
                <w:sz w:val="24"/>
              </w:rPr>
              <w:t>。</w:t>
            </w:r>
          </w:p>
          <w:p w14:paraId="44EA61EF">
            <w:pPr>
              <w:tabs>
                <w:tab w:val="left" w:pos="3544"/>
              </w:tabs>
              <w:adjustRightInd w:val="0"/>
              <w:snapToGrid w:val="0"/>
              <w:spacing w:line="360" w:lineRule="auto"/>
              <w:ind w:firstLine="482" w:firstLineChars="200"/>
              <w:rPr>
                <w:b/>
                <w:sz w:val="24"/>
              </w:rPr>
            </w:pPr>
            <w:r>
              <w:rPr>
                <w:rFonts w:hint="eastAsia"/>
                <w:b/>
                <w:sz w:val="24"/>
              </w:rPr>
              <w:t>六、电磁辐射</w:t>
            </w:r>
          </w:p>
          <w:p w14:paraId="24A02B14">
            <w:pPr>
              <w:snapToGrid w:val="0"/>
              <w:spacing w:line="360" w:lineRule="auto"/>
              <w:ind w:firstLine="480" w:firstLineChars="200"/>
              <w:rPr>
                <w:sz w:val="24"/>
              </w:rPr>
            </w:pPr>
            <w:r>
              <w:rPr>
                <w:sz w:val="24"/>
              </w:rPr>
              <w:t>本项目不涉及电磁辐射设备，不进行电磁辐射影响评价，因此无需进行电磁辐射环境现状调查</w:t>
            </w:r>
            <w:r>
              <w:rPr>
                <w:rFonts w:hint="eastAsia"/>
                <w:sz w:val="24"/>
              </w:rPr>
              <w:t>。</w:t>
            </w:r>
          </w:p>
        </w:tc>
      </w:tr>
      <w:tr w14:paraId="2E2A5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44D63988">
            <w:pPr>
              <w:adjustRightInd w:val="0"/>
              <w:snapToGrid w:val="0"/>
              <w:jc w:val="center"/>
              <w:rPr>
                <w:b/>
                <w:kern w:val="0"/>
                <w:sz w:val="24"/>
              </w:rPr>
            </w:pPr>
            <w:r>
              <w:rPr>
                <w:rFonts w:hint="eastAsia"/>
                <w:b/>
                <w:kern w:val="0"/>
                <w:sz w:val="24"/>
              </w:rPr>
              <w:t>环境</w:t>
            </w:r>
          </w:p>
          <w:p w14:paraId="0C6C62D5">
            <w:pPr>
              <w:adjustRightInd w:val="0"/>
              <w:snapToGrid w:val="0"/>
              <w:jc w:val="center"/>
              <w:rPr>
                <w:b/>
                <w:kern w:val="0"/>
                <w:sz w:val="24"/>
              </w:rPr>
            </w:pPr>
            <w:r>
              <w:rPr>
                <w:rFonts w:hint="eastAsia"/>
                <w:b/>
                <w:kern w:val="0"/>
                <w:sz w:val="24"/>
              </w:rPr>
              <w:t>保护</w:t>
            </w:r>
          </w:p>
          <w:p w14:paraId="17CCDE0F">
            <w:pPr>
              <w:adjustRightInd w:val="0"/>
              <w:snapToGrid w:val="0"/>
              <w:jc w:val="center"/>
              <w:rPr>
                <w:kern w:val="0"/>
                <w:sz w:val="24"/>
              </w:rPr>
            </w:pPr>
            <w:r>
              <w:rPr>
                <w:rFonts w:hint="eastAsia"/>
                <w:b/>
                <w:kern w:val="0"/>
                <w:sz w:val="24"/>
              </w:rPr>
              <w:t>目标</w:t>
            </w:r>
          </w:p>
        </w:tc>
        <w:tc>
          <w:tcPr>
            <w:tcW w:w="4718" w:type="pct"/>
            <w:vAlign w:val="center"/>
          </w:tcPr>
          <w:p w14:paraId="044352F9">
            <w:pPr>
              <w:adjustRightInd w:val="0"/>
              <w:snapToGrid w:val="0"/>
              <w:spacing w:line="360" w:lineRule="auto"/>
              <w:ind w:firstLine="482" w:firstLineChars="200"/>
              <w:rPr>
                <w:b/>
                <w:kern w:val="0"/>
                <w:sz w:val="24"/>
              </w:rPr>
            </w:pPr>
            <w:r>
              <w:rPr>
                <w:b/>
                <w:kern w:val="0"/>
                <w:sz w:val="24"/>
              </w:rPr>
              <w:t>一、大气环境保护目标</w:t>
            </w:r>
          </w:p>
          <w:p w14:paraId="32A01460">
            <w:pPr>
              <w:adjustRightInd w:val="0"/>
              <w:snapToGrid w:val="0"/>
              <w:spacing w:line="360" w:lineRule="auto"/>
              <w:ind w:firstLine="480" w:firstLineChars="200"/>
              <w:rPr>
                <w:kern w:val="0"/>
                <w:sz w:val="24"/>
              </w:rPr>
            </w:pPr>
            <w:r>
              <w:rPr>
                <w:rFonts w:hint="eastAsia"/>
                <w:kern w:val="0"/>
                <w:sz w:val="24"/>
              </w:rPr>
              <w:t>厂界外500m范围内大气环境敏感点主要为居住区等，具体情况见下表，敏感点分布情况见附表3-5及附图3。</w:t>
            </w:r>
          </w:p>
          <w:p w14:paraId="1ACC34F5">
            <w:pPr>
              <w:adjustRightInd w:val="0"/>
              <w:snapToGrid w:val="0"/>
              <w:spacing w:before="120" w:beforeLines="50"/>
              <w:jc w:val="center"/>
              <w:rPr>
                <w:b/>
                <w:bCs/>
                <w:szCs w:val="21"/>
              </w:rPr>
            </w:pPr>
            <w:r>
              <w:rPr>
                <w:b/>
                <w:bCs/>
                <w:szCs w:val="21"/>
              </w:rPr>
              <w:t>表</w:t>
            </w:r>
            <w:r>
              <w:rPr>
                <w:rFonts w:hint="eastAsia"/>
                <w:b/>
                <w:bCs/>
                <w:szCs w:val="21"/>
              </w:rPr>
              <w:t xml:space="preserve">3-5 </w:t>
            </w:r>
            <w:r>
              <w:rPr>
                <w:b/>
                <w:bCs/>
                <w:szCs w:val="21"/>
              </w:rPr>
              <w:t xml:space="preserve"> 项目环境敏感保护目标一览表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4"/>
              <w:gridCol w:w="1424"/>
              <w:gridCol w:w="1393"/>
              <w:gridCol w:w="1498"/>
              <w:gridCol w:w="786"/>
              <w:gridCol w:w="953"/>
              <w:gridCol w:w="905"/>
              <w:gridCol w:w="1151"/>
            </w:tblGrid>
            <w:tr w14:paraId="7A99F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restart"/>
                  <w:shd w:val="clear" w:color="auto" w:fill="auto"/>
                  <w:vAlign w:val="center"/>
                </w:tcPr>
                <w:p w14:paraId="41F384AB">
                  <w:pPr>
                    <w:autoSpaceDE w:val="0"/>
                    <w:autoSpaceDN w:val="0"/>
                    <w:adjustRightInd w:val="0"/>
                    <w:jc w:val="center"/>
                    <w:rPr>
                      <w:b/>
                      <w:kern w:val="0"/>
                      <w:szCs w:val="21"/>
                    </w:rPr>
                  </w:pPr>
                  <w:r>
                    <w:rPr>
                      <w:b/>
                      <w:kern w:val="0"/>
                      <w:szCs w:val="21"/>
                    </w:rPr>
                    <w:t>名称</w:t>
                  </w:r>
                </w:p>
              </w:tc>
              <w:tc>
                <w:tcPr>
                  <w:tcW w:w="1501" w:type="pct"/>
                  <w:gridSpan w:val="2"/>
                  <w:shd w:val="clear" w:color="auto" w:fill="auto"/>
                  <w:vAlign w:val="center"/>
                </w:tcPr>
                <w:p w14:paraId="56D40E24">
                  <w:pPr>
                    <w:autoSpaceDE w:val="0"/>
                    <w:autoSpaceDN w:val="0"/>
                    <w:adjustRightInd w:val="0"/>
                    <w:jc w:val="center"/>
                    <w:rPr>
                      <w:b/>
                      <w:kern w:val="0"/>
                      <w:szCs w:val="21"/>
                    </w:rPr>
                  </w:pPr>
                  <w:r>
                    <w:rPr>
                      <w:b/>
                      <w:kern w:val="0"/>
                      <w:szCs w:val="21"/>
                    </w:rPr>
                    <w:t>坐标</w:t>
                  </w:r>
                  <w:r>
                    <w:rPr>
                      <w:rFonts w:hint="eastAsia"/>
                      <w:b/>
                      <w:kern w:val="0"/>
                      <w:szCs w:val="21"/>
                    </w:rPr>
                    <w:t>/m</w:t>
                  </w:r>
                </w:p>
              </w:tc>
              <w:tc>
                <w:tcPr>
                  <w:tcW w:w="798" w:type="pct"/>
                  <w:vMerge w:val="restart"/>
                  <w:shd w:val="clear" w:color="auto" w:fill="auto"/>
                  <w:vAlign w:val="center"/>
                </w:tcPr>
                <w:p w14:paraId="75AFE081">
                  <w:pPr>
                    <w:autoSpaceDE w:val="0"/>
                    <w:autoSpaceDN w:val="0"/>
                    <w:adjustRightInd w:val="0"/>
                    <w:jc w:val="center"/>
                    <w:rPr>
                      <w:b/>
                      <w:kern w:val="0"/>
                      <w:szCs w:val="21"/>
                    </w:rPr>
                  </w:pPr>
                  <w:r>
                    <w:rPr>
                      <w:b/>
                      <w:kern w:val="0"/>
                      <w:szCs w:val="21"/>
                    </w:rPr>
                    <w:t>保护对象</w:t>
                  </w:r>
                </w:p>
              </w:tc>
              <w:tc>
                <w:tcPr>
                  <w:tcW w:w="419" w:type="pct"/>
                  <w:vMerge w:val="restart"/>
                  <w:shd w:val="clear" w:color="auto" w:fill="auto"/>
                  <w:vAlign w:val="center"/>
                </w:tcPr>
                <w:p w14:paraId="0B3043DD">
                  <w:pPr>
                    <w:autoSpaceDE w:val="0"/>
                    <w:autoSpaceDN w:val="0"/>
                    <w:adjustRightInd w:val="0"/>
                    <w:jc w:val="center"/>
                    <w:rPr>
                      <w:b/>
                      <w:kern w:val="0"/>
                      <w:szCs w:val="21"/>
                    </w:rPr>
                  </w:pPr>
                  <w:r>
                    <w:rPr>
                      <w:b/>
                      <w:kern w:val="0"/>
                      <w:szCs w:val="21"/>
                    </w:rPr>
                    <w:t>保护内容</w:t>
                  </w:r>
                </w:p>
              </w:tc>
              <w:tc>
                <w:tcPr>
                  <w:tcW w:w="508" w:type="pct"/>
                  <w:vMerge w:val="restart"/>
                  <w:shd w:val="clear" w:color="auto" w:fill="auto"/>
                  <w:vAlign w:val="center"/>
                </w:tcPr>
                <w:p w14:paraId="7CCD7D6E">
                  <w:pPr>
                    <w:autoSpaceDE w:val="0"/>
                    <w:autoSpaceDN w:val="0"/>
                    <w:adjustRightInd w:val="0"/>
                    <w:jc w:val="center"/>
                    <w:rPr>
                      <w:b/>
                      <w:kern w:val="0"/>
                      <w:szCs w:val="21"/>
                    </w:rPr>
                  </w:pPr>
                  <w:r>
                    <w:rPr>
                      <w:b/>
                      <w:kern w:val="0"/>
                      <w:szCs w:val="21"/>
                    </w:rPr>
                    <w:t>环境功能区</w:t>
                  </w:r>
                </w:p>
              </w:tc>
              <w:tc>
                <w:tcPr>
                  <w:tcW w:w="482" w:type="pct"/>
                  <w:vMerge w:val="restart"/>
                  <w:shd w:val="clear" w:color="auto" w:fill="auto"/>
                  <w:vAlign w:val="center"/>
                </w:tcPr>
                <w:p w14:paraId="1B506008">
                  <w:pPr>
                    <w:autoSpaceDE w:val="0"/>
                    <w:autoSpaceDN w:val="0"/>
                    <w:adjustRightInd w:val="0"/>
                    <w:jc w:val="center"/>
                    <w:rPr>
                      <w:b/>
                      <w:kern w:val="0"/>
                      <w:szCs w:val="21"/>
                    </w:rPr>
                  </w:pPr>
                  <w:r>
                    <w:rPr>
                      <w:b/>
                      <w:kern w:val="0"/>
                      <w:szCs w:val="21"/>
                    </w:rPr>
                    <w:t>相对厂址方位</w:t>
                  </w:r>
                </w:p>
              </w:tc>
              <w:tc>
                <w:tcPr>
                  <w:tcW w:w="613" w:type="pct"/>
                  <w:vMerge w:val="restart"/>
                  <w:shd w:val="clear" w:color="auto" w:fill="auto"/>
                  <w:vAlign w:val="center"/>
                </w:tcPr>
                <w:p w14:paraId="686DF891">
                  <w:pPr>
                    <w:autoSpaceDE w:val="0"/>
                    <w:autoSpaceDN w:val="0"/>
                    <w:adjustRightInd w:val="0"/>
                    <w:jc w:val="center"/>
                    <w:rPr>
                      <w:b/>
                      <w:kern w:val="0"/>
                      <w:szCs w:val="21"/>
                    </w:rPr>
                  </w:pPr>
                  <w:r>
                    <w:rPr>
                      <w:b/>
                      <w:kern w:val="0"/>
                      <w:szCs w:val="21"/>
                    </w:rPr>
                    <w:t>相对厂界距离</w:t>
                  </w:r>
                  <w:r>
                    <w:rPr>
                      <w:rFonts w:hint="eastAsia"/>
                      <w:b/>
                      <w:kern w:val="0"/>
                      <w:szCs w:val="21"/>
                    </w:rPr>
                    <w:t>/m</w:t>
                  </w:r>
                </w:p>
              </w:tc>
            </w:tr>
            <w:tr w14:paraId="0EBA9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continue"/>
                  <w:shd w:val="clear" w:color="auto" w:fill="auto"/>
                  <w:vAlign w:val="center"/>
                </w:tcPr>
                <w:p w14:paraId="57378A9B">
                  <w:pPr>
                    <w:autoSpaceDE w:val="0"/>
                    <w:autoSpaceDN w:val="0"/>
                    <w:adjustRightInd w:val="0"/>
                    <w:jc w:val="center"/>
                    <w:rPr>
                      <w:b/>
                      <w:kern w:val="0"/>
                      <w:szCs w:val="21"/>
                    </w:rPr>
                  </w:pPr>
                </w:p>
              </w:tc>
              <w:tc>
                <w:tcPr>
                  <w:tcW w:w="759" w:type="pct"/>
                  <w:shd w:val="clear" w:color="auto" w:fill="auto"/>
                  <w:vAlign w:val="center"/>
                </w:tcPr>
                <w:p w14:paraId="3C7723D9">
                  <w:pPr>
                    <w:spacing w:line="0" w:lineRule="atLeast"/>
                    <w:jc w:val="center"/>
                    <w:rPr>
                      <w:b/>
                      <w:szCs w:val="21"/>
                    </w:rPr>
                  </w:pPr>
                  <w:r>
                    <w:rPr>
                      <w:rFonts w:hint="eastAsia"/>
                      <w:b/>
                      <w:szCs w:val="21"/>
                    </w:rPr>
                    <w:t>经度</w:t>
                  </w:r>
                </w:p>
              </w:tc>
              <w:tc>
                <w:tcPr>
                  <w:tcW w:w="742" w:type="pct"/>
                  <w:shd w:val="clear" w:color="auto" w:fill="auto"/>
                  <w:vAlign w:val="center"/>
                </w:tcPr>
                <w:p w14:paraId="4D5A9197">
                  <w:pPr>
                    <w:spacing w:line="0" w:lineRule="atLeast"/>
                    <w:jc w:val="center"/>
                    <w:rPr>
                      <w:b/>
                      <w:szCs w:val="21"/>
                    </w:rPr>
                  </w:pPr>
                  <w:r>
                    <w:rPr>
                      <w:rFonts w:hint="eastAsia"/>
                      <w:b/>
                      <w:szCs w:val="21"/>
                    </w:rPr>
                    <w:t>纬度</w:t>
                  </w:r>
                </w:p>
              </w:tc>
              <w:tc>
                <w:tcPr>
                  <w:tcW w:w="798" w:type="pct"/>
                  <w:vMerge w:val="continue"/>
                  <w:shd w:val="clear" w:color="auto" w:fill="auto"/>
                  <w:vAlign w:val="center"/>
                </w:tcPr>
                <w:p w14:paraId="268E3655">
                  <w:pPr>
                    <w:autoSpaceDE w:val="0"/>
                    <w:autoSpaceDN w:val="0"/>
                    <w:adjustRightInd w:val="0"/>
                    <w:jc w:val="center"/>
                    <w:rPr>
                      <w:b/>
                      <w:kern w:val="0"/>
                      <w:szCs w:val="21"/>
                    </w:rPr>
                  </w:pPr>
                </w:p>
              </w:tc>
              <w:tc>
                <w:tcPr>
                  <w:tcW w:w="419" w:type="pct"/>
                  <w:vMerge w:val="continue"/>
                  <w:shd w:val="clear" w:color="auto" w:fill="auto"/>
                  <w:vAlign w:val="center"/>
                </w:tcPr>
                <w:p w14:paraId="6AF872B3">
                  <w:pPr>
                    <w:autoSpaceDE w:val="0"/>
                    <w:autoSpaceDN w:val="0"/>
                    <w:adjustRightInd w:val="0"/>
                    <w:jc w:val="center"/>
                    <w:rPr>
                      <w:b/>
                      <w:kern w:val="0"/>
                      <w:szCs w:val="21"/>
                    </w:rPr>
                  </w:pPr>
                </w:p>
              </w:tc>
              <w:tc>
                <w:tcPr>
                  <w:tcW w:w="508" w:type="pct"/>
                  <w:vMerge w:val="continue"/>
                  <w:shd w:val="clear" w:color="auto" w:fill="auto"/>
                  <w:vAlign w:val="center"/>
                </w:tcPr>
                <w:p w14:paraId="6A930527">
                  <w:pPr>
                    <w:autoSpaceDE w:val="0"/>
                    <w:autoSpaceDN w:val="0"/>
                    <w:adjustRightInd w:val="0"/>
                    <w:jc w:val="center"/>
                    <w:rPr>
                      <w:b/>
                      <w:kern w:val="0"/>
                      <w:szCs w:val="21"/>
                    </w:rPr>
                  </w:pPr>
                </w:p>
              </w:tc>
              <w:tc>
                <w:tcPr>
                  <w:tcW w:w="482" w:type="pct"/>
                  <w:vMerge w:val="continue"/>
                  <w:shd w:val="clear" w:color="auto" w:fill="auto"/>
                  <w:vAlign w:val="center"/>
                </w:tcPr>
                <w:p w14:paraId="437E6680">
                  <w:pPr>
                    <w:autoSpaceDE w:val="0"/>
                    <w:autoSpaceDN w:val="0"/>
                    <w:adjustRightInd w:val="0"/>
                    <w:jc w:val="center"/>
                    <w:rPr>
                      <w:b/>
                      <w:kern w:val="0"/>
                      <w:szCs w:val="21"/>
                    </w:rPr>
                  </w:pPr>
                </w:p>
              </w:tc>
              <w:tc>
                <w:tcPr>
                  <w:tcW w:w="613" w:type="pct"/>
                  <w:vMerge w:val="continue"/>
                  <w:shd w:val="clear" w:color="auto" w:fill="auto"/>
                  <w:vAlign w:val="center"/>
                </w:tcPr>
                <w:p w14:paraId="03FBACBE">
                  <w:pPr>
                    <w:autoSpaceDE w:val="0"/>
                    <w:autoSpaceDN w:val="0"/>
                    <w:adjustRightInd w:val="0"/>
                    <w:jc w:val="center"/>
                    <w:rPr>
                      <w:b/>
                      <w:kern w:val="0"/>
                      <w:szCs w:val="21"/>
                    </w:rPr>
                  </w:pPr>
                </w:p>
              </w:tc>
            </w:tr>
            <w:tr w14:paraId="4F263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7FBCC66">
                  <w:pPr>
                    <w:autoSpaceDE w:val="0"/>
                    <w:autoSpaceDN w:val="0"/>
                    <w:adjustRightInd w:val="0"/>
                    <w:jc w:val="center"/>
                    <w:rPr>
                      <w:kern w:val="0"/>
                      <w:szCs w:val="21"/>
                    </w:rPr>
                  </w:pPr>
                  <w:bookmarkStart w:id="58" w:name="_Hlk226452095"/>
                  <w:r>
                    <w:rPr>
                      <w:rFonts w:hint="eastAsia"/>
                      <w:kern w:val="0"/>
                      <w:szCs w:val="21"/>
                    </w:rPr>
                    <w:t>岳北村居民点①</w:t>
                  </w:r>
                </w:p>
              </w:tc>
              <w:tc>
                <w:tcPr>
                  <w:tcW w:w="759" w:type="pct"/>
                  <w:shd w:val="clear" w:color="auto" w:fill="auto"/>
                  <w:vAlign w:val="center"/>
                </w:tcPr>
                <w:p w14:paraId="7596CEDB">
                  <w:pPr>
                    <w:autoSpaceDE w:val="0"/>
                    <w:autoSpaceDN w:val="0"/>
                    <w:adjustRightInd w:val="0"/>
                    <w:jc w:val="center"/>
                    <w:rPr>
                      <w:kern w:val="0"/>
                      <w:szCs w:val="21"/>
                    </w:rPr>
                  </w:pPr>
                  <w:r>
                    <w:rPr>
                      <w:kern w:val="0"/>
                      <w:szCs w:val="21"/>
                    </w:rPr>
                    <w:t>112.607350</w:t>
                  </w:r>
                  <w:r>
                    <w:rPr>
                      <w:rFonts w:hint="eastAsia"/>
                      <w:kern w:val="0"/>
                      <w:szCs w:val="21"/>
                    </w:rPr>
                    <w:t>°</w:t>
                  </w:r>
                </w:p>
              </w:tc>
              <w:tc>
                <w:tcPr>
                  <w:tcW w:w="742" w:type="pct"/>
                  <w:shd w:val="clear" w:color="auto" w:fill="auto"/>
                  <w:vAlign w:val="center"/>
                </w:tcPr>
                <w:p w14:paraId="1ADA6D82">
                  <w:pPr>
                    <w:autoSpaceDE w:val="0"/>
                    <w:autoSpaceDN w:val="0"/>
                    <w:adjustRightInd w:val="0"/>
                    <w:jc w:val="center"/>
                    <w:rPr>
                      <w:kern w:val="0"/>
                      <w:szCs w:val="21"/>
                    </w:rPr>
                  </w:pPr>
                  <w:r>
                    <w:rPr>
                      <w:kern w:val="0"/>
                      <w:szCs w:val="21"/>
                    </w:rPr>
                    <w:t>27.38834</w:t>
                  </w:r>
                  <w:r>
                    <w:rPr>
                      <w:rFonts w:hint="eastAsia"/>
                      <w:kern w:val="0"/>
                      <w:szCs w:val="21"/>
                    </w:rPr>
                    <w:t>2°</w:t>
                  </w:r>
                </w:p>
              </w:tc>
              <w:tc>
                <w:tcPr>
                  <w:tcW w:w="798" w:type="pct"/>
                  <w:shd w:val="clear" w:color="auto" w:fill="auto"/>
                  <w:vAlign w:val="center"/>
                </w:tcPr>
                <w:p w14:paraId="6DE40D8D">
                  <w:pPr>
                    <w:autoSpaceDE w:val="0"/>
                    <w:autoSpaceDN w:val="0"/>
                    <w:adjustRightInd w:val="0"/>
                    <w:jc w:val="center"/>
                    <w:rPr>
                      <w:kern w:val="0"/>
                      <w:szCs w:val="21"/>
                    </w:rPr>
                  </w:pPr>
                  <w:r>
                    <w:rPr>
                      <w:rFonts w:hint="eastAsia"/>
                      <w:kern w:val="0"/>
                      <w:szCs w:val="21"/>
                    </w:rPr>
                    <w:t>居民，200户700人</w:t>
                  </w:r>
                </w:p>
              </w:tc>
              <w:tc>
                <w:tcPr>
                  <w:tcW w:w="419" w:type="pct"/>
                  <w:shd w:val="clear" w:color="auto" w:fill="auto"/>
                  <w:vAlign w:val="center"/>
                </w:tcPr>
                <w:p w14:paraId="1EECE26C">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4E4F932">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16351BAA">
                  <w:pPr>
                    <w:autoSpaceDE w:val="0"/>
                    <w:autoSpaceDN w:val="0"/>
                    <w:adjustRightInd w:val="0"/>
                    <w:jc w:val="center"/>
                    <w:rPr>
                      <w:kern w:val="0"/>
                      <w:szCs w:val="21"/>
                    </w:rPr>
                  </w:pPr>
                  <w:r>
                    <w:rPr>
                      <w:rFonts w:hint="eastAsia"/>
                      <w:kern w:val="0"/>
                      <w:szCs w:val="21"/>
                    </w:rPr>
                    <w:t>东</w:t>
                  </w:r>
                  <w:r>
                    <w:rPr>
                      <w:kern w:val="0"/>
                      <w:szCs w:val="21"/>
                    </w:rPr>
                    <w:t>北</w:t>
                  </w:r>
                </w:p>
              </w:tc>
              <w:tc>
                <w:tcPr>
                  <w:tcW w:w="613" w:type="pct"/>
                  <w:shd w:val="clear" w:color="auto" w:fill="auto"/>
                  <w:vAlign w:val="center"/>
                </w:tcPr>
                <w:p w14:paraId="5754C640">
                  <w:pPr>
                    <w:autoSpaceDE w:val="0"/>
                    <w:autoSpaceDN w:val="0"/>
                    <w:adjustRightInd w:val="0"/>
                    <w:jc w:val="center"/>
                    <w:rPr>
                      <w:kern w:val="0"/>
                      <w:szCs w:val="21"/>
                    </w:rPr>
                  </w:pPr>
                  <w:r>
                    <w:rPr>
                      <w:rFonts w:hint="eastAsia"/>
                      <w:kern w:val="0"/>
                      <w:szCs w:val="21"/>
                    </w:rPr>
                    <w:t>5~500m</w:t>
                  </w:r>
                </w:p>
              </w:tc>
            </w:tr>
            <w:tr w14:paraId="46C89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B7A2598">
                  <w:pPr>
                    <w:autoSpaceDE w:val="0"/>
                    <w:autoSpaceDN w:val="0"/>
                    <w:adjustRightInd w:val="0"/>
                    <w:jc w:val="center"/>
                    <w:rPr>
                      <w:kern w:val="0"/>
                      <w:szCs w:val="21"/>
                    </w:rPr>
                  </w:pPr>
                  <w:r>
                    <w:rPr>
                      <w:rFonts w:hint="eastAsia"/>
                      <w:kern w:val="0"/>
                      <w:szCs w:val="21"/>
                    </w:rPr>
                    <w:t>岳北村居民点②</w:t>
                  </w:r>
                </w:p>
              </w:tc>
              <w:tc>
                <w:tcPr>
                  <w:tcW w:w="759" w:type="pct"/>
                  <w:shd w:val="clear" w:color="auto" w:fill="auto"/>
                  <w:vAlign w:val="center"/>
                </w:tcPr>
                <w:p w14:paraId="084F6F0B">
                  <w:pPr>
                    <w:autoSpaceDE w:val="0"/>
                    <w:autoSpaceDN w:val="0"/>
                    <w:adjustRightInd w:val="0"/>
                    <w:jc w:val="center"/>
                    <w:rPr>
                      <w:kern w:val="0"/>
                      <w:szCs w:val="21"/>
                    </w:rPr>
                  </w:pPr>
                  <w:r>
                    <w:rPr>
                      <w:kern w:val="0"/>
                      <w:szCs w:val="21"/>
                    </w:rPr>
                    <w:t>112.608311</w:t>
                  </w:r>
                  <w:r>
                    <w:rPr>
                      <w:rFonts w:hint="eastAsia"/>
                      <w:kern w:val="0"/>
                      <w:szCs w:val="21"/>
                    </w:rPr>
                    <w:t>°</w:t>
                  </w:r>
                </w:p>
              </w:tc>
              <w:tc>
                <w:tcPr>
                  <w:tcW w:w="742" w:type="pct"/>
                  <w:shd w:val="clear" w:color="auto" w:fill="auto"/>
                  <w:vAlign w:val="center"/>
                </w:tcPr>
                <w:p w14:paraId="065AE49A">
                  <w:pPr>
                    <w:autoSpaceDE w:val="0"/>
                    <w:autoSpaceDN w:val="0"/>
                    <w:adjustRightInd w:val="0"/>
                    <w:jc w:val="center"/>
                    <w:rPr>
                      <w:kern w:val="0"/>
                      <w:szCs w:val="21"/>
                    </w:rPr>
                  </w:pPr>
                  <w:r>
                    <w:rPr>
                      <w:kern w:val="0"/>
                      <w:szCs w:val="21"/>
                    </w:rPr>
                    <w:t>27.38713</w:t>
                  </w:r>
                  <w:r>
                    <w:rPr>
                      <w:rFonts w:hint="eastAsia"/>
                      <w:kern w:val="0"/>
                      <w:szCs w:val="21"/>
                    </w:rPr>
                    <w:t>7°</w:t>
                  </w:r>
                </w:p>
              </w:tc>
              <w:tc>
                <w:tcPr>
                  <w:tcW w:w="798" w:type="pct"/>
                  <w:shd w:val="clear" w:color="auto" w:fill="auto"/>
                  <w:vAlign w:val="center"/>
                </w:tcPr>
                <w:p w14:paraId="5EE4083B">
                  <w:pPr>
                    <w:autoSpaceDE w:val="0"/>
                    <w:autoSpaceDN w:val="0"/>
                    <w:adjustRightInd w:val="0"/>
                    <w:jc w:val="center"/>
                    <w:rPr>
                      <w:kern w:val="0"/>
                      <w:szCs w:val="21"/>
                    </w:rPr>
                  </w:pPr>
                  <w:r>
                    <w:rPr>
                      <w:rFonts w:hint="eastAsia"/>
                      <w:kern w:val="0"/>
                      <w:szCs w:val="21"/>
                    </w:rPr>
                    <w:t>居民，40户140人</w:t>
                  </w:r>
                </w:p>
              </w:tc>
              <w:tc>
                <w:tcPr>
                  <w:tcW w:w="419" w:type="pct"/>
                  <w:shd w:val="clear" w:color="auto" w:fill="auto"/>
                  <w:vAlign w:val="center"/>
                </w:tcPr>
                <w:p w14:paraId="06E1E634">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0E0B0841">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0368B89E">
                  <w:pPr>
                    <w:autoSpaceDE w:val="0"/>
                    <w:autoSpaceDN w:val="0"/>
                    <w:adjustRightInd w:val="0"/>
                    <w:jc w:val="center"/>
                    <w:rPr>
                      <w:kern w:val="0"/>
                      <w:szCs w:val="21"/>
                    </w:rPr>
                  </w:pPr>
                  <w:r>
                    <w:rPr>
                      <w:rFonts w:hint="eastAsia"/>
                      <w:kern w:val="0"/>
                      <w:szCs w:val="21"/>
                    </w:rPr>
                    <w:t>东</w:t>
                  </w:r>
                </w:p>
              </w:tc>
              <w:tc>
                <w:tcPr>
                  <w:tcW w:w="613" w:type="pct"/>
                  <w:shd w:val="clear" w:color="auto" w:fill="auto"/>
                  <w:vAlign w:val="center"/>
                </w:tcPr>
                <w:p w14:paraId="696BF0A8">
                  <w:pPr>
                    <w:autoSpaceDE w:val="0"/>
                    <w:autoSpaceDN w:val="0"/>
                    <w:adjustRightInd w:val="0"/>
                    <w:jc w:val="center"/>
                    <w:rPr>
                      <w:kern w:val="0"/>
                      <w:szCs w:val="21"/>
                    </w:rPr>
                  </w:pPr>
                  <w:r>
                    <w:rPr>
                      <w:rFonts w:hint="eastAsia"/>
                      <w:kern w:val="0"/>
                      <w:szCs w:val="21"/>
                    </w:rPr>
                    <w:t>15~450m</w:t>
                  </w:r>
                </w:p>
              </w:tc>
            </w:tr>
            <w:bookmarkEnd w:id="58"/>
            <w:tr w14:paraId="4001A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11853AC4">
                  <w:pPr>
                    <w:autoSpaceDE w:val="0"/>
                    <w:autoSpaceDN w:val="0"/>
                    <w:adjustRightInd w:val="0"/>
                    <w:jc w:val="center"/>
                    <w:rPr>
                      <w:kern w:val="0"/>
                      <w:szCs w:val="21"/>
                    </w:rPr>
                  </w:pPr>
                  <w:r>
                    <w:rPr>
                      <w:rFonts w:hint="eastAsia"/>
                      <w:kern w:val="0"/>
                      <w:szCs w:val="21"/>
                    </w:rPr>
                    <w:t>新塘村居民点①</w:t>
                  </w:r>
                </w:p>
              </w:tc>
              <w:tc>
                <w:tcPr>
                  <w:tcW w:w="759" w:type="pct"/>
                  <w:shd w:val="clear" w:color="auto" w:fill="auto"/>
                  <w:vAlign w:val="center"/>
                </w:tcPr>
                <w:p w14:paraId="03602230">
                  <w:pPr>
                    <w:autoSpaceDE w:val="0"/>
                    <w:autoSpaceDN w:val="0"/>
                    <w:adjustRightInd w:val="0"/>
                    <w:jc w:val="center"/>
                    <w:rPr>
                      <w:kern w:val="0"/>
                      <w:szCs w:val="21"/>
                    </w:rPr>
                  </w:pPr>
                  <w:r>
                    <w:rPr>
                      <w:kern w:val="0"/>
                      <w:szCs w:val="21"/>
                    </w:rPr>
                    <w:t>112.60754</w:t>
                  </w:r>
                  <w:r>
                    <w:rPr>
                      <w:rFonts w:hint="eastAsia"/>
                      <w:kern w:val="0"/>
                      <w:szCs w:val="21"/>
                    </w:rPr>
                    <w:t>9°</w:t>
                  </w:r>
                </w:p>
              </w:tc>
              <w:tc>
                <w:tcPr>
                  <w:tcW w:w="742" w:type="pct"/>
                  <w:shd w:val="clear" w:color="auto" w:fill="auto"/>
                  <w:vAlign w:val="center"/>
                </w:tcPr>
                <w:p w14:paraId="6C3FE9CB">
                  <w:pPr>
                    <w:autoSpaceDE w:val="0"/>
                    <w:autoSpaceDN w:val="0"/>
                    <w:adjustRightInd w:val="0"/>
                    <w:jc w:val="center"/>
                    <w:rPr>
                      <w:kern w:val="0"/>
                      <w:szCs w:val="21"/>
                    </w:rPr>
                  </w:pPr>
                  <w:r>
                    <w:rPr>
                      <w:kern w:val="0"/>
                      <w:szCs w:val="21"/>
                    </w:rPr>
                    <w:t>27.38642</w:t>
                  </w:r>
                  <w:r>
                    <w:rPr>
                      <w:rFonts w:hint="eastAsia"/>
                      <w:kern w:val="0"/>
                      <w:szCs w:val="21"/>
                    </w:rPr>
                    <w:t>2°</w:t>
                  </w:r>
                </w:p>
              </w:tc>
              <w:tc>
                <w:tcPr>
                  <w:tcW w:w="798" w:type="pct"/>
                  <w:shd w:val="clear" w:color="auto" w:fill="auto"/>
                  <w:vAlign w:val="center"/>
                </w:tcPr>
                <w:p w14:paraId="4B690AAD">
                  <w:pPr>
                    <w:autoSpaceDE w:val="0"/>
                    <w:autoSpaceDN w:val="0"/>
                    <w:adjustRightInd w:val="0"/>
                    <w:jc w:val="center"/>
                    <w:rPr>
                      <w:kern w:val="0"/>
                      <w:szCs w:val="21"/>
                    </w:rPr>
                  </w:pPr>
                  <w:r>
                    <w:rPr>
                      <w:rFonts w:hint="eastAsia"/>
                      <w:kern w:val="0"/>
                      <w:szCs w:val="21"/>
                    </w:rPr>
                    <w:t>居民，50户175人</w:t>
                  </w:r>
                </w:p>
              </w:tc>
              <w:tc>
                <w:tcPr>
                  <w:tcW w:w="419" w:type="pct"/>
                  <w:shd w:val="clear" w:color="auto" w:fill="auto"/>
                  <w:vAlign w:val="center"/>
                </w:tcPr>
                <w:p w14:paraId="5F0A28E3">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825F512">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04AF52BA">
                  <w:pPr>
                    <w:autoSpaceDE w:val="0"/>
                    <w:autoSpaceDN w:val="0"/>
                    <w:adjustRightInd w:val="0"/>
                    <w:jc w:val="center"/>
                    <w:rPr>
                      <w:kern w:val="0"/>
                      <w:szCs w:val="21"/>
                    </w:rPr>
                  </w:pPr>
                  <w:r>
                    <w:rPr>
                      <w:kern w:val="0"/>
                      <w:szCs w:val="21"/>
                    </w:rPr>
                    <w:t>南</w:t>
                  </w:r>
                </w:p>
              </w:tc>
              <w:tc>
                <w:tcPr>
                  <w:tcW w:w="613" w:type="pct"/>
                  <w:shd w:val="clear" w:color="auto" w:fill="auto"/>
                  <w:vAlign w:val="center"/>
                </w:tcPr>
                <w:p w14:paraId="33D00943">
                  <w:pPr>
                    <w:autoSpaceDE w:val="0"/>
                    <w:autoSpaceDN w:val="0"/>
                    <w:adjustRightInd w:val="0"/>
                    <w:jc w:val="center"/>
                    <w:rPr>
                      <w:kern w:val="0"/>
                      <w:szCs w:val="21"/>
                    </w:rPr>
                  </w:pPr>
                  <w:r>
                    <w:rPr>
                      <w:rFonts w:hint="eastAsia"/>
                      <w:kern w:val="0"/>
                      <w:szCs w:val="21"/>
                    </w:rPr>
                    <w:t>45~500m</w:t>
                  </w:r>
                </w:p>
              </w:tc>
            </w:tr>
            <w:tr w14:paraId="6562E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0AA5E59C">
                  <w:pPr>
                    <w:autoSpaceDE w:val="0"/>
                    <w:autoSpaceDN w:val="0"/>
                    <w:adjustRightInd w:val="0"/>
                    <w:jc w:val="center"/>
                    <w:rPr>
                      <w:kern w:val="0"/>
                      <w:szCs w:val="21"/>
                    </w:rPr>
                  </w:pPr>
                  <w:r>
                    <w:rPr>
                      <w:rFonts w:hint="eastAsia"/>
                      <w:kern w:val="0"/>
                      <w:szCs w:val="21"/>
                    </w:rPr>
                    <w:t>新塘村居民点②</w:t>
                  </w:r>
                </w:p>
              </w:tc>
              <w:tc>
                <w:tcPr>
                  <w:tcW w:w="759" w:type="pct"/>
                  <w:shd w:val="clear" w:color="auto" w:fill="auto"/>
                  <w:vAlign w:val="center"/>
                </w:tcPr>
                <w:p w14:paraId="66AA9353">
                  <w:pPr>
                    <w:autoSpaceDE w:val="0"/>
                    <w:autoSpaceDN w:val="0"/>
                    <w:adjustRightInd w:val="0"/>
                    <w:jc w:val="center"/>
                    <w:rPr>
                      <w:kern w:val="0"/>
                      <w:szCs w:val="21"/>
                    </w:rPr>
                  </w:pPr>
                  <w:r>
                    <w:rPr>
                      <w:kern w:val="0"/>
                      <w:szCs w:val="21"/>
                    </w:rPr>
                    <w:t>112.604565</w:t>
                  </w:r>
                  <w:r>
                    <w:rPr>
                      <w:rFonts w:hint="eastAsia"/>
                      <w:kern w:val="0"/>
                      <w:szCs w:val="21"/>
                    </w:rPr>
                    <w:t>°</w:t>
                  </w:r>
                </w:p>
              </w:tc>
              <w:tc>
                <w:tcPr>
                  <w:tcW w:w="742" w:type="pct"/>
                  <w:shd w:val="clear" w:color="auto" w:fill="auto"/>
                  <w:vAlign w:val="center"/>
                </w:tcPr>
                <w:p w14:paraId="5E5C17A8">
                  <w:pPr>
                    <w:autoSpaceDE w:val="0"/>
                    <w:autoSpaceDN w:val="0"/>
                    <w:adjustRightInd w:val="0"/>
                    <w:jc w:val="center"/>
                    <w:rPr>
                      <w:kern w:val="0"/>
                      <w:szCs w:val="21"/>
                    </w:rPr>
                  </w:pPr>
                  <w:r>
                    <w:rPr>
                      <w:kern w:val="0"/>
                      <w:szCs w:val="21"/>
                    </w:rPr>
                    <w:t>27.387131</w:t>
                  </w:r>
                  <w:r>
                    <w:rPr>
                      <w:rFonts w:hint="eastAsia"/>
                      <w:kern w:val="0"/>
                      <w:szCs w:val="21"/>
                    </w:rPr>
                    <w:t>°</w:t>
                  </w:r>
                </w:p>
              </w:tc>
              <w:tc>
                <w:tcPr>
                  <w:tcW w:w="798" w:type="pct"/>
                  <w:shd w:val="clear" w:color="auto" w:fill="auto"/>
                  <w:vAlign w:val="center"/>
                </w:tcPr>
                <w:p w14:paraId="5C8199B6">
                  <w:pPr>
                    <w:autoSpaceDE w:val="0"/>
                    <w:autoSpaceDN w:val="0"/>
                    <w:adjustRightInd w:val="0"/>
                    <w:jc w:val="center"/>
                    <w:rPr>
                      <w:kern w:val="0"/>
                      <w:szCs w:val="21"/>
                    </w:rPr>
                  </w:pPr>
                  <w:r>
                    <w:rPr>
                      <w:rFonts w:hint="eastAsia"/>
                      <w:kern w:val="0"/>
                      <w:szCs w:val="21"/>
                    </w:rPr>
                    <w:t>居民，30户105人</w:t>
                  </w:r>
                </w:p>
              </w:tc>
              <w:tc>
                <w:tcPr>
                  <w:tcW w:w="419" w:type="pct"/>
                  <w:shd w:val="clear" w:color="auto" w:fill="auto"/>
                  <w:vAlign w:val="center"/>
                </w:tcPr>
                <w:p w14:paraId="41E5A182">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EC30D19">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344AA183">
                  <w:pPr>
                    <w:autoSpaceDE w:val="0"/>
                    <w:autoSpaceDN w:val="0"/>
                    <w:adjustRightInd w:val="0"/>
                    <w:jc w:val="center"/>
                    <w:rPr>
                      <w:kern w:val="0"/>
                      <w:szCs w:val="21"/>
                    </w:rPr>
                  </w:pPr>
                  <w:r>
                    <w:rPr>
                      <w:rFonts w:hint="eastAsia"/>
                      <w:kern w:val="0"/>
                      <w:szCs w:val="21"/>
                    </w:rPr>
                    <w:t>西</w:t>
                  </w:r>
                  <w:r>
                    <w:rPr>
                      <w:kern w:val="0"/>
                      <w:szCs w:val="21"/>
                    </w:rPr>
                    <w:t>南</w:t>
                  </w:r>
                </w:p>
              </w:tc>
              <w:tc>
                <w:tcPr>
                  <w:tcW w:w="613" w:type="pct"/>
                  <w:shd w:val="clear" w:color="auto" w:fill="auto"/>
                  <w:vAlign w:val="center"/>
                </w:tcPr>
                <w:p w14:paraId="689FA5CD">
                  <w:pPr>
                    <w:autoSpaceDE w:val="0"/>
                    <w:autoSpaceDN w:val="0"/>
                    <w:adjustRightInd w:val="0"/>
                    <w:jc w:val="center"/>
                    <w:rPr>
                      <w:kern w:val="0"/>
                      <w:szCs w:val="21"/>
                    </w:rPr>
                  </w:pPr>
                  <w:r>
                    <w:rPr>
                      <w:rFonts w:hint="eastAsia"/>
                      <w:kern w:val="0"/>
                      <w:szCs w:val="21"/>
                    </w:rPr>
                    <w:t>160~430m</w:t>
                  </w:r>
                </w:p>
              </w:tc>
            </w:tr>
            <w:tr w14:paraId="37C57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587F3BC2">
                  <w:pPr>
                    <w:autoSpaceDE w:val="0"/>
                    <w:autoSpaceDN w:val="0"/>
                    <w:adjustRightInd w:val="0"/>
                    <w:jc w:val="center"/>
                    <w:rPr>
                      <w:kern w:val="0"/>
                      <w:szCs w:val="21"/>
                    </w:rPr>
                  </w:pPr>
                  <w:r>
                    <w:rPr>
                      <w:rFonts w:hint="eastAsia"/>
                      <w:kern w:val="0"/>
                      <w:szCs w:val="21"/>
                    </w:rPr>
                    <w:t>树枫村居民点①</w:t>
                  </w:r>
                </w:p>
              </w:tc>
              <w:tc>
                <w:tcPr>
                  <w:tcW w:w="759" w:type="pct"/>
                  <w:shd w:val="clear" w:color="auto" w:fill="auto"/>
                  <w:vAlign w:val="center"/>
                </w:tcPr>
                <w:p w14:paraId="37FFBEDD">
                  <w:pPr>
                    <w:autoSpaceDE w:val="0"/>
                    <w:autoSpaceDN w:val="0"/>
                    <w:adjustRightInd w:val="0"/>
                    <w:jc w:val="center"/>
                    <w:rPr>
                      <w:kern w:val="0"/>
                      <w:szCs w:val="21"/>
                    </w:rPr>
                  </w:pPr>
                  <w:r>
                    <w:rPr>
                      <w:kern w:val="0"/>
                      <w:szCs w:val="21"/>
                    </w:rPr>
                    <w:t>112.6059</w:t>
                  </w:r>
                  <w:r>
                    <w:rPr>
                      <w:rFonts w:hint="eastAsia"/>
                      <w:kern w:val="0"/>
                      <w:szCs w:val="21"/>
                    </w:rPr>
                    <w:t>50°</w:t>
                  </w:r>
                </w:p>
              </w:tc>
              <w:tc>
                <w:tcPr>
                  <w:tcW w:w="742" w:type="pct"/>
                  <w:shd w:val="clear" w:color="auto" w:fill="auto"/>
                  <w:vAlign w:val="center"/>
                </w:tcPr>
                <w:p w14:paraId="5A26B64A">
                  <w:pPr>
                    <w:autoSpaceDE w:val="0"/>
                    <w:autoSpaceDN w:val="0"/>
                    <w:adjustRightInd w:val="0"/>
                    <w:jc w:val="center"/>
                    <w:rPr>
                      <w:kern w:val="0"/>
                      <w:szCs w:val="21"/>
                    </w:rPr>
                  </w:pPr>
                  <w:r>
                    <w:rPr>
                      <w:kern w:val="0"/>
                      <w:szCs w:val="21"/>
                    </w:rPr>
                    <w:t>27.38851</w:t>
                  </w:r>
                  <w:r>
                    <w:rPr>
                      <w:rFonts w:hint="eastAsia"/>
                      <w:kern w:val="0"/>
                      <w:szCs w:val="21"/>
                    </w:rPr>
                    <w:t>3°</w:t>
                  </w:r>
                </w:p>
              </w:tc>
              <w:tc>
                <w:tcPr>
                  <w:tcW w:w="798" w:type="pct"/>
                  <w:shd w:val="clear" w:color="auto" w:fill="auto"/>
                  <w:vAlign w:val="center"/>
                </w:tcPr>
                <w:p w14:paraId="1BE25481">
                  <w:pPr>
                    <w:autoSpaceDE w:val="0"/>
                    <w:autoSpaceDN w:val="0"/>
                    <w:adjustRightInd w:val="0"/>
                    <w:jc w:val="center"/>
                    <w:rPr>
                      <w:kern w:val="0"/>
                      <w:szCs w:val="21"/>
                    </w:rPr>
                  </w:pPr>
                  <w:r>
                    <w:rPr>
                      <w:rFonts w:hint="eastAsia"/>
                      <w:kern w:val="0"/>
                      <w:szCs w:val="21"/>
                    </w:rPr>
                    <w:t>居民，20户70人</w:t>
                  </w:r>
                </w:p>
              </w:tc>
              <w:tc>
                <w:tcPr>
                  <w:tcW w:w="419" w:type="pct"/>
                  <w:shd w:val="clear" w:color="auto" w:fill="auto"/>
                  <w:vAlign w:val="center"/>
                </w:tcPr>
                <w:p w14:paraId="6C4F1383">
                  <w:pPr>
                    <w:autoSpaceDE w:val="0"/>
                    <w:autoSpaceDN w:val="0"/>
                    <w:adjustRightInd w:val="0"/>
                    <w:jc w:val="center"/>
                    <w:rPr>
                      <w:kern w:val="0"/>
                      <w:szCs w:val="21"/>
                    </w:rPr>
                  </w:pPr>
                  <w:r>
                    <w:rPr>
                      <w:kern w:val="0"/>
                      <w:szCs w:val="21"/>
                    </w:rPr>
                    <w:t>师生</w:t>
                  </w:r>
                </w:p>
              </w:tc>
              <w:tc>
                <w:tcPr>
                  <w:tcW w:w="508" w:type="pct"/>
                  <w:shd w:val="clear" w:color="auto" w:fill="auto"/>
                  <w:vAlign w:val="center"/>
                </w:tcPr>
                <w:p w14:paraId="4FBE3C40">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7A25779F">
                  <w:pPr>
                    <w:autoSpaceDE w:val="0"/>
                    <w:autoSpaceDN w:val="0"/>
                    <w:adjustRightInd w:val="0"/>
                    <w:jc w:val="center"/>
                    <w:rPr>
                      <w:kern w:val="0"/>
                      <w:szCs w:val="21"/>
                    </w:rPr>
                  </w:pPr>
                  <w:r>
                    <w:rPr>
                      <w:rFonts w:hint="eastAsia"/>
                      <w:kern w:val="0"/>
                      <w:szCs w:val="21"/>
                    </w:rPr>
                    <w:t>西</w:t>
                  </w:r>
                </w:p>
              </w:tc>
              <w:tc>
                <w:tcPr>
                  <w:tcW w:w="613" w:type="pct"/>
                  <w:shd w:val="clear" w:color="auto" w:fill="auto"/>
                  <w:vAlign w:val="center"/>
                </w:tcPr>
                <w:p w14:paraId="58FF30BC">
                  <w:pPr>
                    <w:autoSpaceDE w:val="0"/>
                    <w:autoSpaceDN w:val="0"/>
                    <w:adjustRightInd w:val="0"/>
                    <w:jc w:val="center"/>
                    <w:rPr>
                      <w:kern w:val="0"/>
                      <w:szCs w:val="21"/>
                    </w:rPr>
                  </w:pPr>
                  <w:r>
                    <w:rPr>
                      <w:rFonts w:hint="eastAsia"/>
                      <w:kern w:val="0"/>
                      <w:szCs w:val="21"/>
                    </w:rPr>
                    <w:t>5~500m</w:t>
                  </w:r>
                </w:p>
              </w:tc>
            </w:tr>
            <w:tr w14:paraId="4A340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606097EB">
                  <w:pPr>
                    <w:autoSpaceDE w:val="0"/>
                    <w:autoSpaceDN w:val="0"/>
                    <w:adjustRightInd w:val="0"/>
                    <w:jc w:val="center"/>
                    <w:rPr>
                      <w:kern w:val="0"/>
                      <w:szCs w:val="21"/>
                    </w:rPr>
                  </w:pPr>
                  <w:r>
                    <w:rPr>
                      <w:rFonts w:hint="eastAsia"/>
                      <w:kern w:val="0"/>
                      <w:szCs w:val="21"/>
                    </w:rPr>
                    <w:t>树枫村居民点②</w:t>
                  </w:r>
                </w:p>
              </w:tc>
              <w:tc>
                <w:tcPr>
                  <w:tcW w:w="759" w:type="pct"/>
                  <w:shd w:val="clear" w:color="auto" w:fill="auto"/>
                  <w:vAlign w:val="center"/>
                </w:tcPr>
                <w:p w14:paraId="142D1E5B">
                  <w:pPr>
                    <w:autoSpaceDE w:val="0"/>
                    <w:autoSpaceDN w:val="0"/>
                    <w:adjustRightInd w:val="0"/>
                    <w:jc w:val="center"/>
                    <w:rPr>
                      <w:kern w:val="0"/>
                      <w:szCs w:val="21"/>
                    </w:rPr>
                  </w:pPr>
                  <w:r>
                    <w:rPr>
                      <w:kern w:val="0"/>
                      <w:szCs w:val="21"/>
                    </w:rPr>
                    <w:t>112.604984</w:t>
                  </w:r>
                  <w:r>
                    <w:rPr>
                      <w:rFonts w:hint="eastAsia"/>
                      <w:kern w:val="0"/>
                      <w:szCs w:val="21"/>
                    </w:rPr>
                    <w:t>°</w:t>
                  </w:r>
                </w:p>
              </w:tc>
              <w:tc>
                <w:tcPr>
                  <w:tcW w:w="742" w:type="pct"/>
                  <w:shd w:val="clear" w:color="auto" w:fill="auto"/>
                  <w:vAlign w:val="center"/>
                </w:tcPr>
                <w:p w14:paraId="67D056CD">
                  <w:pPr>
                    <w:autoSpaceDE w:val="0"/>
                    <w:autoSpaceDN w:val="0"/>
                    <w:adjustRightInd w:val="0"/>
                    <w:jc w:val="center"/>
                    <w:rPr>
                      <w:kern w:val="0"/>
                      <w:szCs w:val="21"/>
                    </w:rPr>
                  </w:pPr>
                  <w:r>
                    <w:rPr>
                      <w:kern w:val="0"/>
                      <w:szCs w:val="21"/>
                    </w:rPr>
                    <w:t>27.38984</w:t>
                  </w:r>
                  <w:r>
                    <w:rPr>
                      <w:rFonts w:hint="eastAsia"/>
                      <w:kern w:val="0"/>
                      <w:szCs w:val="21"/>
                    </w:rPr>
                    <w:t>7°</w:t>
                  </w:r>
                </w:p>
              </w:tc>
              <w:tc>
                <w:tcPr>
                  <w:tcW w:w="798" w:type="pct"/>
                  <w:shd w:val="clear" w:color="auto" w:fill="auto"/>
                  <w:vAlign w:val="center"/>
                </w:tcPr>
                <w:p w14:paraId="71308859">
                  <w:pPr>
                    <w:autoSpaceDE w:val="0"/>
                    <w:autoSpaceDN w:val="0"/>
                    <w:adjustRightInd w:val="0"/>
                    <w:jc w:val="center"/>
                    <w:rPr>
                      <w:kern w:val="0"/>
                      <w:szCs w:val="21"/>
                    </w:rPr>
                  </w:pPr>
                  <w:r>
                    <w:rPr>
                      <w:rFonts w:hint="eastAsia"/>
                      <w:kern w:val="0"/>
                      <w:szCs w:val="21"/>
                    </w:rPr>
                    <w:t>居民，20户70人</w:t>
                  </w:r>
                </w:p>
              </w:tc>
              <w:tc>
                <w:tcPr>
                  <w:tcW w:w="419" w:type="pct"/>
                  <w:shd w:val="clear" w:color="auto" w:fill="auto"/>
                  <w:vAlign w:val="center"/>
                </w:tcPr>
                <w:p w14:paraId="781DD598">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37F13A5">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59ADCE4B">
                  <w:pPr>
                    <w:autoSpaceDE w:val="0"/>
                    <w:autoSpaceDN w:val="0"/>
                    <w:adjustRightInd w:val="0"/>
                    <w:jc w:val="center"/>
                    <w:rPr>
                      <w:kern w:val="0"/>
                      <w:szCs w:val="21"/>
                    </w:rPr>
                  </w:pPr>
                  <w:r>
                    <w:rPr>
                      <w:rFonts w:hint="eastAsia"/>
                      <w:kern w:val="0"/>
                      <w:szCs w:val="21"/>
                    </w:rPr>
                    <w:t>西北</w:t>
                  </w:r>
                </w:p>
              </w:tc>
              <w:tc>
                <w:tcPr>
                  <w:tcW w:w="613" w:type="pct"/>
                  <w:shd w:val="clear" w:color="auto" w:fill="auto"/>
                  <w:vAlign w:val="center"/>
                </w:tcPr>
                <w:p w14:paraId="10B485C6">
                  <w:pPr>
                    <w:autoSpaceDE w:val="0"/>
                    <w:autoSpaceDN w:val="0"/>
                    <w:adjustRightInd w:val="0"/>
                    <w:jc w:val="center"/>
                    <w:rPr>
                      <w:kern w:val="0"/>
                      <w:szCs w:val="21"/>
                    </w:rPr>
                  </w:pPr>
                  <w:r>
                    <w:rPr>
                      <w:rFonts w:hint="eastAsia"/>
                      <w:kern w:val="0"/>
                      <w:szCs w:val="21"/>
                    </w:rPr>
                    <w:t>170~500m</w:t>
                  </w:r>
                </w:p>
              </w:tc>
            </w:tr>
            <w:tr w14:paraId="5DFB0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5B46BD87">
                  <w:pPr>
                    <w:autoSpaceDE w:val="0"/>
                    <w:autoSpaceDN w:val="0"/>
                    <w:adjustRightInd w:val="0"/>
                    <w:jc w:val="center"/>
                    <w:rPr>
                      <w:kern w:val="0"/>
                      <w:szCs w:val="21"/>
                    </w:rPr>
                  </w:pPr>
                  <w:r>
                    <w:rPr>
                      <w:rFonts w:hint="eastAsia"/>
                      <w:kern w:val="0"/>
                      <w:szCs w:val="21"/>
                    </w:rPr>
                    <w:t>绍庄村居民点①</w:t>
                  </w:r>
                </w:p>
              </w:tc>
              <w:tc>
                <w:tcPr>
                  <w:tcW w:w="759" w:type="pct"/>
                  <w:shd w:val="clear" w:color="auto" w:fill="auto"/>
                  <w:vAlign w:val="center"/>
                </w:tcPr>
                <w:p w14:paraId="6893D446">
                  <w:pPr>
                    <w:autoSpaceDE w:val="0"/>
                    <w:autoSpaceDN w:val="0"/>
                    <w:adjustRightInd w:val="0"/>
                    <w:jc w:val="center"/>
                    <w:rPr>
                      <w:kern w:val="0"/>
                      <w:szCs w:val="21"/>
                    </w:rPr>
                  </w:pPr>
                  <w:r>
                    <w:rPr>
                      <w:kern w:val="0"/>
                      <w:szCs w:val="21"/>
                    </w:rPr>
                    <w:t>112.606433</w:t>
                  </w:r>
                  <w:r>
                    <w:rPr>
                      <w:rFonts w:hint="eastAsia"/>
                      <w:kern w:val="0"/>
                      <w:szCs w:val="21"/>
                    </w:rPr>
                    <w:t>°</w:t>
                  </w:r>
                </w:p>
              </w:tc>
              <w:tc>
                <w:tcPr>
                  <w:tcW w:w="742" w:type="pct"/>
                  <w:shd w:val="clear" w:color="auto" w:fill="auto"/>
                  <w:vAlign w:val="center"/>
                </w:tcPr>
                <w:p w14:paraId="61E28142">
                  <w:pPr>
                    <w:autoSpaceDE w:val="0"/>
                    <w:autoSpaceDN w:val="0"/>
                    <w:adjustRightInd w:val="0"/>
                    <w:jc w:val="center"/>
                    <w:rPr>
                      <w:kern w:val="0"/>
                      <w:szCs w:val="21"/>
                    </w:rPr>
                  </w:pPr>
                  <w:r>
                    <w:rPr>
                      <w:kern w:val="0"/>
                      <w:szCs w:val="21"/>
                    </w:rPr>
                    <w:t>27.39097</w:t>
                  </w:r>
                  <w:r>
                    <w:rPr>
                      <w:rFonts w:hint="eastAsia"/>
                      <w:kern w:val="0"/>
                      <w:szCs w:val="21"/>
                    </w:rPr>
                    <w:t>1°</w:t>
                  </w:r>
                </w:p>
              </w:tc>
              <w:tc>
                <w:tcPr>
                  <w:tcW w:w="798" w:type="pct"/>
                  <w:shd w:val="clear" w:color="auto" w:fill="auto"/>
                  <w:vAlign w:val="center"/>
                </w:tcPr>
                <w:p w14:paraId="7333E500">
                  <w:pPr>
                    <w:autoSpaceDE w:val="0"/>
                    <w:autoSpaceDN w:val="0"/>
                    <w:adjustRightInd w:val="0"/>
                    <w:jc w:val="center"/>
                    <w:rPr>
                      <w:kern w:val="0"/>
                      <w:szCs w:val="21"/>
                    </w:rPr>
                  </w:pPr>
                  <w:r>
                    <w:rPr>
                      <w:rFonts w:hint="eastAsia"/>
                      <w:kern w:val="0"/>
                      <w:szCs w:val="21"/>
                    </w:rPr>
                    <w:t>居民，16户56人</w:t>
                  </w:r>
                </w:p>
              </w:tc>
              <w:tc>
                <w:tcPr>
                  <w:tcW w:w="419" w:type="pct"/>
                  <w:shd w:val="clear" w:color="auto" w:fill="auto"/>
                  <w:vAlign w:val="center"/>
                </w:tcPr>
                <w:p w14:paraId="5240FA60">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489D4268">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4DAB9BF4">
                  <w:pPr>
                    <w:autoSpaceDE w:val="0"/>
                    <w:autoSpaceDN w:val="0"/>
                    <w:adjustRightInd w:val="0"/>
                    <w:jc w:val="center"/>
                    <w:rPr>
                      <w:kern w:val="0"/>
                      <w:szCs w:val="21"/>
                    </w:rPr>
                  </w:pPr>
                  <w:r>
                    <w:rPr>
                      <w:kern w:val="0"/>
                      <w:szCs w:val="21"/>
                    </w:rPr>
                    <w:t>北</w:t>
                  </w:r>
                </w:p>
              </w:tc>
              <w:tc>
                <w:tcPr>
                  <w:tcW w:w="613" w:type="pct"/>
                  <w:shd w:val="clear" w:color="auto" w:fill="auto"/>
                  <w:vAlign w:val="center"/>
                </w:tcPr>
                <w:p w14:paraId="7FAFFC51">
                  <w:pPr>
                    <w:autoSpaceDE w:val="0"/>
                    <w:autoSpaceDN w:val="0"/>
                    <w:adjustRightInd w:val="0"/>
                    <w:jc w:val="center"/>
                    <w:rPr>
                      <w:kern w:val="0"/>
                      <w:szCs w:val="21"/>
                    </w:rPr>
                  </w:pPr>
                  <w:r>
                    <w:rPr>
                      <w:rFonts w:hint="eastAsia"/>
                      <w:kern w:val="0"/>
                      <w:szCs w:val="21"/>
                    </w:rPr>
                    <w:t>220~480m</w:t>
                  </w:r>
                </w:p>
              </w:tc>
            </w:tr>
            <w:tr w14:paraId="23414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9EB9221">
                  <w:pPr>
                    <w:autoSpaceDE w:val="0"/>
                    <w:autoSpaceDN w:val="0"/>
                    <w:adjustRightInd w:val="0"/>
                    <w:jc w:val="center"/>
                    <w:rPr>
                      <w:kern w:val="0"/>
                      <w:szCs w:val="21"/>
                    </w:rPr>
                  </w:pPr>
                  <w:r>
                    <w:rPr>
                      <w:rFonts w:hint="eastAsia"/>
                      <w:kern w:val="0"/>
                      <w:szCs w:val="21"/>
                    </w:rPr>
                    <w:t>绍庄村居民点②</w:t>
                  </w:r>
                </w:p>
              </w:tc>
              <w:tc>
                <w:tcPr>
                  <w:tcW w:w="759" w:type="pct"/>
                  <w:shd w:val="clear" w:color="auto" w:fill="auto"/>
                  <w:vAlign w:val="center"/>
                </w:tcPr>
                <w:p w14:paraId="563BBDD7">
                  <w:pPr>
                    <w:autoSpaceDE w:val="0"/>
                    <w:autoSpaceDN w:val="0"/>
                    <w:adjustRightInd w:val="0"/>
                    <w:jc w:val="center"/>
                    <w:rPr>
                      <w:kern w:val="0"/>
                      <w:szCs w:val="21"/>
                    </w:rPr>
                  </w:pPr>
                  <w:r>
                    <w:rPr>
                      <w:kern w:val="0"/>
                      <w:szCs w:val="21"/>
                    </w:rPr>
                    <w:t>112.60878</w:t>
                  </w:r>
                  <w:r>
                    <w:rPr>
                      <w:rFonts w:hint="eastAsia"/>
                      <w:kern w:val="0"/>
                      <w:szCs w:val="21"/>
                    </w:rPr>
                    <w:t>9°</w:t>
                  </w:r>
                </w:p>
              </w:tc>
              <w:tc>
                <w:tcPr>
                  <w:tcW w:w="742" w:type="pct"/>
                  <w:shd w:val="clear" w:color="auto" w:fill="auto"/>
                  <w:vAlign w:val="center"/>
                </w:tcPr>
                <w:p w14:paraId="76E6010C">
                  <w:pPr>
                    <w:autoSpaceDE w:val="0"/>
                    <w:autoSpaceDN w:val="0"/>
                    <w:adjustRightInd w:val="0"/>
                    <w:jc w:val="center"/>
                    <w:rPr>
                      <w:kern w:val="0"/>
                      <w:szCs w:val="21"/>
                    </w:rPr>
                  </w:pPr>
                  <w:r>
                    <w:rPr>
                      <w:kern w:val="0"/>
                      <w:szCs w:val="21"/>
                    </w:rPr>
                    <w:t>27.390838</w:t>
                  </w:r>
                  <w:r>
                    <w:rPr>
                      <w:rFonts w:hint="eastAsia"/>
                      <w:kern w:val="0"/>
                      <w:szCs w:val="21"/>
                    </w:rPr>
                    <w:t>°</w:t>
                  </w:r>
                </w:p>
              </w:tc>
              <w:tc>
                <w:tcPr>
                  <w:tcW w:w="798" w:type="pct"/>
                  <w:shd w:val="clear" w:color="auto" w:fill="auto"/>
                  <w:vAlign w:val="center"/>
                </w:tcPr>
                <w:p w14:paraId="57BF6E7F">
                  <w:pPr>
                    <w:autoSpaceDE w:val="0"/>
                    <w:autoSpaceDN w:val="0"/>
                    <w:adjustRightInd w:val="0"/>
                    <w:jc w:val="center"/>
                    <w:rPr>
                      <w:kern w:val="0"/>
                      <w:szCs w:val="21"/>
                    </w:rPr>
                  </w:pPr>
                  <w:r>
                    <w:rPr>
                      <w:rFonts w:hint="eastAsia"/>
                      <w:kern w:val="0"/>
                      <w:szCs w:val="21"/>
                    </w:rPr>
                    <w:t>居民，20户70人</w:t>
                  </w:r>
                </w:p>
              </w:tc>
              <w:tc>
                <w:tcPr>
                  <w:tcW w:w="419" w:type="pct"/>
                  <w:shd w:val="clear" w:color="auto" w:fill="auto"/>
                  <w:vAlign w:val="center"/>
                </w:tcPr>
                <w:p w14:paraId="63404481">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14200DC3">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1E25C4F8">
                  <w:pPr>
                    <w:autoSpaceDE w:val="0"/>
                    <w:autoSpaceDN w:val="0"/>
                    <w:adjustRightInd w:val="0"/>
                    <w:jc w:val="center"/>
                    <w:rPr>
                      <w:kern w:val="0"/>
                      <w:szCs w:val="21"/>
                    </w:rPr>
                  </w:pPr>
                  <w:r>
                    <w:rPr>
                      <w:kern w:val="0"/>
                      <w:szCs w:val="21"/>
                    </w:rPr>
                    <w:t>东北</w:t>
                  </w:r>
                </w:p>
              </w:tc>
              <w:tc>
                <w:tcPr>
                  <w:tcW w:w="613" w:type="pct"/>
                  <w:shd w:val="clear" w:color="auto" w:fill="auto"/>
                  <w:vAlign w:val="center"/>
                </w:tcPr>
                <w:p w14:paraId="168D94B5">
                  <w:pPr>
                    <w:autoSpaceDE w:val="0"/>
                    <w:autoSpaceDN w:val="0"/>
                    <w:adjustRightInd w:val="0"/>
                    <w:jc w:val="center"/>
                    <w:rPr>
                      <w:kern w:val="0"/>
                      <w:szCs w:val="21"/>
                    </w:rPr>
                  </w:pPr>
                  <w:r>
                    <w:rPr>
                      <w:rFonts w:hint="eastAsia"/>
                      <w:kern w:val="0"/>
                      <w:szCs w:val="21"/>
                    </w:rPr>
                    <w:t>275~500m</w:t>
                  </w:r>
                </w:p>
              </w:tc>
            </w:tr>
          </w:tbl>
          <w:p w14:paraId="0BDF29EA">
            <w:pPr>
              <w:adjustRightInd w:val="0"/>
              <w:snapToGrid w:val="0"/>
              <w:spacing w:line="360" w:lineRule="auto"/>
              <w:ind w:firstLine="482" w:firstLineChars="200"/>
              <w:rPr>
                <w:b/>
                <w:kern w:val="0"/>
                <w:sz w:val="24"/>
              </w:rPr>
            </w:pPr>
            <w:r>
              <w:rPr>
                <w:b/>
                <w:kern w:val="0"/>
                <w:sz w:val="24"/>
              </w:rPr>
              <w:t>二、水环境保护目标</w:t>
            </w:r>
          </w:p>
          <w:p w14:paraId="5493F657">
            <w:pPr>
              <w:adjustRightInd w:val="0"/>
              <w:snapToGrid w:val="0"/>
              <w:spacing w:line="360" w:lineRule="auto"/>
              <w:ind w:firstLine="480" w:firstLineChars="200"/>
              <w:rPr>
                <w:kern w:val="0"/>
                <w:sz w:val="24"/>
              </w:rPr>
            </w:pPr>
            <w:r>
              <w:rPr>
                <w:kern w:val="0"/>
                <w:sz w:val="24"/>
              </w:rPr>
              <w:t>项目周边水体为</w:t>
            </w:r>
            <w:r>
              <w:rPr>
                <w:rFonts w:hint="eastAsia"/>
                <w:kern w:val="0"/>
                <w:sz w:val="24"/>
              </w:rPr>
              <w:t>涓水</w:t>
            </w:r>
            <w:r>
              <w:rPr>
                <w:kern w:val="0"/>
                <w:sz w:val="24"/>
              </w:rPr>
              <w:t>，本项目具体的地表水环境保护目标详见下表：</w:t>
            </w:r>
          </w:p>
          <w:p w14:paraId="725106D1">
            <w:pPr>
              <w:adjustRightInd w:val="0"/>
              <w:snapToGrid w:val="0"/>
              <w:spacing w:before="120" w:beforeLines="50"/>
              <w:jc w:val="center"/>
              <w:rPr>
                <w:b/>
                <w:bCs/>
                <w:szCs w:val="21"/>
              </w:rPr>
            </w:pPr>
            <w:r>
              <w:rPr>
                <w:b/>
                <w:bCs/>
                <w:szCs w:val="21"/>
              </w:rPr>
              <w:t>表3-</w:t>
            </w:r>
            <w:r>
              <w:rPr>
                <w:rFonts w:hint="eastAsia"/>
                <w:b/>
                <w:bCs/>
                <w:szCs w:val="21"/>
              </w:rPr>
              <w:t>6</w:t>
            </w:r>
            <w:r>
              <w:rPr>
                <w:b/>
                <w:bCs/>
                <w:szCs w:val="21"/>
              </w:rPr>
              <w:t xml:space="preserve">  地表水环境保护目标一览表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2"/>
              <w:gridCol w:w="1813"/>
              <w:gridCol w:w="1368"/>
              <w:gridCol w:w="1368"/>
              <w:gridCol w:w="1539"/>
              <w:gridCol w:w="2224"/>
            </w:tblGrid>
            <w:tr w14:paraId="1EE41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Align w:val="center"/>
                </w:tcPr>
                <w:p w14:paraId="708A6CF6">
                  <w:pPr>
                    <w:spacing w:line="0" w:lineRule="atLeast"/>
                    <w:jc w:val="center"/>
                    <w:rPr>
                      <w:b/>
                      <w:szCs w:val="21"/>
                    </w:rPr>
                  </w:pPr>
                  <w:r>
                    <w:rPr>
                      <w:b/>
                      <w:szCs w:val="21"/>
                    </w:rPr>
                    <w:t>类别</w:t>
                  </w:r>
                </w:p>
              </w:tc>
              <w:tc>
                <w:tcPr>
                  <w:tcW w:w="966" w:type="pct"/>
                  <w:vAlign w:val="center"/>
                </w:tcPr>
                <w:p w14:paraId="263C6384">
                  <w:pPr>
                    <w:spacing w:line="0" w:lineRule="atLeast"/>
                    <w:jc w:val="center"/>
                    <w:rPr>
                      <w:b/>
                      <w:szCs w:val="21"/>
                    </w:rPr>
                  </w:pPr>
                  <w:r>
                    <w:rPr>
                      <w:b/>
                      <w:szCs w:val="21"/>
                    </w:rPr>
                    <w:t>保护目标</w:t>
                  </w:r>
                </w:p>
              </w:tc>
              <w:tc>
                <w:tcPr>
                  <w:tcW w:w="729" w:type="pct"/>
                  <w:vAlign w:val="center"/>
                </w:tcPr>
                <w:p w14:paraId="5972505B">
                  <w:pPr>
                    <w:spacing w:line="0" w:lineRule="atLeast"/>
                    <w:ind w:right="-80" w:rightChars="-38"/>
                    <w:jc w:val="center"/>
                    <w:rPr>
                      <w:b/>
                      <w:szCs w:val="21"/>
                    </w:rPr>
                  </w:pPr>
                  <w:r>
                    <w:rPr>
                      <w:b/>
                      <w:szCs w:val="21"/>
                    </w:rPr>
                    <w:t>规模</w:t>
                  </w:r>
                  <w:r>
                    <w:rPr>
                      <w:rFonts w:hint="eastAsia"/>
                      <w:b/>
                      <w:szCs w:val="21"/>
                    </w:rPr>
                    <w:t>/功能</w:t>
                  </w:r>
                </w:p>
              </w:tc>
              <w:tc>
                <w:tcPr>
                  <w:tcW w:w="729" w:type="pct"/>
                  <w:vAlign w:val="center"/>
                </w:tcPr>
                <w:p w14:paraId="38F46355">
                  <w:pPr>
                    <w:spacing w:line="0" w:lineRule="atLeast"/>
                    <w:jc w:val="center"/>
                    <w:rPr>
                      <w:b/>
                      <w:szCs w:val="21"/>
                    </w:rPr>
                  </w:pPr>
                  <w:r>
                    <w:rPr>
                      <w:b/>
                      <w:szCs w:val="21"/>
                    </w:rPr>
                    <w:t>与项目相对位置</w:t>
                  </w:r>
                </w:p>
              </w:tc>
              <w:tc>
                <w:tcPr>
                  <w:tcW w:w="820" w:type="pct"/>
                  <w:vAlign w:val="center"/>
                </w:tcPr>
                <w:p w14:paraId="24097BA2">
                  <w:pPr>
                    <w:spacing w:line="0" w:lineRule="atLeast"/>
                    <w:jc w:val="center"/>
                    <w:rPr>
                      <w:b/>
                      <w:szCs w:val="21"/>
                    </w:rPr>
                  </w:pPr>
                  <w:r>
                    <w:rPr>
                      <w:b/>
                      <w:szCs w:val="21"/>
                    </w:rPr>
                    <w:t>距离项目区最近距离</w:t>
                  </w:r>
                </w:p>
              </w:tc>
              <w:tc>
                <w:tcPr>
                  <w:tcW w:w="1185" w:type="pct"/>
                  <w:vAlign w:val="center"/>
                </w:tcPr>
                <w:p w14:paraId="3F8BFE84">
                  <w:pPr>
                    <w:spacing w:line="0" w:lineRule="atLeast"/>
                    <w:jc w:val="center"/>
                    <w:rPr>
                      <w:b/>
                      <w:szCs w:val="21"/>
                    </w:rPr>
                  </w:pPr>
                  <w:r>
                    <w:rPr>
                      <w:b/>
                      <w:szCs w:val="21"/>
                    </w:rPr>
                    <w:t>执行标准</w:t>
                  </w:r>
                </w:p>
              </w:tc>
            </w:tr>
            <w:tr w14:paraId="61CD9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71" w:type="pct"/>
                  <w:vAlign w:val="center"/>
                </w:tcPr>
                <w:p w14:paraId="639BB6F6">
                  <w:pPr>
                    <w:spacing w:line="0" w:lineRule="atLeast"/>
                    <w:ind w:left="-78" w:leftChars="-37" w:right="-86" w:rightChars="-41"/>
                    <w:jc w:val="center"/>
                    <w:rPr>
                      <w:szCs w:val="21"/>
                    </w:rPr>
                  </w:pPr>
                  <w:r>
                    <w:rPr>
                      <w:szCs w:val="21"/>
                    </w:rPr>
                    <w:t>水环境</w:t>
                  </w:r>
                </w:p>
              </w:tc>
              <w:tc>
                <w:tcPr>
                  <w:tcW w:w="966" w:type="pct"/>
                  <w:vAlign w:val="center"/>
                </w:tcPr>
                <w:p w14:paraId="5AFE4608">
                  <w:pPr>
                    <w:jc w:val="center"/>
                    <w:rPr>
                      <w:szCs w:val="21"/>
                    </w:rPr>
                  </w:pPr>
                  <w:r>
                    <w:rPr>
                      <w:rFonts w:hint="eastAsia"/>
                      <w:kern w:val="0"/>
                      <w:szCs w:val="21"/>
                    </w:rPr>
                    <w:t>涓水（</w:t>
                  </w:r>
                  <w:r>
                    <w:t>石地方村至晓岚村</w:t>
                  </w:r>
                  <w:r>
                    <w:rPr>
                      <w:rFonts w:hint="eastAsia"/>
                      <w:kern w:val="0"/>
                      <w:szCs w:val="21"/>
                    </w:rPr>
                    <w:t>）</w:t>
                  </w:r>
                </w:p>
              </w:tc>
              <w:tc>
                <w:tcPr>
                  <w:tcW w:w="729" w:type="pct"/>
                  <w:vAlign w:val="center"/>
                </w:tcPr>
                <w:p w14:paraId="32C42529">
                  <w:pPr>
                    <w:ind w:firstLine="27" w:firstLineChars="13"/>
                    <w:jc w:val="center"/>
                    <w:rPr>
                      <w:szCs w:val="21"/>
                    </w:rPr>
                  </w:pPr>
                  <w:r>
                    <w:rPr>
                      <w:rFonts w:hint="eastAsia"/>
                      <w:szCs w:val="21"/>
                    </w:rPr>
                    <w:t>灌溉、排洪、纳污</w:t>
                  </w:r>
                </w:p>
              </w:tc>
              <w:tc>
                <w:tcPr>
                  <w:tcW w:w="729" w:type="pct"/>
                  <w:vAlign w:val="center"/>
                </w:tcPr>
                <w:p w14:paraId="5C178F92">
                  <w:pPr>
                    <w:jc w:val="center"/>
                    <w:rPr>
                      <w:szCs w:val="21"/>
                    </w:rPr>
                  </w:pPr>
                  <w:r>
                    <w:rPr>
                      <w:rFonts w:hint="eastAsia"/>
                      <w:szCs w:val="21"/>
                    </w:rPr>
                    <w:t>南</w:t>
                  </w:r>
                </w:p>
              </w:tc>
              <w:tc>
                <w:tcPr>
                  <w:tcW w:w="820" w:type="pct"/>
                  <w:vAlign w:val="center"/>
                </w:tcPr>
                <w:p w14:paraId="526A16F3">
                  <w:pPr>
                    <w:jc w:val="center"/>
                    <w:rPr>
                      <w:szCs w:val="21"/>
                    </w:rPr>
                  </w:pPr>
                  <w:r>
                    <w:rPr>
                      <w:rFonts w:hint="eastAsia"/>
                      <w:szCs w:val="21"/>
                    </w:rPr>
                    <w:t>515m</w:t>
                  </w:r>
                </w:p>
              </w:tc>
              <w:tc>
                <w:tcPr>
                  <w:tcW w:w="1185" w:type="pct"/>
                  <w:vAlign w:val="center"/>
                </w:tcPr>
                <w:p w14:paraId="68B18D28">
                  <w:pPr>
                    <w:spacing w:line="0" w:lineRule="atLeast"/>
                    <w:jc w:val="center"/>
                    <w:rPr>
                      <w:szCs w:val="21"/>
                    </w:rPr>
                  </w:pPr>
                  <w:r>
                    <w:rPr>
                      <w:rFonts w:hint="eastAsia"/>
                      <w:bCs/>
                      <w:szCs w:val="21"/>
                    </w:rPr>
                    <w:t>（GB3838-2002）中Ⅲ类标准</w:t>
                  </w:r>
                </w:p>
              </w:tc>
            </w:tr>
          </w:tbl>
          <w:p w14:paraId="7AFC5A73">
            <w:pPr>
              <w:adjustRightInd w:val="0"/>
              <w:snapToGrid w:val="0"/>
              <w:spacing w:line="360" w:lineRule="auto"/>
              <w:ind w:firstLine="482" w:firstLineChars="200"/>
              <w:rPr>
                <w:b/>
                <w:kern w:val="0"/>
                <w:sz w:val="24"/>
              </w:rPr>
            </w:pPr>
            <w:r>
              <w:rPr>
                <w:rFonts w:hint="eastAsia"/>
                <w:b/>
                <w:kern w:val="0"/>
                <w:sz w:val="24"/>
              </w:rPr>
              <w:t>三、声环境保护目标</w:t>
            </w:r>
          </w:p>
          <w:p w14:paraId="575262DB">
            <w:pPr>
              <w:spacing w:line="360" w:lineRule="auto"/>
              <w:ind w:firstLine="480" w:firstLineChars="200"/>
              <w:rPr>
                <w:sz w:val="24"/>
              </w:rPr>
            </w:pPr>
            <w:r>
              <w:rPr>
                <w:rFonts w:hint="eastAsia"/>
                <w:sz w:val="24"/>
              </w:rPr>
              <w:t>根据对项目所在地实地踏勘，项目厂界外5</w:t>
            </w:r>
            <w:r>
              <w:rPr>
                <w:sz w:val="24"/>
              </w:rPr>
              <w:t>0m</w:t>
            </w:r>
            <w:r>
              <w:rPr>
                <w:rFonts w:hint="eastAsia"/>
                <w:sz w:val="24"/>
              </w:rPr>
              <w:t>范围内声环境保护目标见下表。</w:t>
            </w:r>
          </w:p>
          <w:p w14:paraId="77C4F1A9">
            <w:pPr>
              <w:adjustRightInd w:val="0"/>
              <w:snapToGrid w:val="0"/>
              <w:spacing w:before="120" w:beforeLines="50"/>
              <w:jc w:val="center"/>
              <w:rPr>
                <w:b/>
                <w:bCs/>
                <w:szCs w:val="21"/>
              </w:rPr>
            </w:pPr>
            <w:r>
              <w:rPr>
                <w:b/>
                <w:bCs/>
                <w:szCs w:val="21"/>
              </w:rPr>
              <w:t>表</w:t>
            </w:r>
            <w:r>
              <w:rPr>
                <w:rFonts w:hint="eastAsia"/>
                <w:b/>
                <w:bCs/>
                <w:szCs w:val="21"/>
              </w:rPr>
              <w:t xml:space="preserve">3-7 </w:t>
            </w:r>
            <w:r>
              <w:rPr>
                <w:b/>
                <w:bCs/>
                <w:szCs w:val="21"/>
              </w:rPr>
              <w:t xml:space="preserve"> 项目</w:t>
            </w:r>
            <w:r>
              <w:rPr>
                <w:rFonts w:hint="eastAsia"/>
                <w:b/>
                <w:bCs/>
                <w:szCs w:val="21"/>
              </w:rPr>
              <w:t>声</w:t>
            </w:r>
            <w:r>
              <w:rPr>
                <w:b/>
                <w:bCs/>
                <w:szCs w:val="21"/>
              </w:rPr>
              <w:t>环境保护目标一览表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4"/>
              <w:gridCol w:w="1488"/>
              <w:gridCol w:w="1368"/>
              <w:gridCol w:w="1456"/>
              <w:gridCol w:w="786"/>
              <w:gridCol w:w="953"/>
              <w:gridCol w:w="906"/>
              <w:gridCol w:w="1153"/>
            </w:tblGrid>
            <w:tr w14:paraId="6C687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restart"/>
                  <w:shd w:val="clear" w:color="auto" w:fill="auto"/>
                  <w:vAlign w:val="center"/>
                </w:tcPr>
                <w:p w14:paraId="27178869">
                  <w:pPr>
                    <w:autoSpaceDE w:val="0"/>
                    <w:autoSpaceDN w:val="0"/>
                    <w:adjustRightInd w:val="0"/>
                    <w:jc w:val="center"/>
                    <w:rPr>
                      <w:b/>
                      <w:kern w:val="0"/>
                      <w:szCs w:val="21"/>
                    </w:rPr>
                  </w:pPr>
                  <w:r>
                    <w:rPr>
                      <w:b/>
                      <w:kern w:val="0"/>
                      <w:szCs w:val="21"/>
                    </w:rPr>
                    <w:t>名称</w:t>
                  </w:r>
                </w:p>
              </w:tc>
              <w:tc>
                <w:tcPr>
                  <w:tcW w:w="1522" w:type="pct"/>
                  <w:gridSpan w:val="2"/>
                  <w:shd w:val="clear" w:color="auto" w:fill="auto"/>
                  <w:vAlign w:val="center"/>
                </w:tcPr>
                <w:p w14:paraId="4881570A">
                  <w:pPr>
                    <w:autoSpaceDE w:val="0"/>
                    <w:autoSpaceDN w:val="0"/>
                    <w:adjustRightInd w:val="0"/>
                    <w:jc w:val="center"/>
                    <w:rPr>
                      <w:b/>
                      <w:kern w:val="0"/>
                      <w:szCs w:val="21"/>
                    </w:rPr>
                  </w:pPr>
                  <w:r>
                    <w:rPr>
                      <w:b/>
                      <w:kern w:val="0"/>
                      <w:szCs w:val="21"/>
                    </w:rPr>
                    <w:t>坐标</w:t>
                  </w:r>
                  <w:r>
                    <w:rPr>
                      <w:rFonts w:hint="eastAsia"/>
                      <w:b/>
                      <w:kern w:val="0"/>
                      <w:szCs w:val="21"/>
                    </w:rPr>
                    <w:t>/m</w:t>
                  </w:r>
                </w:p>
              </w:tc>
              <w:tc>
                <w:tcPr>
                  <w:tcW w:w="776" w:type="pct"/>
                  <w:vMerge w:val="restart"/>
                  <w:shd w:val="clear" w:color="auto" w:fill="auto"/>
                  <w:vAlign w:val="center"/>
                </w:tcPr>
                <w:p w14:paraId="004231FE">
                  <w:pPr>
                    <w:autoSpaceDE w:val="0"/>
                    <w:autoSpaceDN w:val="0"/>
                    <w:adjustRightInd w:val="0"/>
                    <w:jc w:val="center"/>
                    <w:rPr>
                      <w:b/>
                      <w:kern w:val="0"/>
                      <w:szCs w:val="21"/>
                    </w:rPr>
                  </w:pPr>
                  <w:r>
                    <w:rPr>
                      <w:b/>
                      <w:kern w:val="0"/>
                      <w:szCs w:val="21"/>
                    </w:rPr>
                    <w:t>保护对象</w:t>
                  </w:r>
                </w:p>
              </w:tc>
              <w:tc>
                <w:tcPr>
                  <w:tcW w:w="419" w:type="pct"/>
                  <w:vMerge w:val="restart"/>
                  <w:shd w:val="clear" w:color="auto" w:fill="auto"/>
                  <w:vAlign w:val="center"/>
                </w:tcPr>
                <w:p w14:paraId="31653090">
                  <w:pPr>
                    <w:autoSpaceDE w:val="0"/>
                    <w:autoSpaceDN w:val="0"/>
                    <w:adjustRightInd w:val="0"/>
                    <w:jc w:val="center"/>
                    <w:rPr>
                      <w:b/>
                      <w:kern w:val="0"/>
                      <w:szCs w:val="21"/>
                    </w:rPr>
                  </w:pPr>
                  <w:r>
                    <w:rPr>
                      <w:b/>
                      <w:kern w:val="0"/>
                      <w:szCs w:val="21"/>
                    </w:rPr>
                    <w:t>保护内容</w:t>
                  </w:r>
                </w:p>
              </w:tc>
              <w:tc>
                <w:tcPr>
                  <w:tcW w:w="508" w:type="pct"/>
                  <w:vMerge w:val="restart"/>
                  <w:shd w:val="clear" w:color="auto" w:fill="auto"/>
                  <w:vAlign w:val="center"/>
                </w:tcPr>
                <w:p w14:paraId="735CF51D">
                  <w:pPr>
                    <w:autoSpaceDE w:val="0"/>
                    <w:autoSpaceDN w:val="0"/>
                    <w:adjustRightInd w:val="0"/>
                    <w:jc w:val="center"/>
                    <w:rPr>
                      <w:b/>
                      <w:kern w:val="0"/>
                      <w:szCs w:val="21"/>
                    </w:rPr>
                  </w:pPr>
                  <w:r>
                    <w:rPr>
                      <w:b/>
                      <w:kern w:val="0"/>
                      <w:szCs w:val="21"/>
                    </w:rPr>
                    <w:t>环境功能区</w:t>
                  </w:r>
                </w:p>
              </w:tc>
              <w:tc>
                <w:tcPr>
                  <w:tcW w:w="482" w:type="pct"/>
                  <w:vMerge w:val="restart"/>
                  <w:shd w:val="clear" w:color="auto" w:fill="auto"/>
                  <w:vAlign w:val="center"/>
                </w:tcPr>
                <w:p w14:paraId="6E7F9AC6">
                  <w:pPr>
                    <w:autoSpaceDE w:val="0"/>
                    <w:autoSpaceDN w:val="0"/>
                    <w:adjustRightInd w:val="0"/>
                    <w:jc w:val="center"/>
                    <w:rPr>
                      <w:b/>
                      <w:kern w:val="0"/>
                      <w:szCs w:val="21"/>
                    </w:rPr>
                  </w:pPr>
                  <w:r>
                    <w:rPr>
                      <w:b/>
                      <w:kern w:val="0"/>
                      <w:szCs w:val="21"/>
                    </w:rPr>
                    <w:t>相对厂址方位</w:t>
                  </w:r>
                </w:p>
              </w:tc>
              <w:tc>
                <w:tcPr>
                  <w:tcW w:w="614" w:type="pct"/>
                  <w:vMerge w:val="restart"/>
                  <w:shd w:val="clear" w:color="auto" w:fill="auto"/>
                  <w:vAlign w:val="center"/>
                </w:tcPr>
                <w:p w14:paraId="0B6C3A84">
                  <w:pPr>
                    <w:autoSpaceDE w:val="0"/>
                    <w:autoSpaceDN w:val="0"/>
                    <w:adjustRightInd w:val="0"/>
                    <w:jc w:val="center"/>
                    <w:rPr>
                      <w:b/>
                      <w:kern w:val="0"/>
                      <w:szCs w:val="21"/>
                    </w:rPr>
                  </w:pPr>
                  <w:r>
                    <w:rPr>
                      <w:b/>
                      <w:kern w:val="0"/>
                      <w:szCs w:val="21"/>
                    </w:rPr>
                    <w:t>相对厂界距离</w:t>
                  </w:r>
                  <w:r>
                    <w:rPr>
                      <w:rFonts w:hint="eastAsia"/>
                      <w:b/>
                      <w:kern w:val="0"/>
                      <w:szCs w:val="21"/>
                    </w:rPr>
                    <w:t>/m</w:t>
                  </w:r>
                </w:p>
              </w:tc>
            </w:tr>
            <w:tr w14:paraId="201103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vMerge w:val="continue"/>
                  <w:shd w:val="clear" w:color="auto" w:fill="auto"/>
                  <w:vAlign w:val="center"/>
                </w:tcPr>
                <w:p w14:paraId="77CD4299">
                  <w:pPr>
                    <w:autoSpaceDE w:val="0"/>
                    <w:autoSpaceDN w:val="0"/>
                    <w:adjustRightInd w:val="0"/>
                    <w:jc w:val="center"/>
                    <w:rPr>
                      <w:b/>
                      <w:kern w:val="0"/>
                      <w:szCs w:val="21"/>
                    </w:rPr>
                  </w:pPr>
                </w:p>
              </w:tc>
              <w:tc>
                <w:tcPr>
                  <w:tcW w:w="793" w:type="pct"/>
                  <w:shd w:val="clear" w:color="auto" w:fill="auto"/>
                  <w:vAlign w:val="center"/>
                </w:tcPr>
                <w:p w14:paraId="5D27095B">
                  <w:pPr>
                    <w:spacing w:line="0" w:lineRule="atLeast"/>
                    <w:jc w:val="center"/>
                    <w:rPr>
                      <w:b/>
                      <w:szCs w:val="21"/>
                    </w:rPr>
                  </w:pPr>
                  <w:r>
                    <w:rPr>
                      <w:rFonts w:hint="eastAsia"/>
                      <w:b/>
                      <w:szCs w:val="21"/>
                    </w:rPr>
                    <w:t>经度</w:t>
                  </w:r>
                </w:p>
              </w:tc>
              <w:tc>
                <w:tcPr>
                  <w:tcW w:w="729" w:type="pct"/>
                  <w:shd w:val="clear" w:color="auto" w:fill="auto"/>
                  <w:vAlign w:val="center"/>
                </w:tcPr>
                <w:p w14:paraId="18159EB4">
                  <w:pPr>
                    <w:spacing w:line="0" w:lineRule="atLeast"/>
                    <w:jc w:val="center"/>
                    <w:rPr>
                      <w:b/>
                      <w:szCs w:val="21"/>
                    </w:rPr>
                  </w:pPr>
                  <w:r>
                    <w:rPr>
                      <w:rFonts w:hint="eastAsia"/>
                      <w:b/>
                      <w:szCs w:val="21"/>
                    </w:rPr>
                    <w:t>纬度</w:t>
                  </w:r>
                </w:p>
              </w:tc>
              <w:tc>
                <w:tcPr>
                  <w:tcW w:w="776" w:type="pct"/>
                  <w:vMerge w:val="continue"/>
                  <w:shd w:val="clear" w:color="auto" w:fill="auto"/>
                  <w:vAlign w:val="center"/>
                </w:tcPr>
                <w:p w14:paraId="4017F4B3">
                  <w:pPr>
                    <w:autoSpaceDE w:val="0"/>
                    <w:autoSpaceDN w:val="0"/>
                    <w:adjustRightInd w:val="0"/>
                    <w:jc w:val="center"/>
                    <w:rPr>
                      <w:b/>
                      <w:kern w:val="0"/>
                      <w:szCs w:val="21"/>
                    </w:rPr>
                  </w:pPr>
                </w:p>
              </w:tc>
              <w:tc>
                <w:tcPr>
                  <w:tcW w:w="419" w:type="pct"/>
                  <w:vMerge w:val="continue"/>
                  <w:shd w:val="clear" w:color="auto" w:fill="auto"/>
                  <w:vAlign w:val="center"/>
                </w:tcPr>
                <w:p w14:paraId="70D0F4B2">
                  <w:pPr>
                    <w:autoSpaceDE w:val="0"/>
                    <w:autoSpaceDN w:val="0"/>
                    <w:adjustRightInd w:val="0"/>
                    <w:jc w:val="center"/>
                    <w:rPr>
                      <w:b/>
                      <w:kern w:val="0"/>
                      <w:szCs w:val="21"/>
                    </w:rPr>
                  </w:pPr>
                </w:p>
              </w:tc>
              <w:tc>
                <w:tcPr>
                  <w:tcW w:w="508" w:type="pct"/>
                  <w:vMerge w:val="continue"/>
                  <w:shd w:val="clear" w:color="auto" w:fill="auto"/>
                  <w:vAlign w:val="center"/>
                </w:tcPr>
                <w:p w14:paraId="736470A5">
                  <w:pPr>
                    <w:autoSpaceDE w:val="0"/>
                    <w:autoSpaceDN w:val="0"/>
                    <w:adjustRightInd w:val="0"/>
                    <w:jc w:val="center"/>
                    <w:rPr>
                      <w:b/>
                      <w:kern w:val="0"/>
                      <w:szCs w:val="21"/>
                    </w:rPr>
                  </w:pPr>
                </w:p>
              </w:tc>
              <w:tc>
                <w:tcPr>
                  <w:tcW w:w="482" w:type="pct"/>
                  <w:vMerge w:val="continue"/>
                  <w:shd w:val="clear" w:color="auto" w:fill="auto"/>
                  <w:vAlign w:val="center"/>
                </w:tcPr>
                <w:p w14:paraId="4339C377">
                  <w:pPr>
                    <w:autoSpaceDE w:val="0"/>
                    <w:autoSpaceDN w:val="0"/>
                    <w:adjustRightInd w:val="0"/>
                    <w:jc w:val="center"/>
                    <w:rPr>
                      <w:b/>
                      <w:kern w:val="0"/>
                      <w:szCs w:val="21"/>
                    </w:rPr>
                  </w:pPr>
                </w:p>
              </w:tc>
              <w:tc>
                <w:tcPr>
                  <w:tcW w:w="614" w:type="pct"/>
                  <w:vMerge w:val="continue"/>
                  <w:shd w:val="clear" w:color="auto" w:fill="auto"/>
                  <w:vAlign w:val="center"/>
                </w:tcPr>
                <w:p w14:paraId="4C689F87">
                  <w:pPr>
                    <w:autoSpaceDE w:val="0"/>
                    <w:autoSpaceDN w:val="0"/>
                    <w:adjustRightInd w:val="0"/>
                    <w:jc w:val="center"/>
                    <w:rPr>
                      <w:b/>
                      <w:kern w:val="0"/>
                      <w:szCs w:val="21"/>
                    </w:rPr>
                  </w:pPr>
                </w:p>
              </w:tc>
            </w:tr>
            <w:tr w14:paraId="7A7CF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17868FAC">
                  <w:pPr>
                    <w:autoSpaceDE w:val="0"/>
                    <w:autoSpaceDN w:val="0"/>
                    <w:adjustRightInd w:val="0"/>
                    <w:jc w:val="center"/>
                    <w:rPr>
                      <w:kern w:val="0"/>
                      <w:szCs w:val="21"/>
                    </w:rPr>
                  </w:pPr>
                  <w:r>
                    <w:rPr>
                      <w:rFonts w:hint="eastAsia"/>
                      <w:kern w:val="0"/>
                      <w:szCs w:val="21"/>
                    </w:rPr>
                    <w:t>岳北村居民点①</w:t>
                  </w:r>
                </w:p>
              </w:tc>
              <w:tc>
                <w:tcPr>
                  <w:tcW w:w="793" w:type="pct"/>
                  <w:shd w:val="clear" w:color="auto" w:fill="auto"/>
                  <w:vAlign w:val="center"/>
                </w:tcPr>
                <w:p w14:paraId="17C3C595">
                  <w:pPr>
                    <w:autoSpaceDE w:val="0"/>
                    <w:autoSpaceDN w:val="0"/>
                    <w:adjustRightInd w:val="0"/>
                    <w:jc w:val="center"/>
                    <w:rPr>
                      <w:kern w:val="0"/>
                      <w:szCs w:val="21"/>
                    </w:rPr>
                  </w:pPr>
                  <w:r>
                    <w:rPr>
                      <w:kern w:val="0"/>
                      <w:szCs w:val="21"/>
                    </w:rPr>
                    <w:t>112.607350</w:t>
                  </w:r>
                  <w:r>
                    <w:rPr>
                      <w:rFonts w:hint="eastAsia"/>
                      <w:kern w:val="0"/>
                      <w:szCs w:val="21"/>
                    </w:rPr>
                    <w:t>°</w:t>
                  </w:r>
                </w:p>
              </w:tc>
              <w:tc>
                <w:tcPr>
                  <w:tcW w:w="729" w:type="pct"/>
                  <w:shd w:val="clear" w:color="auto" w:fill="auto"/>
                  <w:vAlign w:val="center"/>
                </w:tcPr>
                <w:p w14:paraId="608E5FDF">
                  <w:pPr>
                    <w:autoSpaceDE w:val="0"/>
                    <w:autoSpaceDN w:val="0"/>
                    <w:adjustRightInd w:val="0"/>
                    <w:jc w:val="center"/>
                    <w:rPr>
                      <w:kern w:val="0"/>
                      <w:szCs w:val="21"/>
                    </w:rPr>
                  </w:pPr>
                  <w:r>
                    <w:rPr>
                      <w:kern w:val="0"/>
                      <w:szCs w:val="21"/>
                    </w:rPr>
                    <w:t>27.38834</w:t>
                  </w:r>
                  <w:r>
                    <w:rPr>
                      <w:rFonts w:hint="eastAsia"/>
                      <w:kern w:val="0"/>
                      <w:szCs w:val="21"/>
                    </w:rPr>
                    <w:t>2°</w:t>
                  </w:r>
                </w:p>
              </w:tc>
              <w:tc>
                <w:tcPr>
                  <w:tcW w:w="776" w:type="pct"/>
                  <w:shd w:val="clear" w:color="auto" w:fill="auto"/>
                  <w:vAlign w:val="center"/>
                </w:tcPr>
                <w:p w14:paraId="63D75EAA">
                  <w:pPr>
                    <w:autoSpaceDE w:val="0"/>
                    <w:autoSpaceDN w:val="0"/>
                    <w:adjustRightInd w:val="0"/>
                    <w:jc w:val="center"/>
                    <w:rPr>
                      <w:kern w:val="0"/>
                      <w:szCs w:val="21"/>
                    </w:rPr>
                  </w:pPr>
                  <w:r>
                    <w:rPr>
                      <w:rFonts w:hint="eastAsia"/>
                      <w:kern w:val="0"/>
                      <w:szCs w:val="21"/>
                    </w:rPr>
                    <w:t>居民，7户</w:t>
                  </w:r>
                </w:p>
              </w:tc>
              <w:tc>
                <w:tcPr>
                  <w:tcW w:w="419" w:type="pct"/>
                  <w:shd w:val="clear" w:color="auto" w:fill="auto"/>
                  <w:vAlign w:val="center"/>
                </w:tcPr>
                <w:p w14:paraId="4BFB3888">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423C6730">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4B3C9692">
                  <w:pPr>
                    <w:autoSpaceDE w:val="0"/>
                    <w:autoSpaceDN w:val="0"/>
                    <w:adjustRightInd w:val="0"/>
                    <w:jc w:val="center"/>
                    <w:rPr>
                      <w:kern w:val="0"/>
                      <w:szCs w:val="21"/>
                    </w:rPr>
                  </w:pPr>
                  <w:r>
                    <w:rPr>
                      <w:kern w:val="0"/>
                      <w:szCs w:val="21"/>
                    </w:rPr>
                    <w:t>北</w:t>
                  </w:r>
                </w:p>
              </w:tc>
              <w:tc>
                <w:tcPr>
                  <w:tcW w:w="614" w:type="pct"/>
                  <w:shd w:val="clear" w:color="auto" w:fill="auto"/>
                  <w:vAlign w:val="center"/>
                </w:tcPr>
                <w:p w14:paraId="53248F9F">
                  <w:pPr>
                    <w:autoSpaceDE w:val="0"/>
                    <w:autoSpaceDN w:val="0"/>
                    <w:adjustRightInd w:val="0"/>
                    <w:jc w:val="center"/>
                    <w:rPr>
                      <w:kern w:val="0"/>
                      <w:szCs w:val="21"/>
                    </w:rPr>
                  </w:pPr>
                  <w:r>
                    <w:rPr>
                      <w:rFonts w:hint="eastAsia"/>
                      <w:kern w:val="0"/>
                      <w:szCs w:val="21"/>
                    </w:rPr>
                    <w:t>5~50m</w:t>
                  </w:r>
                </w:p>
              </w:tc>
            </w:tr>
            <w:tr w14:paraId="47313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32C42BC5">
                  <w:pPr>
                    <w:autoSpaceDE w:val="0"/>
                    <w:autoSpaceDN w:val="0"/>
                    <w:adjustRightInd w:val="0"/>
                    <w:jc w:val="center"/>
                    <w:rPr>
                      <w:kern w:val="0"/>
                      <w:szCs w:val="21"/>
                    </w:rPr>
                  </w:pPr>
                  <w:r>
                    <w:rPr>
                      <w:rFonts w:hint="eastAsia"/>
                      <w:kern w:val="0"/>
                      <w:szCs w:val="21"/>
                    </w:rPr>
                    <w:t>岳北村居民</w:t>
                  </w:r>
                </w:p>
              </w:tc>
              <w:tc>
                <w:tcPr>
                  <w:tcW w:w="793" w:type="pct"/>
                  <w:shd w:val="clear" w:color="auto" w:fill="auto"/>
                  <w:vAlign w:val="center"/>
                </w:tcPr>
                <w:p w14:paraId="1A560423">
                  <w:pPr>
                    <w:autoSpaceDE w:val="0"/>
                    <w:autoSpaceDN w:val="0"/>
                    <w:adjustRightInd w:val="0"/>
                    <w:jc w:val="center"/>
                    <w:rPr>
                      <w:kern w:val="0"/>
                      <w:szCs w:val="21"/>
                    </w:rPr>
                  </w:pPr>
                  <w:r>
                    <w:rPr>
                      <w:kern w:val="0"/>
                      <w:szCs w:val="21"/>
                    </w:rPr>
                    <w:t>112.608807</w:t>
                  </w:r>
                  <w:r>
                    <w:rPr>
                      <w:rFonts w:hint="eastAsia"/>
                      <w:kern w:val="0"/>
                      <w:szCs w:val="21"/>
                    </w:rPr>
                    <w:t>°</w:t>
                  </w:r>
                </w:p>
              </w:tc>
              <w:tc>
                <w:tcPr>
                  <w:tcW w:w="729" w:type="pct"/>
                  <w:shd w:val="clear" w:color="auto" w:fill="auto"/>
                  <w:vAlign w:val="center"/>
                </w:tcPr>
                <w:p w14:paraId="16A51DD2">
                  <w:pPr>
                    <w:autoSpaceDE w:val="0"/>
                    <w:autoSpaceDN w:val="0"/>
                    <w:adjustRightInd w:val="0"/>
                    <w:jc w:val="center"/>
                    <w:rPr>
                      <w:kern w:val="0"/>
                      <w:szCs w:val="21"/>
                    </w:rPr>
                  </w:pPr>
                  <w:r>
                    <w:rPr>
                      <w:kern w:val="0"/>
                      <w:szCs w:val="21"/>
                    </w:rPr>
                    <w:t>27.387477</w:t>
                  </w:r>
                  <w:r>
                    <w:rPr>
                      <w:rFonts w:hint="eastAsia"/>
                      <w:kern w:val="0"/>
                      <w:szCs w:val="21"/>
                    </w:rPr>
                    <w:t>°</w:t>
                  </w:r>
                </w:p>
              </w:tc>
              <w:tc>
                <w:tcPr>
                  <w:tcW w:w="776" w:type="pct"/>
                  <w:shd w:val="clear" w:color="auto" w:fill="auto"/>
                  <w:vAlign w:val="center"/>
                </w:tcPr>
                <w:p w14:paraId="6F453733">
                  <w:pPr>
                    <w:autoSpaceDE w:val="0"/>
                    <w:autoSpaceDN w:val="0"/>
                    <w:adjustRightInd w:val="0"/>
                    <w:jc w:val="center"/>
                    <w:rPr>
                      <w:kern w:val="0"/>
                      <w:szCs w:val="21"/>
                    </w:rPr>
                  </w:pPr>
                  <w:r>
                    <w:rPr>
                      <w:rFonts w:hint="eastAsia"/>
                      <w:kern w:val="0"/>
                      <w:szCs w:val="21"/>
                    </w:rPr>
                    <w:t>居民，1户</w:t>
                  </w:r>
                </w:p>
              </w:tc>
              <w:tc>
                <w:tcPr>
                  <w:tcW w:w="419" w:type="pct"/>
                  <w:shd w:val="clear" w:color="auto" w:fill="auto"/>
                  <w:vAlign w:val="center"/>
                </w:tcPr>
                <w:p w14:paraId="7EF75A82">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349A1A5">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54E6AB99">
                  <w:pPr>
                    <w:autoSpaceDE w:val="0"/>
                    <w:autoSpaceDN w:val="0"/>
                    <w:adjustRightInd w:val="0"/>
                    <w:jc w:val="center"/>
                    <w:rPr>
                      <w:kern w:val="0"/>
                      <w:szCs w:val="21"/>
                    </w:rPr>
                  </w:pPr>
                  <w:r>
                    <w:rPr>
                      <w:kern w:val="0"/>
                      <w:szCs w:val="21"/>
                    </w:rPr>
                    <w:t>东北</w:t>
                  </w:r>
                </w:p>
              </w:tc>
              <w:tc>
                <w:tcPr>
                  <w:tcW w:w="614" w:type="pct"/>
                  <w:shd w:val="clear" w:color="auto" w:fill="auto"/>
                  <w:vAlign w:val="center"/>
                </w:tcPr>
                <w:p w14:paraId="1E060571">
                  <w:pPr>
                    <w:autoSpaceDE w:val="0"/>
                    <w:autoSpaceDN w:val="0"/>
                    <w:adjustRightInd w:val="0"/>
                    <w:jc w:val="center"/>
                    <w:rPr>
                      <w:kern w:val="0"/>
                      <w:szCs w:val="21"/>
                    </w:rPr>
                  </w:pPr>
                  <w:r>
                    <w:rPr>
                      <w:rFonts w:hint="eastAsia"/>
                      <w:kern w:val="0"/>
                      <w:szCs w:val="21"/>
                    </w:rPr>
                    <w:t>35~50m</w:t>
                  </w:r>
                </w:p>
              </w:tc>
            </w:tr>
            <w:tr w14:paraId="2E08E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789C9CC2">
                  <w:pPr>
                    <w:autoSpaceDE w:val="0"/>
                    <w:autoSpaceDN w:val="0"/>
                    <w:adjustRightInd w:val="0"/>
                    <w:jc w:val="center"/>
                    <w:rPr>
                      <w:kern w:val="0"/>
                      <w:szCs w:val="21"/>
                    </w:rPr>
                  </w:pPr>
                  <w:r>
                    <w:rPr>
                      <w:rFonts w:hint="eastAsia"/>
                      <w:kern w:val="0"/>
                      <w:szCs w:val="21"/>
                    </w:rPr>
                    <w:t>岳北村居民点②</w:t>
                  </w:r>
                </w:p>
              </w:tc>
              <w:tc>
                <w:tcPr>
                  <w:tcW w:w="793" w:type="pct"/>
                  <w:shd w:val="clear" w:color="auto" w:fill="auto"/>
                  <w:vAlign w:val="center"/>
                </w:tcPr>
                <w:p w14:paraId="29A1B78F">
                  <w:pPr>
                    <w:autoSpaceDE w:val="0"/>
                    <w:autoSpaceDN w:val="0"/>
                    <w:adjustRightInd w:val="0"/>
                    <w:jc w:val="center"/>
                    <w:rPr>
                      <w:kern w:val="0"/>
                      <w:szCs w:val="21"/>
                    </w:rPr>
                  </w:pPr>
                  <w:r>
                    <w:rPr>
                      <w:kern w:val="0"/>
                      <w:szCs w:val="21"/>
                    </w:rPr>
                    <w:t>112.608311</w:t>
                  </w:r>
                  <w:r>
                    <w:rPr>
                      <w:rFonts w:hint="eastAsia"/>
                      <w:kern w:val="0"/>
                      <w:szCs w:val="21"/>
                    </w:rPr>
                    <w:t>°</w:t>
                  </w:r>
                </w:p>
              </w:tc>
              <w:tc>
                <w:tcPr>
                  <w:tcW w:w="729" w:type="pct"/>
                  <w:shd w:val="clear" w:color="auto" w:fill="auto"/>
                  <w:vAlign w:val="center"/>
                </w:tcPr>
                <w:p w14:paraId="59F67B80">
                  <w:pPr>
                    <w:autoSpaceDE w:val="0"/>
                    <w:autoSpaceDN w:val="0"/>
                    <w:adjustRightInd w:val="0"/>
                    <w:jc w:val="center"/>
                    <w:rPr>
                      <w:kern w:val="0"/>
                      <w:szCs w:val="21"/>
                    </w:rPr>
                  </w:pPr>
                  <w:r>
                    <w:rPr>
                      <w:kern w:val="0"/>
                      <w:szCs w:val="21"/>
                    </w:rPr>
                    <w:t>27.38713</w:t>
                  </w:r>
                  <w:r>
                    <w:rPr>
                      <w:rFonts w:hint="eastAsia"/>
                      <w:kern w:val="0"/>
                      <w:szCs w:val="21"/>
                    </w:rPr>
                    <w:t>7°</w:t>
                  </w:r>
                </w:p>
              </w:tc>
              <w:tc>
                <w:tcPr>
                  <w:tcW w:w="776" w:type="pct"/>
                  <w:shd w:val="clear" w:color="auto" w:fill="auto"/>
                  <w:vAlign w:val="center"/>
                </w:tcPr>
                <w:p w14:paraId="4CF3666A">
                  <w:pPr>
                    <w:autoSpaceDE w:val="0"/>
                    <w:autoSpaceDN w:val="0"/>
                    <w:adjustRightInd w:val="0"/>
                    <w:jc w:val="center"/>
                    <w:rPr>
                      <w:kern w:val="0"/>
                      <w:szCs w:val="21"/>
                    </w:rPr>
                  </w:pPr>
                  <w:r>
                    <w:rPr>
                      <w:rFonts w:hint="eastAsia"/>
                      <w:kern w:val="0"/>
                      <w:szCs w:val="21"/>
                    </w:rPr>
                    <w:t>居民，7户</w:t>
                  </w:r>
                </w:p>
              </w:tc>
              <w:tc>
                <w:tcPr>
                  <w:tcW w:w="419" w:type="pct"/>
                  <w:shd w:val="clear" w:color="auto" w:fill="auto"/>
                  <w:vAlign w:val="center"/>
                </w:tcPr>
                <w:p w14:paraId="1F57D03F">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20D0BBD7">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61014DE9">
                  <w:pPr>
                    <w:autoSpaceDE w:val="0"/>
                    <w:autoSpaceDN w:val="0"/>
                    <w:adjustRightInd w:val="0"/>
                    <w:jc w:val="center"/>
                    <w:rPr>
                      <w:kern w:val="0"/>
                      <w:szCs w:val="21"/>
                    </w:rPr>
                  </w:pPr>
                  <w:r>
                    <w:rPr>
                      <w:rFonts w:hint="eastAsia"/>
                      <w:kern w:val="0"/>
                      <w:szCs w:val="21"/>
                    </w:rPr>
                    <w:t>东</w:t>
                  </w:r>
                </w:p>
              </w:tc>
              <w:tc>
                <w:tcPr>
                  <w:tcW w:w="614" w:type="pct"/>
                  <w:shd w:val="clear" w:color="auto" w:fill="auto"/>
                  <w:vAlign w:val="center"/>
                </w:tcPr>
                <w:p w14:paraId="19FA6ADE">
                  <w:pPr>
                    <w:autoSpaceDE w:val="0"/>
                    <w:autoSpaceDN w:val="0"/>
                    <w:adjustRightInd w:val="0"/>
                    <w:jc w:val="center"/>
                    <w:rPr>
                      <w:kern w:val="0"/>
                      <w:szCs w:val="21"/>
                    </w:rPr>
                  </w:pPr>
                  <w:r>
                    <w:rPr>
                      <w:rFonts w:hint="eastAsia"/>
                      <w:kern w:val="0"/>
                      <w:szCs w:val="21"/>
                    </w:rPr>
                    <w:t>15~50m</w:t>
                  </w:r>
                </w:p>
              </w:tc>
            </w:tr>
            <w:tr w14:paraId="24A0E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4E67E475">
                  <w:pPr>
                    <w:autoSpaceDE w:val="0"/>
                    <w:autoSpaceDN w:val="0"/>
                    <w:adjustRightInd w:val="0"/>
                    <w:jc w:val="center"/>
                    <w:rPr>
                      <w:kern w:val="0"/>
                      <w:szCs w:val="21"/>
                    </w:rPr>
                  </w:pPr>
                  <w:r>
                    <w:rPr>
                      <w:rFonts w:hint="eastAsia"/>
                      <w:kern w:val="0"/>
                      <w:szCs w:val="21"/>
                    </w:rPr>
                    <w:t>岳北村居民</w:t>
                  </w:r>
                </w:p>
              </w:tc>
              <w:tc>
                <w:tcPr>
                  <w:tcW w:w="793" w:type="pct"/>
                  <w:shd w:val="clear" w:color="auto" w:fill="auto"/>
                  <w:vAlign w:val="center"/>
                </w:tcPr>
                <w:p w14:paraId="4E23AB16">
                  <w:pPr>
                    <w:autoSpaceDE w:val="0"/>
                    <w:autoSpaceDN w:val="0"/>
                    <w:adjustRightInd w:val="0"/>
                    <w:jc w:val="center"/>
                    <w:rPr>
                      <w:kern w:val="0"/>
                      <w:szCs w:val="21"/>
                    </w:rPr>
                  </w:pPr>
                  <w:r>
                    <w:rPr>
                      <w:kern w:val="0"/>
                      <w:szCs w:val="21"/>
                    </w:rPr>
                    <w:t>112.607715</w:t>
                  </w:r>
                  <w:r>
                    <w:rPr>
                      <w:rFonts w:hint="eastAsia"/>
                      <w:kern w:val="0"/>
                      <w:szCs w:val="21"/>
                    </w:rPr>
                    <w:t>°</w:t>
                  </w:r>
                </w:p>
              </w:tc>
              <w:tc>
                <w:tcPr>
                  <w:tcW w:w="729" w:type="pct"/>
                  <w:shd w:val="clear" w:color="auto" w:fill="auto"/>
                  <w:vAlign w:val="center"/>
                </w:tcPr>
                <w:p w14:paraId="47AF0D6E">
                  <w:pPr>
                    <w:autoSpaceDE w:val="0"/>
                    <w:autoSpaceDN w:val="0"/>
                    <w:adjustRightInd w:val="0"/>
                    <w:jc w:val="center"/>
                    <w:rPr>
                      <w:kern w:val="0"/>
                      <w:szCs w:val="21"/>
                    </w:rPr>
                  </w:pPr>
                  <w:r>
                    <w:rPr>
                      <w:kern w:val="0"/>
                      <w:szCs w:val="21"/>
                    </w:rPr>
                    <w:t>27.386524</w:t>
                  </w:r>
                  <w:r>
                    <w:rPr>
                      <w:rFonts w:hint="eastAsia"/>
                      <w:kern w:val="0"/>
                      <w:szCs w:val="21"/>
                    </w:rPr>
                    <w:t>°</w:t>
                  </w:r>
                </w:p>
              </w:tc>
              <w:tc>
                <w:tcPr>
                  <w:tcW w:w="776" w:type="pct"/>
                  <w:shd w:val="clear" w:color="auto" w:fill="auto"/>
                  <w:vAlign w:val="center"/>
                </w:tcPr>
                <w:p w14:paraId="791DC228">
                  <w:pPr>
                    <w:autoSpaceDE w:val="0"/>
                    <w:autoSpaceDN w:val="0"/>
                    <w:adjustRightInd w:val="0"/>
                    <w:jc w:val="center"/>
                    <w:rPr>
                      <w:kern w:val="0"/>
                      <w:szCs w:val="21"/>
                    </w:rPr>
                  </w:pPr>
                  <w:r>
                    <w:rPr>
                      <w:rFonts w:hint="eastAsia"/>
                      <w:kern w:val="0"/>
                      <w:szCs w:val="21"/>
                    </w:rPr>
                    <w:t>居民，1户</w:t>
                  </w:r>
                </w:p>
              </w:tc>
              <w:tc>
                <w:tcPr>
                  <w:tcW w:w="419" w:type="pct"/>
                  <w:shd w:val="clear" w:color="auto" w:fill="auto"/>
                  <w:vAlign w:val="center"/>
                </w:tcPr>
                <w:p w14:paraId="362BBE8D">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54C79645">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7F2F68F0">
                  <w:pPr>
                    <w:autoSpaceDE w:val="0"/>
                    <w:autoSpaceDN w:val="0"/>
                    <w:adjustRightInd w:val="0"/>
                    <w:jc w:val="center"/>
                    <w:rPr>
                      <w:kern w:val="0"/>
                      <w:szCs w:val="21"/>
                    </w:rPr>
                  </w:pPr>
                  <w:r>
                    <w:rPr>
                      <w:rFonts w:hint="eastAsia"/>
                      <w:kern w:val="0"/>
                      <w:szCs w:val="21"/>
                    </w:rPr>
                    <w:t>东南</w:t>
                  </w:r>
                </w:p>
              </w:tc>
              <w:tc>
                <w:tcPr>
                  <w:tcW w:w="614" w:type="pct"/>
                  <w:shd w:val="clear" w:color="auto" w:fill="auto"/>
                  <w:vAlign w:val="center"/>
                </w:tcPr>
                <w:p w14:paraId="6CF26E57">
                  <w:pPr>
                    <w:autoSpaceDE w:val="0"/>
                    <w:autoSpaceDN w:val="0"/>
                    <w:adjustRightInd w:val="0"/>
                    <w:jc w:val="center"/>
                    <w:rPr>
                      <w:kern w:val="0"/>
                      <w:szCs w:val="21"/>
                    </w:rPr>
                  </w:pPr>
                  <w:r>
                    <w:rPr>
                      <w:rFonts w:hint="eastAsia"/>
                      <w:kern w:val="0"/>
                      <w:szCs w:val="21"/>
                    </w:rPr>
                    <w:t>40~50m</w:t>
                  </w:r>
                </w:p>
              </w:tc>
            </w:tr>
            <w:tr w14:paraId="28B4F8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9" w:type="pct"/>
                  <w:shd w:val="clear" w:color="auto" w:fill="auto"/>
                  <w:vAlign w:val="center"/>
                </w:tcPr>
                <w:p w14:paraId="0DA10A2D">
                  <w:pPr>
                    <w:autoSpaceDE w:val="0"/>
                    <w:autoSpaceDN w:val="0"/>
                    <w:adjustRightInd w:val="0"/>
                    <w:jc w:val="center"/>
                    <w:rPr>
                      <w:kern w:val="0"/>
                      <w:szCs w:val="21"/>
                    </w:rPr>
                  </w:pPr>
                  <w:r>
                    <w:rPr>
                      <w:rFonts w:hint="eastAsia"/>
                      <w:kern w:val="0"/>
                      <w:szCs w:val="21"/>
                    </w:rPr>
                    <w:t>树枫村居民点</w:t>
                  </w:r>
                </w:p>
              </w:tc>
              <w:tc>
                <w:tcPr>
                  <w:tcW w:w="793" w:type="pct"/>
                  <w:shd w:val="clear" w:color="auto" w:fill="auto"/>
                  <w:vAlign w:val="center"/>
                </w:tcPr>
                <w:p w14:paraId="527FAFA5">
                  <w:pPr>
                    <w:autoSpaceDE w:val="0"/>
                    <w:autoSpaceDN w:val="0"/>
                    <w:adjustRightInd w:val="0"/>
                    <w:jc w:val="center"/>
                    <w:rPr>
                      <w:kern w:val="0"/>
                      <w:szCs w:val="21"/>
                    </w:rPr>
                  </w:pPr>
                  <w:r>
                    <w:rPr>
                      <w:kern w:val="0"/>
                      <w:szCs w:val="21"/>
                    </w:rPr>
                    <w:t>112.6059</w:t>
                  </w:r>
                  <w:r>
                    <w:rPr>
                      <w:rFonts w:hint="eastAsia"/>
                      <w:kern w:val="0"/>
                      <w:szCs w:val="21"/>
                    </w:rPr>
                    <w:t>50°</w:t>
                  </w:r>
                </w:p>
              </w:tc>
              <w:tc>
                <w:tcPr>
                  <w:tcW w:w="729" w:type="pct"/>
                  <w:shd w:val="clear" w:color="auto" w:fill="auto"/>
                  <w:vAlign w:val="center"/>
                </w:tcPr>
                <w:p w14:paraId="5B5D38C2">
                  <w:pPr>
                    <w:autoSpaceDE w:val="0"/>
                    <w:autoSpaceDN w:val="0"/>
                    <w:adjustRightInd w:val="0"/>
                    <w:jc w:val="center"/>
                    <w:rPr>
                      <w:kern w:val="0"/>
                      <w:szCs w:val="21"/>
                    </w:rPr>
                  </w:pPr>
                  <w:r>
                    <w:rPr>
                      <w:kern w:val="0"/>
                      <w:szCs w:val="21"/>
                    </w:rPr>
                    <w:t>27.38851</w:t>
                  </w:r>
                  <w:r>
                    <w:rPr>
                      <w:rFonts w:hint="eastAsia"/>
                      <w:kern w:val="0"/>
                      <w:szCs w:val="21"/>
                    </w:rPr>
                    <w:t>3°</w:t>
                  </w:r>
                </w:p>
              </w:tc>
              <w:tc>
                <w:tcPr>
                  <w:tcW w:w="776" w:type="pct"/>
                  <w:shd w:val="clear" w:color="auto" w:fill="auto"/>
                  <w:vAlign w:val="center"/>
                </w:tcPr>
                <w:p w14:paraId="08C8DA4E">
                  <w:pPr>
                    <w:autoSpaceDE w:val="0"/>
                    <w:autoSpaceDN w:val="0"/>
                    <w:adjustRightInd w:val="0"/>
                    <w:jc w:val="center"/>
                    <w:rPr>
                      <w:kern w:val="0"/>
                      <w:szCs w:val="21"/>
                    </w:rPr>
                  </w:pPr>
                  <w:r>
                    <w:rPr>
                      <w:rFonts w:hint="eastAsia"/>
                      <w:kern w:val="0"/>
                      <w:szCs w:val="21"/>
                    </w:rPr>
                    <w:t>居民，4户</w:t>
                  </w:r>
                </w:p>
              </w:tc>
              <w:tc>
                <w:tcPr>
                  <w:tcW w:w="419" w:type="pct"/>
                  <w:shd w:val="clear" w:color="auto" w:fill="auto"/>
                  <w:vAlign w:val="center"/>
                </w:tcPr>
                <w:p w14:paraId="0C6662BF">
                  <w:pPr>
                    <w:autoSpaceDE w:val="0"/>
                    <w:autoSpaceDN w:val="0"/>
                    <w:adjustRightInd w:val="0"/>
                    <w:jc w:val="center"/>
                    <w:rPr>
                      <w:kern w:val="0"/>
                      <w:szCs w:val="21"/>
                    </w:rPr>
                  </w:pPr>
                  <w:r>
                    <w:rPr>
                      <w:kern w:val="0"/>
                      <w:szCs w:val="21"/>
                    </w:rPr>
                    <w:t>人群</w:t>
                  </w:r>
                </w:p>
              </w:tc>
              <w:tc>
                <w:tcPr>
                  <w:tcW w:w="508" w:type="pct"/>
                  <w:shd w:val="clear" w:color="auto" w:fill="auto"/>
                  <w:vAlign w:val="center"/>
                </w:tcPr>
                <w:p w14:paraId="6CCFDA41">
                  <w:pPr>
                    <w:autoSpaceDE w:val="0"/>
                    <w:autoSpaceDN w:val="0"/>
                    <w:adjustRightInd w:val="0"/>
                    <w:jc w:val="center"/>
                    <w:rPr>
                      <w:kern w:val="0"/>
                      <w:szCs w:val="21"/>
                    </w:rPr>
                  </w:pPr>
                  <w:r>
                    <w:rPr>
                      <w:kern w:val="0"/>
                      <w:szCs w:val="21"/>
                    </w:rPr>
                    <w:t>二类区</w:t>
                  </w:r>
                </w:p>
              </w:tc>
              <w:tc>
                <w:tcPr>
                  <w:tcW w:w="482" w:type="pct"/>
                  <w:shd w:val="clear" w:color="auto" w:fill="auto"/>
                  <w:vAlign w:val="center"/>
                </w:tcPr>
                <w:p w14:paraId="2DA0ADEF">
                  <w:pPr>
                    <w:autoSpaceDE w:val="0"/>
                    <w:autoSpaceDN w:val="0"/>
                    <w:adjustRightInd w:val="0"/>
                    <w:jc w:val="center"/>
                    <w:rPr>
                      <w:kern w:val="0"/>
                      <w:szCs w:val="21"/>
                    </w:rPr>
                  </w:pPr>
                  <w:r>
                    <w:rPr>
                      <w:rFonts w:hint="eastAsia"/>
                      <w:kern w:val="0"/>
                      <w:szCs w:val="21"/>
                    </w:rPr>
                    <w:t>西</w:t>
                  </w:r>
                </w:p>
              </w:tc>
              <w:tc>
                <w:tcPr>
                  <w:tcW w:w="614" w:type="pct"/>
                  <w:shd w:val="clear" w:color="auto" w:fill="auto"/>
                  <w:vAlign w:val="center"/>
                </w:tcPr>
                <w:p w14:paraId="02FE0140">
                  <w:pPr>
                    <w:autoSpaceDE w:val="0"/>
                    <w:autoSpaceDN w:val="0"/>
                    <w:adjustRightInd w:val="0"/>
                    <w:jc w:val="center"/>
                    <w:rPr>
                      <w:kern w:val="0"/>
                      <w:szCs w:val="21"/>
                    </w:rPr>
                  </w:pPr>
                  <w:r>
                    <w:rPr>
                      <w:rFonts w:hint="eastAsia"/>
                      <w:kern w:val="0"/>
                      <w:szCs w:val="21"/>
                    </w:rPr>
                    <w:t>5~50m</w:t>
                  </w:r>
                </w:p>
              </w:tc>
            </w:tr>
          </w:tbl>
          <w:p w14:paraId="10C1312A">
            <w:pPr>
              <w:adjustRightInd w:val="0"/>
              <w:snapToGrid w:val="0"/>
              <w:spacing w:line="360" w:lineRule="auto"/>
              <w:ind w:firstLine="482" w:firstLineChars="200"/>
              <w:rPr>
                <w:b/>
                <w:kern w:val="0"/>
                <w:sz w:val="24"/>
              </w:rPr>
            </w:pPr>
            <w:r>
              <w:rPr>
                <w:rFonts w:hint="eastAsia"/>
                <w:b/>
                <w:kern w:val="0"/>
                <w:sz w:val="24"/>
              </w:rPr>
              <w:t>四、其它环境保护目标</w:t>
            </w:r>
          </w:p>
          <w:p w14:paraId="4BF32C81">
            <w:pPr>
              <w:adjustRightInd w:val="0"/>
              <w:snapToGrid w:val="0"/>
              <w:spacing w:line="360" w:lineRule="auto"/>
              <w:ind w:firstLine="480" w:firstLineChars="200"/>
              <w:rPr>
                <w:kern w:val="0"/>
                <w:sz w:val="24"/>
              </w:rPr>
            </w:pPr>
            <w:r>
              <w:rPr>
                <w:rFonts w:hint="eastAsia"/>
                <w:kern w:val="0"/>
                <w:sz w:val="24"/>
              </w:rPr>
              <w:t>项目厂界外500m范围内无地下水集中式使用水水源和热水、矿泉水、温泉等特殊地下水资源，无生态环境保护目标。</w:t>
            </w:r>
          </w:p>
        </w:tc>
      </w:tr>
      <w:tr w14:paraId="3B187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tcMar>
              <w:left w:w="28" w:type="dxa"/>
              <w:right w:w="28" w:type="dxa"/>
            </w:tcMar>
            <w:vAlign w:val="center"/>
          </w:tcPr>
          <w:p w14:paraId="3ACA8EF2">
            <w:pPr>
              <w:adjustRightInd w:val="0"/>
              <w:snapToGrid w:val="0"/>
              <w:jc w:val="center"/>
              <w:rPr>
                <w:rFonts w:ascii="宋体" w:hAnsi="宋体" w:cs="宋体"/>
                <w:b/>
                <w:kern w:val="0"/>
                <w:sz w:val="24"/>
              </w:rPr>
            </w:pPr>
            <w:r>
              <w:rPr>
                <w:rFonts w:hint="eastAsia" w:ascii="宋体" w:hAnsi="宋体" w:cs="宋体"/>
                <w:b/>
                <w:kern w:val="0"/>
                <w:sz w:val="24"/>
              </w:rPr>
              <w:t>污染</w:t>
            </w:r>
          </w:p>
          <w:p w14:paraId="1FBAECF5">
            <w:pPr>
              <w:adjustRightInd w:val="0"/>
              <w:snapToGrid w:val="0"/>
              <w:jc w:val="center"/>
              <w:rPr>
                <w:rFonts w:ascii="宋体" w:hAnsi="宋体" w:cs="宋体"/>
                <w:b/>
                <w:kern w:val="0"/>
                <w:sz w:val="24"/>
              </w:rPr>
            </w:pPr>
            <w:r>
              <w:rPr>
                <w:rFonts w:hint="eastAsia" w:ascii="宋体" w:hAnsi="宋体" w:cs="宋体"/>
                <w:b/>
                <w:kern w:val="0"/>
                <w:sz w:val="24"/>
              </w:rPr>
              <w:t>物排</w:t>
            </w:r>
          </w:p>
          <w:p w14:paraId="146C141B">
            <w:pPr>
              <w:adjustRightInd w:val="0"/>
              <w:snapToGrid w:val="0"/>
              <w:jc w:val="center"/>
              <w:rPr>
                <w:rFonts w:ascii="宋体" w:hAnsi="宋体" w:cs="宋体"/>
                <w:b/>
                <w:kern w:val="0"/>
                <w:sz w:val="24"/>
              </w:rPr>
            </w:pPr>
            <w:r>
              <w:rPr>
                <w:rFonts w:hint="eastAsia" w:ascii="宋体" w:hAnsi="宋体" w:cs="宋体"/>
                <w:b/>
                <w:kern w:val="0"/>
                <w:sz w:val="24"/>
              </w:rPr>
              <w:t>放控</w:t>
            </w:r>
          </w:p>
          <w:p w14:paraId="3C19085C">
            <w:pPr>
              <w:adjustRightInd w:val="0"/>
              <w:snapToGrid w:val="0"/>
              <w:jc w:val="center"/>
              <w:rPr>
                <w:rFonts w:ascii="宋体" w:hAnsi="宋体" w:cs="宋体"/>
                <w:b/>
                <w:kern w:val="0"/>
                <w:sz w:val="24"/>
              </w:rPr>
            </w:pPr>
            <w:r>
              <w:rPr>
                <w:rFonts w:hint="eastAsia" w:ascii="宋体" w:hAnsi="宋体" w:cs="宋体"/>
                <w:b/>
                <w:kern w:val="0"/>
                <w:sz w:val="24"/>
              </w:rPr>
              <w:t>制标</w:t>
            </w:r>
          </w:p>
          <w:p w14:paraId="13A3E2B7">
            <w:pPr>
              <w:adjustRightInd w:val="0"/>
              <w:snapToGrid w:val="0"/>
              <w:jc w:val="center"/>
              <w:rPr>
                <w:rFonts w:ascii="宋体" w:hAnsi="宋体" w:cs="宋体"/>
                <w:b/>
                <w:kern w:val="0"/>
                <w:sz w:val="24"/>
              </w:rPr>
            </w:pPr>
            <w:r>
              <w:rPr>
                <w:rFonts w:hint="eastAsia" w:ascii="宋体" w:hAnsi="宋体" w:cs="宋体"/>
                <w:b/>
                <w:kern w:val="0"/>
                <w:sz w:val="24"/>
              </w:rPr>
              <w:t>准</w:t>
            </w:r>
          </w:p>
        </w:tc>
        <w:tc>
          <w:tcPr>
            <w:tcW w:w="4718" w:type="pct"/>
            <w:vAlign w:val="center"/>
          </w:tcPr>
          <w:p w14:paraId="606357BB">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一、废气</w:t>
            </w:r>
          </w:p>
          <w:p w14:paraId="6D236611">
            <w:pPr>
              <w:adjustRightInd w:val="0"/>
              <w:snapToGrid w:val="0"/>
              <w:spacing w:line="360" w:lineRule="auto"/>
              <w:ind w:firstLine="480" w:firstLineChars="200"/>
              <w:rPr>
                <w:kern w:val="0"/>
                <w:sz w:val="24"/>
              </w:rPr>
            </w:pPr>
            <w:r>
              <w:rPr>
                <w:kern w:val="0"/>
                <w:sz w:val="24"/>
              </w:rPr>
              <w:t>项目</w:t>
            </w:r>
            <w:r>
              <w:rPr>
                <w:rFonts w:hint="eastAsia"/>
                <w:kern w:val="0"/>
                <w:sz w:val="24"/>
              </w:rPr>
              <w:t>运营期热风炉烟气执行</w:t>
            </w:r>
            <w:bookmarkStart w:id="59" w:name="OLE_LINK74"/>
            <w:bookmarkStart w:id="60" w:name="OLE_LINK75"/>
            <w:r>
              <w:rPr>
                <w:rFonts w:hint="eastAsia"/>
                <w:kern w:val="0"/>
                <w:sz w:val="24"/>
              </w:rPr>
              <w:t>《湖南省工业炉窑大气污染综合治理实施方案》附件1中相关排放限值</w:t>
            </w:r>
            <w:bookmarkEnd w:id="59"/>
            <w:bookmarkEnd w:id="60"/>
            <w:r>
              <w:rPr>
                <w:rFonts w:hint="eastAsia"/>
                <w:kern w:val="0"/>
                <w:sz w:val="24"/>
              </w:rPr>
              <w:t>；烘干废气及无组织废气执行《大气污染物综合排放标准》(GB16297-1996)表2中的无组织排放限值；熏蒸废气磷化氢执行《工作场所有害因素职业接触限值第1部分：化学有害因素》（GB.Z2.1-2019）表1中最高容许浓度限值（0.3mg/m</w:t>
            </w:r>
            <w:r>
              <w:rPr>
                <w:rFonts w:hint="eastAsia"/>
                <w:kern w:val="0"/>
                <w:sz w:val="24"/>
                <w:vertAlign w:val="superscript"/>
              </w:rPr>
              <w:t>3</w:t>
            </w:r>
            <w:r>
              <w:rPr>
                <w:rFonts w:hint="eastAsia"/>
                <w:kern w:val="0"/>
                <w:sz w:val="24"/>
              </w:rPr>
              <w:t>）。</w:t>
            </w:r>
          </w:p>
          <w:p w14:paraId="79F323CB">
            <w:pPr>
              <w:adjustRightInd w:val="0"/>
              <w:snapToGrid w:val="0"/>
              <w:spacing w:before="120" w:beforeLines="50"/>
              <w:jc w:val="center"/>
              <w:rPr>
                <w:b/>
                <w:szCs w:val="21"/>
              </w:rPr>
            </w:pPr>
            <w:r>
              <w:rPr>
                <w:b/>
                <w:szCs w:val="21"/>
              </w:rPr>
              <w:t>表</w:t>
            </w:r>
            <w:r>
              <w:rPr>
                <w:rFonts w:hint="eastAsia"/>
                <w:b/>
                <w:szCs w:val="21"/>
              </w:rPr>
              <w:t>3-8</w:t>
            </w:r>
            <w:r>
              <w:rPr>
                <w:b/>
                <w:szCs w:val="21"/>
              </w:rPr>
              <w:t xml:space="preserve">  热风炉烟气污染物</w:t>
            </w:r>
            <w:r>
              <w:rPr>
                <w:rFonts w:hint="eastAsia"/>
                <w:b/>
                <w:szCs w:val="21"/>
              </w:rPr>
              <w:t>排放标准</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8"/>
              <w:gridCol w:w="1565"/>
              <w:gridCol w:w="1246"/>
              <w:gridCol w:w="1286"/>
              <w:gridCol w:w="3549"/>
            </w:tblGrid>
            <w:tr w14:paraId="45C84C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507481AB">
                  <w:pPr>
                    <w:pStyle w:val="12"/>
                    <w:ind w:firstLine="0"/>
                    <w:jc w:val="center"/>
                    <w:rPr>
                      <w:b/>
                      <w:bCs/>
                      <w:szCs w:val="21"/>
                    </w:rPr>
                  </w:pPr>
                  <w:r>
                    <w:rPr>
                      <w:rFonts w:hint="eastAsia"/>
                      <w:b/>
                      <w:bCs/>
                      <w:szCs w:val="21"/>
                    </w:rPr>
                    <w:t>污染物</w:t>
                  </w:r>
                </w:p>
              </w:tc>
              <w:tc>
                <w:tcPr>
                  <w:tcW w:w="834" w:type="pct"/>
                  <w:vAlign w:val="center"/>
                </w:tcPr>
                <w:p w14:paraId="30722EE6">
                  <w:pPr>
                    <w:pStyle w:val="12"/>
                    <w:ind w:firstLine="0"/>
                    <w:jc w:val="center"/>
                    <w:rPr>
                      <w:b/>
                      <w:bCs/>
                      <w:szCs w:val="21"/>
                    </w:rPr>
                  </w:pPr>
                  <w:r>
                    <w:rPr>
                      <w:rFonts w:hint="eastAsia"/>
                      <w:b/>
                      <w:bCs/>
                      <w:szCs w:val="21"/>
                    </w:rPr>
                    <w:t>排放形式</w:t>
                  </w:r>
                </w:p>
              </w:tc>
              <w:tc>
                <w:tcPr>
                  <w:tcW w:w="664" w:type="pct"/>
                  <w:vAlign w:val="center"/>
                </w:tcPr>
                <w:p w14:paraId="09781A3C">
                  <w:pPr>
                    <w:pStyle w:val="12"/>
                    <w:ind w:firstLine="0"/>
                    <w:jc w:val="center"/>
                    <w:rPr>
                      <w:b/>
                      <w:bCs/>
                      <w:szCs w:val="21"/>
                    </w:rPr>
                  </w:pPr>
                  <w:r>
                    <w:rPr>
                      <w:rFonts w:hint="eastAsia"/>
                      <w:b/>
                      <w:bCs/>
                      <w:szCs w:val="21"/>
                    </w:rPr>
                    <w:t>标准值</w:t>
                  </w:r>
                </w:p>
              </w:tc>
              <w:tc>
                <w:tcPr>
                  <w:tcW w:w="685" w:type="pct"/>
                  <w:vAlign w:val="center"/>
                </w:tcPr>
                <w:p w14:paraId="3FA2A608">
                  <w:pPr>
                    <w:pStyle w:val="12"/>
                    <w:ind w:firstLine="0"/>
                    <w:jc w:val="center"/>
                    <w:rPr>
                      <w:b/>
                      <w:bCs/>
                      <w:szCs w:val="21"/>
                    </w:rPr>
                  </w:pPr>
                  <w:r>
                    <w:rPr>
                      <w:rFonts w:hint="eastAsia"/>
                      <w:b/>
                      <w:bCs/>
                      <w:szCs w:val="21"/>
                    </w:rPr>
                    <w:t>单位</w:t>
                  </w:r>
                </w:p>
              </w:tc>
              <w:tc>
                <w:tcPr>
                  <w:tcW w:w="1891" w:type="pct"/>
                  <w:vAlign w:val="center"/>
                </w:tcPr>
                <w:p w14:paraId="15EC9049">
                  <w:pPr>
                    <w:pStyle w:val="12"/>
                    <w:ind w:firstLine="0"/>
                    <w:jc w:val="center"/>
                    <w:rPr>
                      <w:b/>
                      <w:bCs/>
                      <w:szCs w:val="21"/>
                    </w:rPr>
                  </w:pPr>
                  <w:r>
                    <w:rPr>
                      <w:rFonts w:hint="eastAsia"/>
                      <w:b/>
                      <w:bCs/>
                      <w:szCs w:val="21"/>
                    </w:rPr>
                    <w:t>执行标准</w:t>
                  </w:r>
                </w:p>
              </w:tc>
            </w:tr>
            <w:tr w14:paraId="38466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6BAF15C6">
                  <w:pPr>
                    <w:pStyle w:val="12"/>
                    <w:ind w:firstLine="0"/>
                    <w:jc w:val="center"/>
                    <w:rPr>
                      <w:szCs w:val="21"/>
                    </w:rPr>
                  </w:pPr>
                  <w:r>
                    <w:rPr>
                      <w:rFonts w:hint="eastAsia"/>
                      <w:szCs w:val="21"/>
                    </w:rPr>
                    <w:t>SO</w:t>
                  </w:r>
                  <w:r>
                    <w:rPr>
                      <w:rFonts w:hint="eastAsia"/>
                      <w:szCs w:val="21"/>
                      <w:vertAlign w:val="subscript"/>
                    </w:rPr>
                    <w:t>2</w:t>
                  </w:r>
                </w:p>
              </w:tc>
              <w:tc>
                <w:tcPr>
                  <w:tcW w:w="834" w:type="pct"/>
                  <w:vMerge w:val="restart"/>
                  <w:vAlign w:val="center"/>
                </w:tcPr>
                <w:p w14:paraId="0052372C">
                  <w:pPr>
                    <w:pStyle w:val="12"/>
                    <w:ind w:firstLine="0"/>
                    <w:jc w:val="center"/>
                    <w:rPr>
                      <w:szCs w:val="21"/>
                    </w:rPr>
                  </w:pPr>
                  <w:r>
                    <w:rPr>
                      <w:rFonts w:hint="eastAsia"/>
                      <w:szCs w:val="21"/>
                    </w:rPr>
                    <w:t>有组织</w:t>
                  </w:r>
                </w:p>
              </w:tc>
              <w:tc>
                <w:tcPr>
                  <w:tcW w:w="664" w:type="pct"/>
                  <w:vAlign w:val="center"/>
                </w:tcPr>
                <w:p w14:paraId="38DB273F">
                  <w:pPr>
                    <w:pStyle w:val="12"/>
                    <w:ind w:firstLine="0"/>
                    <w:jc w:val="center"/>
                    <w:rPr>
                      <w:szCs w:val="21"/>
                    </w:rPr>
                  </w:pPr>
                  <w:r>
                    <w:rPr>
                      <w:rFonts w:hint="eastAsia"/>
                      <w:szCs w:val="21"/>
                    </w:rPr>
                    <w:t>200</w:t>
                  </w:r>
                </w:p>
              </w:tc>
              <w:tc>
                <w:tcPr>
                  <w:tcW w:w="685" w:type="pct"/>
                  <w:vAlign w:val="center"/>
                </w:tcPr>
                <w:p w14:paraId="0FEBC79F">
                  <w:pPr>
                    <w:pStyle w:val="12"/>
                    <w:ind w:firstLine="0"/>
                    <w:jc w:val="center"/>
                    <w:rPr>
                      <w:szCs w:val="21"/>
                    </w:rPr>
                  </w:pPr>
                  <w:r>
                    <w:rPr>
                      <w:rFonts w:hint="eastAsia"/>
                      <w:szCs w:val="21"/>
                    </w:rPr>
                    <w:t>mg/m</w:t>
                  </w:r>
                  <w:r>
                    <w:rPr>
                      <w:rFonts w:hint="eastAsia"/>
                      <w:szCs w:val="21"/>
                      <w:vertAlign w:val="superscript"/>
                    </w:rPr>
                    <w:t>3</w:t>
                  </w:r>
                </w:p>
              </w:tc>
              <w:tc>
                <w:tcPr>
                  <w:tcW w:w="1891" w:type="pct"/>
                  <w:vMerge w:val="restart"/>
                  <w:vAlign w:val="center"/>
                </w:tcPr>
                <w:p w14:paraId="7E3B7904">
                  <w:pPr>
                    <w:pStyle w:val="12"/>
                    <w:ind w:firstLine="0"/>
                    <w:jc w:val="center"/>
                    <w:rPr>
                      <w:szCs w:val="21"/>
                    </w:rPr>
                  </w:pPr>
                  <w:r>
                    <w:rPr>
                      <w:rFonts w:hint="eastAsia"/>
                      <w:szCs w:val="21"/>
                    </w:rPr>
                    <w:t>《湖南省工业炉窑大气污染综合治理实施方案》附件1</w:t>
                  </w:r>
                </w:p>
              </w:tc>
            </w:tr>
            <w:tr w14:paraId="3B10C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4A7624AF">
                  <w:pPr>
                    <w:pStyle w:val="12"/>
                    <w:ind w:firstLine="0"/>
                    <w:jc w:val="center"/>
                    <w:rPr>
                      <w:szCs w:val="21"/>
                    </w:rPr>
                  </w:pPr>
                  <w:r>
                    <w:rPr>
                      <w:rFonts w:hint="eastAsia"/>
                      <w:szCs w:val="21"/>
                    </w:rPr>
                    <w:t>NOx</w:t>
                  </w:r>
                </w:p>
              </w:tc>
              <w:tc>
                <w:tcPr>
                  <w:tcW w:w="834" w:type="pct"/>
                  <w:vMerge w:val="continue"/>
                  <w:vAlign w:val="center"/>
                </w:tcPr>
                <w:p w14:paraId="3C6D63B5">
                  <w:pPr>
                    <w:pStyle w:val="12"/>
                    <w:ind w:firstLine="0"/>
                    <w:jc w:val="center"/>
                    <w:rPr>
                      <w:szCs w:val="21"/>
                    </w:rPr>
                  </w:pPr>
                </w:p>
              </w:tc>
              <w:tc>
                <w:tcPr>
                  <w:tcW w:w="664" w:type="pct"/>
                  <w:vAlign w:val="center"/>
                </w:tcPr>
                <w:p w14:paraId="3DF8E46F">
                  <w:pPr>
                    <w:pStyle w:val="12"/>
                    <w:ind w:firstLine="0"/>
                    <w:jc w:val="center"/>
                    <w:rPr>
                      <w:szCs w:val="21"/>
                    </w:rPr>
                  </w:pPr>
                  <w:r>
                    <w:rPr>
                      <w:rFonts w:hint="eastAsia"/>
                      <w:szCs w:val="21"/>
                    </w:rPr>
                    <w:t>300</w:t>
                  </w:r>
                </w:p>
              </w:tc>
              <w:tc>
                <w:tcPr>
                  <w:tcW w:w="685" w:type="pct"/>
                  <w:vAlign w:val="center"/>
                </w:tcPr>
                <w:p w14:paraId="4AC807C8">
                  <w:pPr>
                    <w:pStyle w:val="12"/>
                    <w:ind w:firstLine="0"/>
                    <w:jc w:val="center"/>
                    <w:rPr>
                      <w:szCs w:val="21"/>
                    </w:rPr>
                  </w:pPr>
                  <w:r>
                    <w:rPr>
                      <w:rFonts w:hint="eastAsia"/>
                      <w:szCs w:val="21"/>
                    </w:rPr>
                    <w:t>mg/m</w:t>
                  </w:r>
                  <w:r>
                    <w:rPr>
                      <w:rFonts w:hint="eastAsia"/>
                      <w:szCs w:val="21"/>
                      <w:vertAlign w:val="superscript"/>
                    </w:rPr>
                    <w:t>3</w:t>
                  </w:r>
                </w:p>
              </w:tc>
              <w:tc>
                <w:tcPr>
                  <w:tcW w:w="1891" w:type="pct"/>
                  <w:vMerge w:val="continue"/>
                  <w:vAlign w:val="center"/>
                </w:tcPr>
                <w:p w14:paraId="0630A998">
                  <w:pPr>
                    <w:pStyle w:val="12"/>
                    <w:ind w:firstLine="0"/>
                    <w:jc w:val="center"/>
                    <w:rPr>
                      <w:szCs w:val="21"/>
                    </w:rPr>
                  </w:pPr>
                </w:p>
              </w:tc>
            </w:tr>
            <w:tr w14:paraId="438F8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26" w:type="pct"/>
                  <w:vAlign w:val="center"/>
                </w:tcPr>
                <w:p w14:paraId="7416984D">
                  <w:pPr>
                    <w:pStyle w:val="12"/>
                    <w:ind w:firstLine="0"/>
                    <w:jc w:val="center"/>
                    <w:rPr>
                      <w:szCs w:val="21"/>
                    </w:rPr>
                  </w:pPr>
                  <w:r>
                    <w:rPr>
                      <w:rFonts w:hint="eastAsia"/>
                      <w:szCs w:val="21"/>
                    </w:rPr>
                    <w:t>颗粒物</w:t>
                  </w:r>
                </w:p>
              </w:tc>
              <w:tc>
                <w:tcPr>
                  <w:tcW w:w="834" w:type="pct"/>
                  <w:vMerge w:val="continue"/>
                  <w:vAlign w:val="center"/>
                </w:tcPr>
                <w:p w14:paraId="574A010D">
                  <w:pPr>
                    <w:pStyle w:val="12"/>
                    <w:ind w:firstLine="0"/>
                    <w:jc w:val="center"/>
                    <w:rPr>
                      <w:szCs w:val="21"/>
                    </w:rPr>
                  </w:pPr>
                </w:p>
              </w:tc>
              <w:tc>
                <w:tcPr>
                  <w:tcW w:w="664" w:type="pct"/>
                  <w:vAlign w:val="center"/>
                </w:tcPr>
                <w:p w14:paraId="2FE00780">
                  <w:pPr>
                    <w:pStyle w:val="12"/>
                    <w:ind w:firstLine="0"/>
                    <w:jc w:val="center"/>
                    <w:rPr>
                      <w:szCs w:val="21"/>
                    </w:rPr>
                  </w:pPr>
                  <w:r>
                    <w:rPr>
                      <w:rFonts w:hint="eastAsia"/>
                      <w:szCs w:val="21"/>
                    </w:rPr>
                    <w:t>30</w:t>
                  </w:r>
                </w:p>
              </w:tc>
              <w:tc>
                <w:tcPr>
                  <w:tcW w:w="685" w:type="pct"/>
                  <w:vAlign w:val="center"/>
                </w:tcPr>
                <w:p w14:paraId="4A2BD0AA">
                  <w:pPr>
                    <w:pStyle w:val="12"/>
                    <w:ind w:firstLine="0"/>
                    <w:jc w:val="center"/>
                    <w:rPr>
                      <w:szCs w:val="21"/>
                      <w:vertAlign w:val="superscript"/>
                    </w:rPr>
                  </w:pPr>
                  <w:r>
                    <w:rPr>
                      <w:rFonts w:hint="eastAsia"/>
                      <w:szCs w:val="21"/>
                    </w:rPr>
                    <w:t>mg/m</w:t>
                  </w:r>
                  <w:r>
                    <w:rPr>
                      <w:rFonts w:hint="eastAsia"/>
                      <w:szCs w:val="21"/>
                      <w:vertAlign w:val="superscript"/>
                    </w:rPr>
                    <w:t>3</w:t>
                  </w:r>
                </w:p>
              </w:tc>
              <w:tc>
                <w:tcPr>
                  <w:tcW w:w="1891" w:type="pct"/>
                  <w:vMerge w:val="continue"/>
                  <w:vAlign w:val="center"/>
                </w:tcPr>
                <w:p w14:paraId="2519DAE1">
                  <w:pPr>
                    <w:pStyle w:val="12"/>
                    <w:ind w:firstLine="0"/>
                    <w:jc w:val="center"/>
                    <w:rPr>
                      <w:szCs w:val="21"/>
                    </w:rPr>
                  </w:pPr>
                </w:p>
              </w:tc>
            </w:tr>
          </w:tbl>
          <w:p w14:paraId="674A42FC">
            <w:pPr>
              <w:adjustRightInd w:val="0"/>
              <w:snapToGrid w:val="0"/>
              <w:spacing w:before="120" w:beforeLines="50"/>
              <w:jc w:val="center"/>
              <w:rPr>
                <w:b/>
                <w:szCs w:val="21"/>
              </w:rPr>
            </w:pPr>
            <w:bookmarkStart w:id="61" w:name="OLE_LINK18"/>
            <w:bookmarkStart w:id="62" w:name="OLE_LINK19"/>
            <w:r>
              <w:rPr>
                <w:b/>
                <w:szCs w:val="21"/>
              </w:rPr>
              <w:t>表</w:t>
            </w:r>
            <w:r>
              <w:rPr>
                <w:rFonts w:hint="eastAsia"/>
                <w:b/>
                <w:szCs w:val="21"/>
              </w:rPr>
              <w:t>3-9</w:t>
            </w:r>
            <w:r>
              <w:rPr>
                <w:b/>
                <w:szCs w:val="21"/>
              </w:rPr>
              <w:t xml:space="preserve">  </w:t>
            </w:r>
            <w:r>
              <w:rPr>
                <w:rFonts w:hint="eastAsia"/>
                <w:b/>
                <w:szCs w:val="21"/>
              </w:rPr>
              <w:t>大气污染物</w:t>
            </w:r>
            <w:r>
              <w:rPr>
                <w:b/>
                <w:szCs w:val="21"/>
              </w:rPr>
              <w:t>排放标准</w:t>
            </w:r>
          </w:p>
          <w:bookmarkEnd w:id="61"/>
          <w:bookmarkEnd w:id="62"/>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0"/>
              <w:gridCol w:w="6284"/>
            </w:tblGrid>
            <w:tr w14:paraId="561556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652" w:type="pct"/>
                  <w:vMerge w:val="restart"/>
                  <w:shd w:val="clear" w:color="auto" w:fill="auto"/>
                  <w:vAlign w:val="center"/>
                </w:tcPr>
                <w:p w14:paraId="545A759F">
                  <w:pPr>
                    <w:jc w:val="center"/>
                  </w:pPr>
                  <w:r>
                    <w:rPr>
                      <w:b/>
                    </w:rPr>
                    <w:t>污染物</w:t>
                  </w:r>
                </w:p>
              </w:tc>
              <w:tc>
                <w:tcPr>
                  <w:tcW w:w="3348" w:type="pct"/>
                  <w:shd w:val="clear" w:color="auto" w:fill="auto"/>
                  <w:vAlign w:val="center"/>
                </w:tcPr>
                <w:p w14:paraId="56E60009">
                  <w:pPr>
                    <w:jc w:val="center"/>
                  </w:pPr>
                  <w:r>
                    <w:rPr>
                      <w:rFonts w:hint="eastAsia"/>
                      <w:b/>
                    </w:rPr>
                    <w:t>无组织排放监控限值</w:t>
                  </w:r>
                </w:p>
              </w:tc>
            </w:tr>
            <w:tr w14:paraId="49A24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52" w:type="pct"/>
                  <w:vMerge w:val="continue"/>
                  <w:shd w:val="clear" w:color="auto" w:fill="auto"/>
                  <w:vAlign w:val="center"/>
                </w:tcPr>
                <w:p w14:paraId="2CCAAF6C">
                  <w:pPr>
                    <w:jc w:val="center"/>
                    <w:rPr>
                      <w:b/>
                    </w:rPr>
                  </w:pPr>
                </w:p>
              </w:tc>
              <w:tc>
                <w:tcPr>
                  <w:tcW w:w="3348" w:type="pct"/>
                  <w:shd w:val="clear" w:color="auto" w:fill="auto"/>
                  <w:vAlign w:val="center"/>
                </w:tcPr>
                <w:p w14:paraId="7D6984AC">
                  <w:pPr>
                    <w:jc w:val="center"/>
                    <w:rPr>
                      <w:b/>
                    </w:rPr>
                  </w:pPr>
                  <w:r>
                    <w:rPr>
                      <w:rFonts w:hint="eastAsia"/>
                      <w:b/>
                    </w:rPr>
                    <w:t>浓度</w:t>
                  </w:r>
                  <w:bookmarkStart w:id="63" w:name="OLE_LINK24"/>
                  <w:bookmarkStart w:id="64" w:name="OLE_LINK23"/>
                  <w:r>
                    <w:rPr>
                      <w:b/>
                    </w:rPr>
                    <w:t>（</w:t>
                  </w:r>
                  <w:r>
                    <w:rPr>
                      <w:rFonts w:hint="eastAsia"/>
                      <w:b/>
                    </w:rPr>
                    <w:t>mg/m</w:t>
                  </w:r>
                  <w:r>
                    <w:rPr>
                      <w:rFonts w:hint="eastAsia"/>
                      <w:b/>
                      <w:vertAlign w:val="superscript"/>
                    </w:rPr>
                    <w:t>3</w:t>
                  </w:r>
                  <w:r>
                    <w:rPr>
                      <w:b/>
                    </w:rPr>
                    <w:t>）</w:t>
                  </w:r>
                  <w:bookmarkEnd w:id="63"/>
                  <w:bookmarkEnd w:id="64"/>
                </w:p>
              </w:tc>
            </w:tr>
            <w:tr w14:paraId="636C6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52" w:type="pct"/>
                  <w:shd w:val="clear" w:color="auto" w:fill="auto"/>
                  <w:vAlign w:val="center"/>
                </w:tcPr>
                <w:p w14:paraId="47E51B8F">
                  <w:pPr>
                    <w:jc w:val="center"/>
                  </w:pPr>
                  <w:r>
                    <w:t>颗粒物</w:t>
                  </w:r>
                </w:p>
              </w:tc>
              <w:tc>
                <w:tcPr>
                  <w:tcW w:w="3348" w:type="pct"/>
                  <w:shd w:val="clear" w:color="auto" w:fill="auto"/>
                  <w:vAlign w:val="center"/>
                </w:tcPr>
                <w:p w14:paraId="775FB640">
                  <w:pPr>
                    <w:jc w:val="center"/>
                  </w:pPr>
                  <w:r>
                    <w:t>周界外浓度最高点1.0</w:t>
                  </w:r>
                </w:p>
              </w:tc>
            </w:tr>
          </w:tbl>
          <w:p w14:paraId="7889AF04">
            <w:pPr>
              <w:adjustRightInd w:val="0"/>
              <w:snapToGrid w:val="0"/>
              <w:spacing w:line="360" w:lineRule="auto"/>
              <w:ind w:firstLine="482" w:firstLineChars="200"/>
              <w:rPr>
                <w:rFonts w:ascii="宋体" w:hAnsi="宋体" w:cs="宋体"/>
                <w:b/>
                <w:kern w:val="0"/>
                <w:sz w:val="24"/>
              </w:rPr>
            </w:pPr>
            <w:r>
              <w:rPr>
                <w:rFonts w:ascii="宋体" w:hAnsi="宋体" w:cs="宋体"/>
                <w:b/>
                <w:kern w:val="0"/>
                <w:sz w:val="24"/>
              </w:rPr>
              <w:t>二、废水</w:t>
            </w:r>
          </w:p>
          <w:p w14:paraId="477EE124">
            <w:pPr>
              <w:adjustRightInd w:val="0"/>
              <w:snapToGrid w:val="0"/>
              <w:spacing w:line="360" w:lineRule="auto"/>
              <w:ind w:firstLine="480" w:firstLineChars="200"/>
              <w:rPr>
                <w:bCs/>
                <w:sz w:val="24"/>
              </w:rPr>
            </w:pPr>
            <w:bookmarkStart w:id="65" w:name="OLE_LINK38"/>
            <w:bookmarkStart w:id="66" w:name="OLE_LINK37"/>
            <w:r>
              <w:rPr>
                <w:rFonts w:hint="eastAsia"/>
                <w:kern w:val="0"/>
                <w:sz w:val="24"/>
              </w:rPr>
              <w:t>项目生活污水经化粪池处理后排入市政污水管网，纳入白果镇污水处理厂深度处理后排入涓水</w:t>
            </w:r>
            <w:bookmarkEnd w:id="65"/>
            <w:bookmarkEnd w:id="66"/>
            <w:r>
              <w:rPr>
                <w:rFonts w:hint="eastAsia"/>
                <w:kern w:val="0"/>
                <w:sz w:val="24"/>
              </w:rPr>
              <w:t>。白果镇污水处理厂</w:t>
            </w:r>
            <w:r>
              <w:rPr>
                <w:rFonts w:hint="eastAsia"/>
                <w:bCs/>
                <w:sz w:val="24"/>
              </w:rPr>
              <w:t>尾水执行</w:t>
            </w:r>
            <w:bookmarkStart w:id="67" w:name="OLE_LINK43"/>
            <w:bookmarkStart w:id="68" w:name="OLE_LINK40"/>
            <w:r>
              <w:rPr>
                <w:rFonts w:hint="eastAsia"/>
                <w:bCs/>
                <w:sz w:val="24"/>
              </w:rPr>
              <w:t>《城镇污水处理厂污染物排放标准》（</w:t>
            </w:r>
            <w:r>
              <w:rPr>
                <w:bCs/>
                <w:sz w:val="24"/>
              </w:rPr>
              <w:t>GB18918-2002</w:t>
            </w:r>
            <w:r>
              <w:rPr>
                <w:rFonts w:hint="eastAsia"/>
                <w:bCs/>
                <w:sz w:val="24"/>
              </w:rPr>
              <w:t>）</w:t>
            </w:r>
            <w:bookmarkEnd w:id="67"/>
            <w:bookmarkEnd w:id="68"/>
            <w:r>
              <w:rPr>
                <w:bCs/>
                <w:sz w:val="24"/>
              </w:rPr>
              <w:t>及其修改单</w:t>
            </w:r>
            <w:r>
              <w:rPr>
                <w:rFonts w:hint="eastAsia"/>
                <w:bCs/>
                <w:sz w:val="24"/>
              </w:rPr>
              <w:t>一级B</w:t>
            </w:r>
            <w:r>
              <w:rPr>
                <w:bCs/>
                <w:sz w:val="24"/>
              </w:rPr>
              <w:t>标准</w:t>
            </w:r>
            <w:r>
              <w:rPr>
                <w:rFonts w:hint="eastAsia"/>
                <w:bCs/>
                <w:sz w:val="24"/>
              </w:rPr>
              <w:t>。</w:t>
            </w:r>
            <w:r>
              <w:rPr>
                <w:rFonts w:hint="eastAsia"/>
                <w:sz w:val="24"/>
              </w:rPr>
              <w:t>具体标准值见表3-10。</w:t>
            </w:r>
          </w:p>
          <w:p w14:paraId="007CE9D4">
            <w:pPr>
              <w:adjustRightInd w:val="0"/>
              <w:snapToGrid w:val="0"/>
              <w:spacing w:before="120" w:beforeLines="50"/>
              <w:jc w:val="center"/>
              <w:rPr>
                <w:b/>
                <w:szCs w:val="21"/>
              </w:rPr>
            </w:pPr>
            <w:r>
              <w:rPr>
                <w:b/>
                <w:szCs w:val="21"/>
              </w:rPr>
              <w:t>表</w:t>
            </w:r>
            <w:r>
              <w:rPr>
                <w:rFonts w:hint="eastAsia"/>
                <w:b/>
                <w:szCs w:val="21"/>
              </w:rPr>
              <w:t>3-10  废水排放</w:t>
            </w:r>
            <w:r>
              <w:rPr>
                <w:b/>
                <w:szCs w:val="21"/>
              </w:rPr>
              <w:t>标准</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9"/>
              <w:gridCol w:w="2609"/>
              <w:gridCol w:w="2628"/>
              <w:gridCol w:w="2618"/>
            </w:tblGrid>
            <w:tr w14:paraId="7E5F2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vMerge w:val="restart"/>
                  <w:shd w:val="clear" w:color="auto" w:fill="auto"/>
                  <w:vAlign w:val="center"/>
                </w:tcPr>
                <w:p w14:paraId="37879D91">
                  <w:pPr>
                    <w:adjustRightInd w:val="0"/>
                    <w:snapToGrid w:val="0"/>
                    <w:jc w:val="center"/>
                    <w:rPr>
                      <w:b/>
                      <w:kern w:val="0"/>
                      <w:szCs w:val="21"/>
                    </w:rPr>
                  </w:pPr>
                  <w:r>
                    <w:rPr>
                      <w:b/>
                      <w:kern w:val="0"/>
                      <w:szCs w:val="21"/>
                    </w:rPr>
                    <w:t>序号</w:t>
                  </w:r>
                </w:p>
              </w:tc>
              <w:tc>
                <w:tcPr>
                  <w:tcW w:w="1390" w:type="pct"/>
                  <w:vMerge w:val="restart"/>
                  <w:shd w:val="clear" w:color="auto" w:fill="auto"/>
                  <w:vAlign w:val="center"/>
                </w:tcPr>
                <w:p w14:paraId="0E86E7A5">
                  <w:pPr>
                    <w:adjustRightInd w:val="0"/>
                    <w:snapToGrid w:val="0"/>
                    <w:jc w:val="center"/>
                    <w:rPr>
                      <w:b/>
                      <w:kern w:val="0"/>
                      <w:szCs w:val="21"/>
                    </w:rPr>
                  </w:pPr>
                  <w:r>
                    <w:rPr>
                      <w:b/>
                      <w:kern w:val="0"/>
                      <w:szCs w:val="21"/>
                    </w:rPr>
                    <w:t>控制项目</w:t>
                  </w:r>
                </w:p>
              </w:tc>
              <w:tc>
                <w:tcPr>
                  <w:tcW w:w="2795" w:type="pct"/>
                  <w:gridSpan w:val="2"/>
                  <w:shd w:val="clear" w:color="auto" w:fill="auto"/>
                  <w:vAlign w:val="center"/>
                </w:tcPr>
                <w:p w14:paraId="3F5B4A30">
                  <w:pPr>
                    <w:adjustRightInd w:val="0"/>
                    <w:snapToGrid w:val="0"/>
                    <w:jc w:val="center"/>
                    <w:rPr>
                      <w:b/>
                      <w:kern w:val="0"/>
                      <w:szCs w:val="21"/>
                    </w:rPr>
                  </w:pPr>
                  <w:r>
                    <w:rPr>
                      <w:b/>
                      <w:bCs/>
                      <w:kern w:val="0"/>
                      <w:szCs w:val="21"/>
                    </w:rPr>
                    <w:t>《城镇污水处理厂污染物排放标准》（GB18918-2002）及其修改单一级</w:t>
                  </w:r>
                  <w:r>
                    <w:rPr>
                      <w:rFonts w:hint="eastAsia"/>
                      <w:b/>
                      <w:bCs/>
                      <w:kern w:val="0"/>
                      <w:szCs w:val="21"/>
                    </w:rPr>
                    <w:t>B</w:t>
                  </w:r>
                  <w:r>
                    <w:rPr>
                      <w:b/>
                      <w:bCs/>
                      <w:kern w:val="0"/>
                      <w:szCs w:val="21"/>
                    </w:rPr>
                    <w:t>标准</w:t>
                  </w:r>
                </w:p>
              </w:tc>
            </w:tr>
            <w:tr w14:paraId="52BBC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vMerge w:val="continue"/>
                  <w:shd w:val="clear" w:color="auto" w:fill="auto"/>
                  <w:vAlign w:val="center"/>
                </w:tcPr>
                <w:p w14:paraId="468F678B">
                  <w:pPr>
                    <w:adjustRightInd w:val="0"/>
                    <w:snapToGrid w:val="0"/>
                    <w:jc w:val="center"/>
                    <w:rPr>
                      <w:b/>
                      <w:kern w:val="0"/>
                      <w:szCs w:val="21"/>
                    </w:rPr>
                  </w:pPr>
                </w:p>
              </w:tc>
              <w:tc>
                <w:tcPr>
                  <w:tcW w:w="1390" w:type="pct"/>
                  <w:vMerge w:val="continue"/>
                  <w:shd w:val="clear" w:color="auto" w:fill="auto"/>
                  <w:vAlign w:val="center"/>
                </w:tcPr>
                <w:p w14:paraId="6FF20CEB">
                  <w:pPr>
                    <w:adjustRightInd w:val="0"/>
                    <w:snapToGrid w:val="0"/>
                    <w:jc w:val="center"/>
                    <w:rPr>
                      <w:b/>
                      <w:kern w:val="0"/>
                      <w:szCs w:val="21"/>
                    </w:rPr>
                  </w:pPr>
                </w:p>
              </w:tc>
              <w:tc>
                <w:tcPr>
                  <w:tcW w:w="1400" w:type="pct"/>
                  <w:shd w:val="clear" w:color="auto" w:fill="auto"/>
                  <w:vAlign w:val="center"/>
                </w:tcPr>
                <w:p w14:paraId="5B77AB35">
                  <w:pPr>
                    <w:adjustRightInd w:val="0"/>
                    <w:snapToGrid w:val="0"/>
                    <w:jc w:val="center"/>
                    <w:rPr>
                      <w:b/>
                      <w:kern w:val="0"/>
                      <w:szCs w:val="21"/>
                    </w:rPr>
                  </w:pPr>
                  <w:r>
                    <w:rPr>
                      <w:b/>
                      <w:kern w:val="0"/>
                      <w:szCs w:val="21"/>
                    </w:rPr>
                    <w:t>标准值</w:t>
                  </w:r>
                </w:p>
              </w:tc>
              <w:tc>
                <w:tcPr>
                  <w:tcW w:w="1395" w:type="pct"/>
                  <w:shd w:val="clear" w:color="auto" w:fill="auto"/>
                  <w:vAlign w:val="center"/>
                </w:tcPr>
                <w:p w14:paraId="459CE3FD">
                  <w:pPr>
                    <w:adjustRightInd w:val="0"/>
                    <w:snapToGrid w:val="0"/>
                    <w:jc w:val="center"/>
                    <w:rPr>
                      <w:b/>
                      <w:kern w:val="0"/>
                      <w:szCs w:val="21"/>
                    </w:rPr>
                  </w:pPr>
                  <w:r>
                    <w:rPr>
                      <w:b/>
                      <w:kern w:val="0"/>
                      <w:szCs w:val="21"/>
                    </w:rPr>
                    <w:t>单位</w:t>
                  </w:r>
                </w:p>
              </w:tc>
            </w:tr>
            <w:tr w14:paraId="58363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74B6A315">
                  <w:pPr>
                    <w:adjustRightInd w:val="0"/>
                    <w:snapToGrid w:val="0"/>
                    <w:jc w:val="center"/>
                    <w:rPr>
                      <w:kern w:val="0"/>
                      <w:szCs w:val="21"/>
                    </w:rPr>
                  </w:pPr>
                  <w:r>
                    <w:rPr>
                      <w:kern w:val="0"/>
                      <w:szCs w:val="21"/>
                    </w:rPr>
                    <w:t>1</w:t>
                  </w:r>
                </w:p>
              </w:tc>
              <w:tc>
                <w:tcPr>
                  <w:tcW w:w="1390" w:type="pct"/>
                  <w:shd w:val="clear" w:color="auto" w:fill="auto"/>
                  <w:vAlign w:val="center"/>
                </w:tcPr>
                <w:p w14:paraId="62BDEC4C">
                  <w:pPr>
                    <w:adjustRightInd w:val="0"/>
                    <w:snapToGrid w:val="0"/>
                    <w:jc w:val="center"/>
                    <w:rPr>
                      <w:kern w:val="0"/>
                      <w:szCs w:val="21"/>
                    </w:rPr>
                  </w:pPr>
                  <w:r>
                    <w:rPr>
                      <w:kern w:val="0"/>
                      <w:szCs w:val="21"/>
                    </w:rPr>
                    <w:t>pH</w:t>
                  </w:r>
                </w:p>
              </w:tc>
              <w:tc>
                <w:tcPr>
                  <w:tcW w:w="1400" w:type="pct"/>
                  <w:shd w:val="clear" w:color="auto" w:fill="auto"/>
                  <w:vAlign w:val="center"/>
                </w:tcPr>
                <w:p w14:paraId="067FEF54">
                  <w:pPr>
                    <w:adjustRightInd w:val="0"/>
                    <w:snapToGrid w:val="0"/>
                    <w:jc w:val="center"/>
                    <w:rPr>
                      <w:kern w:val="0"/>
                      <w:szCs w:val="21"/>
                    </w:rPr>
                  </w:pPr>
                  <w:r>
                    <w:rPr>
                      <w:kern w:val="0"/>
                      <w:szCs w:val="21"/>
                    </w:rPr>
                    <w:t>6~9</w:t>
                  </w:r>
                </w:p>
              </w:tc>
              <w:tc>
                <w:tcPr>
                  <w:tcW w:w="1395" w:type="pct"/>
                  <w:shd w:val="clear" w:color="auto" w:fill="auto"/>
                  <w:vAlign w:val="center"/>
                </w:tcPr>
                <w:p w14:paraId="1873AE21">
                  <w:pPr>
                    <w:adjustRightInd w:val="0"/>
                    <w:snapToGrid w:val="0"/>
                    <w:jc w:val="center"/>
                    <w:rPr>
                      <w:kern w:val="0"/>
                      <w:szCs w:val="21"/>
                    </w:rPr>
                  </w:pPr>
                  <w:r>
                    <w:rPr>
                      <w:kern w:val="0"/>
                      <w:szCs w:val="21"/>
                    </w:rPr>
                    <w:t>无量纲</w:t>
                  </w:r>
                </w:p>
              </w:tc>
            </w:tr>
            <w:tr w14:paraId="5AAC6A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45A960A4">
                  <w:pPr>
                    <w:adjustRightInd w:val="0"/>
                    <w:snapToGrid w:val="0"/>
                    <w:jc w:val="center"/>
                    <w:rPr>
                      <w:kern w:val="0"/>
                      <w:szCs w:val="21"/>
                    </w:rPr>
                  </w:pPr>
                  <w:r>
                    <w:rPr>
                      <w:kern w:val="0"/>
                      <w:szCs w:val="21"/>
                    </w:rPr>
                    <w:t>2</w:t>
                  </w:r>
                </w:p>
              </w:tc>
              <w:tc>
                <w:tcPr>
                  <w:tcW w:w="1390" w:type="pct"/>
                  <w:shd w:val="clear" w:color="auto" w:fill="auto"/>
                  <w:vAlign w:val="center"/>
                </w:tcPr>
                <w:p w14:paraId="325BD05A">
                  <w:pPr>
                    <w:adjustRightInd w:val="0"/>
                    <w:snapToGrid w:val="0"/>
                    <w:jc w:val="center"/>
                    <w:rPr>
                      <w:kern w:val="0"/>
                      <w:szCs w:val="21"/>
                    </w:rPr>
                  </w:pPr>
                  <w:r>
                    <w:rPr>
                      <w:kern w:val="0"/>
                      <w:szCs w:val="21"/>
                    </w:rPr>
                    <w:t>COD</w:t>
                  </w:r>
                  <w:r>
                    <w:rPr>
                      <w:kern w:val="0"/>
                      <w:szCs w:val="21"/>
                      <w:vertAlign w:val="subscript"/>
                    </w:rPr>
                    <w:t>Cr</w:t>
                  </w:r>
                </w:p>
              </w:tc>
              <w:tc>
                <w:tcPr>
                  <w:tcW w:w="1400" w:type="pct"/>
                  <w:shd w:val="clear" w:color="auto" w:fill="auto"/>
                  <w:vAlign w:val="center"/>
                </w:tcPr>
                <w:p w14:paraId="6DA11033">
                  <w:pPr>
                    <w:adjustRightInd w:val="0"/>
                    <w:snapToGrid w:val="0"/>
                    <w:jc w:val="center"/>
                    <w:rPr>
                      <w:kern w:val="0"/>
                      <w:szCs w:val="21"/>
                    </w:rPr>
                  </w:pPr>
                  <w:r>
                    <w:rPr>
                      <w:rFonts w:hint="eastAsia"/>
                      <w:kern w:val="0"/>
                      <w:szCs w:val="21"/>
                    </w:rPr>
                    <w:t>60</w:t>
                  </w:r>
                </w:p>
              </w:tc>
              <w:tc>
                <w:tcPr>
                  <w:tcW w:w="1395" w:type="pct"/>
                  <w:shd w:val="clear" w:color="auto" w:fill="auto"/>
                  <w:vAlign w:val="center"/>
                </w:tcPr>
                <w:p w14:paraId="0CEDEAE9">
                  <w:pPr>
                    <w:adjustRightInd w:val="0"/>
                    <w:snapToGrid w:val="0"/>
                    <w:jc w:val="center"/>
                    <w:rPr>
                      <w:kern w:val="0"/>
                      <w:szCs w:val="21"/>
                    </w:rPr>
                  </w:pPr>
                  <w:r>
                    <w:rPr>
                      <w:kern w:val="0"/>
                      <w:szCs w:val="21"/>
                    </w:rPr>
                    <w:t>mg/L</w:t>
                  </w:r>
                </w:p>
              </w:tc>
            </w:tr>
            <w:tr w14:paraId="35E52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14474B08">
                  <w:pPr>
                    <w:adjustRightInd w:val="0"/>
                    <w:snapToGrid w:val="0"/>
                    <w:jc w:val="center"/>
                    <w:rPr>
                      <w:kern w:val="0"/>
                      <w:szCs w:val="21"/>
                    </w:rPr>
                  </w:pPr>
                  <w:r>
                    <w:rPr>
                      <w:kern w:val="0"/>
                      <w:szCs w:val="21"/>
                    </w:rPr>
                    <w:t>3</w:t>
                  </w:r>
                </w:p>
              </w:tc>
              <w:tc>
                <w:tcPr>
                  <w:tcW w:w="1390" w:type="pct"/>
                  <w:shd w:val="clear" w:color="auto" w:fill="auto"/>
                  <w:vAlign w:val="center"/>
                </w:tcPr>
                <w:p w14:paraId="35B05AAC">
                  <w:pPr>
                    <w:adjustRightInd w:val="0"/>
                    <w:snapToGrid w:val="0"/>
                    <w:jc w:val="center"/>
                    <w:rPr>
                      <w:kern w:val="0"/>
                      <w:szCs w:val="21"/>
                    </w:rPr>
                  </w:pPr>
                  <w:r>
                    <w:rPr>
                      <w:kern w:val="0"/>
                      <w:szCs w:val="21"/>
                    </w:rPr>
                    <w:t>SS</w:t>
                  </w:r>
                </w:p>
              </w:tc>
              <w:tc>
                <w:tcPr>
                  <w:tcW w:w="1400" w:type="pct"/>
                  <w:shd w:val="clear" w:color="auto" w:fill="auto"/>
                  <w:vAlign w:val="center"/>
                </w:tcPr>
                <w:p w14:paraId="5B5B3B59">
                  <w:pPr>
                    <w:adjustRightInd w:val="0"/>
                    <w:snapToGrid w:val="0"/>
                    <w:jc w:val="center"/>
                    <w:rPr>
                      <w:kern w:val="0"/>
                      <w:szCs w:val="21"/>
                    </w:rPr>
                  </w:pPr>
                  <w:r>
                    <w:rPr>
                      <w:rFonts w:hint="eastAsia"/>
                      <w:kern w:val="0"/>
                      <w:szCs w:val="21"/>
                    </w:rPr>
                    <w:t>20</w:t>
                  </w:r>
                </w:p>
              </w:tc>
              <w:tc>
                <w:tcPr>
                  <w:tcW w:w="1395" w:type="pct"/>
                  <w:shd w:val="clear" w:color="auto" w:fill="auto"/>
                  <w:vAlign w:val="center"/>
                </w:tcPr>
                <w:p w14:paraId="002E0E28">
                  <w:pPr>
                    <w:adjustRightInd w:val="0"/>
                    <w:snapToGrid w:val="0"/>
                    <w:jc w:val="center"/>
                    <w:rPr>
                      <w:kern w:val="0"/>
                      <w:szCs w:val="21"/>
                    </w:rPr>
                  </w:pPr>
                  <w:r>
                    <w:rPr>
                      <w:kern w:val="0"/>
                      <w:szCs w:val="21"/>
                    </w:rPr>
                    <w:t>mg/L</w:t>
                  </w:r>
                </w:p>
              </w:tc>
            </w:tr>
            <w:tr w14:paraId="32BC0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538D8DC0">
                  <w:pPr>
                    <w:adjustRightInd w:val="0"/>
                    <w:snapToGrid w:val="0"/>
                    <w:jc w:val="center"/>
                    <w:rPr>
                      <w:kern w:val="0"/>
                      <w:szCs w:val="21"/>
                    </w:rPr>
                  </w:pPr>
                  <w:r>
                    <w:rPr>
                      <w:kern w:val="0"/>
                      <w:szCs w:val="21"/>
                    </w:rPr>
                    <w:t>4</w:t>
                  </w:r>
                </w:p>
              </w:tc>
              <w:tc>
                <w:tcPr>
                  <w:tcW w:w="1390" w:type="pct"/>
                  <w:shd w:val="clear" w:color="auto" w:fill="auto"/>
                  <w:vAlign w:val="center"/>
                </w:tcPr>
                <w:p w14:paraId="382DA1D9">
                  <w:pPr>
                    <w:adjustRightInd w:val="0"/>
                    <w:snapToGrid w:val="0"/>
                    <w:jc w:val="center"/>
                    <w:rPr>
                      <w:kern w:val="0"/>
                      <w:szCs w:val="21"/>
                    </w:rPr>
                  </w:pPr>
                  <w:r>
                    <w:rPr>
                      <w:kern w:val="0"/>
                      <w:szCs w:val="21"/>
                    </w:rPr>
                    <w:t>BOD</w:t>
                  </w:r>
                  <w:r>
                    <w:rPr>
                      <w:kern w:val="0"/>
                      <w:szCs w:val="21"/>
                      <w:vertAlign w:val="subscript"/>
                    </w:rPr>
                    <w:t>5</w:t>
                  </w:r>
                </w:p>
              </w:tc>
              <w:tc>
                <w:tcPr>
                  <w:tcW w:w="1400" w:type="pct"/>
                  <w:shd w:val="clear" w:color="auto" w:fill="auto"/>
                  <w:vAlign w:val="center"/>
                </w:tcPr>
                <w:p w14:paraId="23DF10D9">
                  <w:pPr>
                    <w:adjustRightInd w:val="0"/>
                    <w:snapToGrid w:val="0"/>
                    <w:jc w:val="center"/>
                    <w:rPr>
                      <w:kern w:val="0"/>
                      <w:szCs w:val="21"/>
                    </w:rPr>
                  </w:pPr>
                  <w:r>
                    <w:rPr>
                      <w:rFonts w:hint="eastAsia"/>
                      <w:kern w:val="0"/>
                      <w:szCs w:val="21"/>
                    </w:rPr>
                    <w:t>20</w:t>
                  </w:r>
                </w:p>
              </w:tc>
              <w:tc>
                <w:tcPr>
                  <w:tcW w:w="1395" w:type="pct"/>
                  <w:shd w:val="clear" w:color="auto" w:fill="auto"/>
                  <w:vAlign w:val="center"/>
                </w:tcPr>
                <w:p w14:paraId="31F64B06">
                  <w:pPr>
                    <w:adjustRightInd w:val="0"/>
                    <w:snapToGrid w:val="0"/>
                    <w:jc w:val="center"/>
                    <w:rPr>
                      <w:kern w:val="0"/>
                      <w:szCs w:val="21"/>
                    </w:rPr>
                  </w:pPr>
                  <w:r>
                    <w:rPr>
                      <w:kern w:val="0"/>
                      <w:szCs w:val="21"/>
                    </w:rPr>
                    <w:t>mg/L</w:t>
                  </w:r>
                </w:p>
              </w:tc>
            </w:tr>
            <w:tr w14:paraId="032ED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28B81D5B">
                  <w:pPr>
                    <w:adjustRightInd w:val="0"/>
                    <w:snapToGrid w:val="0"/>
                    <w:jc w:val="center"/>
                    <w:rPr>
                      <w:kern w:val="0"/>
                      <w:szCs w:val="21"/>
                    </w:rPr>
                  </w:pPr>
                  <w:r>
                    <w:rPr>
                      <w:kern w:val="0"/>
                      <w:szCs w:val="21"/>
                    </w:rPr>
                    <w:t>5</w:t>
                  </w:r>
                </w:p>
              </w:tc>
              <w:tc>
                <w:tcPr>
                  <w:tcW w:w="1390" w:type="pct"/>
                  <w:shd w:val="clear" w:color="auto" w:fill="auto"/>
                  <w:vAlign w:val="center"/>
                </w:tcPr>
                <w:p w14:paraId="092649A7">
                  <w:pPr>
                    <w:adjustRightInd w:val="0"/>
                    <w:snapToGrid w:val="0"/>
                    <w:jc w:val="center"/>
                    <w:rPr>
                      <w:kern w:val="0"/>
                      <w:szCs w:val="21"/>
                    </w:rPr>
                  </w:pPr>
                  <w:r>
                    <w:rPr>
                      <w:kern w:val="0"/>
                      <w:szCs w:val="21"/>
                    </w:rPr>
                    <w:t>氨氮</w:t>
                  </w:r>
                </w:p>
              </w:tc>
              <w:tc>
                <w:tcPr>
                  <w:tcW w:w="1400" w:type="pct"/>
                  <w:shd w:val="clear" w:color="auto" w:fill="auto"/>
                  <w:vAlign w:val="center"/>
                </w:tcPr>
                <w:p w14:paraId="34D047AF">
                  <w:pPr>
                    <w:adjustRightInd w:val="0"/>
                    <w:snapToGrid w:val="0"/>
                    <w:jc w:val="center"/>
                    <w:rPr>
                      <w:kern w:val="0"/>
                      <w:szCs w:val="21"/>
                    </w:rPr>
                  </w:pPr>
                  <w:r>
                    <w:rPr>
                      <w:rFonts w:hint="eastAsia"/>
                      <w:kern w:val="0"/>
                      <w:szCs w:val="21"/>
                    </w:rPr>
                    <w:t>8（15）</w:t>
                  </w:r>
                </w:p>
              </w:tc>
              <w:tc>
                <w:tcPr>
                  <w:tcW w:w="1395" w:type="pct"/>
                  <w:shd w:val="clear" w:color="auto" w:fill="auto"/>
                  <w:vAlign w:val="center"/>
                </w:tcPr>
                <w:p w14:paraId="13F9C2EF">
                  <w:pPr>
                    <w:adjustRightInd w:val="0"/>
                    <w:snapToGrid w:val="0"/>
                    <w:jc w:val="center"/>
                    <w:rPr>
                      <w:kern w:val="0"/>
                      <w:szCs w:val="21"/>
                    </w:rPr>
                  </w:pPr>
                  <w:r>
                    <w:rPr>
                      <w:kern w:val="0"/>
                      <w:szCs w:val="21"/>
                    </w:rPr>
                    <w:t>mg/L</w:t>
                  </w:r>
                </w:p>
              </w:tc>
            </w:tr>
            <w:tr w14:paraId="631A4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73EC095C">
                  <w:pPr>
                    <w:adjustRightInd w:val="0"/>
                    <w:snapToGrid w:val="0"/>
                    <w:jc w:val="center"/>
                    <w:rPr>
                      <w:kern w:val="0"/>
                      <w:szCs w:val="21"/>
                    </w:rPr>
                  </w:pPr>
                  <w:r>
                    <w:rPr>
                      <w:kern w:val="0"/>
                      <w:szCs w:val="21"/>
                    </w:rPr>
                    <w:t>6</w:t>
                  </w:r>
                </w:p>
              </w:tc>
              <w:tc>
                <w:tcPr>
                  <w:tcW w:w="1390" w:type="pct"/>
                  <w:shd w:val="clear" w:color="auto" w:fill="auto"/>
                  <w:vAlign w:val="center"/>
                </w:tcPr>
                <w:p w14:paraId="558FA0A7">
                  <w:pPr>
                    <w:adjustRightInd w:val="0"/>
                    <w:snapToGrid w:val="0"/>
                    <w:jc w:val="center"/>
                    <w:rPr>
                      <w:kern w:val="0"/>
                      <w:szCs w:val="21"/>
                    </w:rPr>
                  </w:pPr>
                  <w:r>
                    <w:rPr>
                      <w:rFonts w:hint="eastAsia"/>
                      <w:kern w:val="0"/>
                      <w:szCs w:val="21"/>
                    </w:rPr>
                    <w:t>TN</w:t>
                  </w:r>
                </w:p>
              </w:tc>
              <w:tc>
                <w:tcPr>
                  <w:tcW w:w="1400" w:type="pct"/>
                  <w:shd w:val="clear" w:color="auto" w:fill="auto"/>
                  <w:vAlign w:val="center"/>
                </w:tcPr>
                <w:p w14:paraId="7600EA0F">
                  <w:pPr>
                    <w:adjustRightInd w:val="0"/>
                    <w:snapToGrid w:val="0"/>
                    <w:jc w:val="center"/>
                    <w:rPr>
                      <w:kern w:val="0"/>
                      <w:szCs w:val="21"/>
                    </w:rPr>
                  </w:pPr>
                  <w:r>
                    <w:rPr>
                      <w:rFonts w:hint="eastAsia"/>
                      <w:kern w:val="0"/>
                      <w:szCs w:val="21"/>
                    </w:rPr>
                    <w:t>20</w:t>
                  </w:r>
                </w:p>
              </w:tc>
              <w:tc>
                <w:tcPr>
                  <w:tcW w:w="1395" w:type="pct"/>
                  <w:shd w:val="clear" w:color="auto" w:fill="auto"/>
                  <w:vAlign w:val="center"/>
                </w:tcPr>
                <w:p w14:paraId="29D0336A">
                  <w:pPr>
                    <w:adjustRightInd w:val="0"/>
                    <w:snapToGrid w:val="0"/>
                    <w:jc w:val="center"/>
                    <w:rPr>
                      <w:kern w:val="0"/>
                      <w:szCs w:val="21"/>
                    </w:rPr>
                  </w:pPr>
                  <w:r>
                    <w:rPr>
                      <w:kern w:val="0"/>
                      <w:szCs w:val="21"/>
                    </w:rPr>
                    <w:t>mg/L</w:t>
                  </w:r>
                </w:p>
              </w:tc>
            </w:tr>
            <w:tr w14:paraId="475B2E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15B47FB5">
                  <w:pPr>
                    <w:adjustRightInd w:val="0"/>
                    <w:snapToGrid w:val="0"/>
                    <w:jc w:val="center"/>
                    <w:rPr>
                      <w:kern w:val="0"/>
                      <w:szCs w:val="21"/>
                    </w:rPr>
                  </w:pPr>
                  <w:r>
                    <w:rPr>
                      <w:rFonts w:hint="eastAsia"/>
                      <w:kern w:val="0"/>
                      <w:szCs w:val="21"/>
                    </w:rPr>
                    <w:t>7</w:t>
                  </w:r>
                </w:p>
              </w:tc>
              <w:tc>
                <w:tcPr>
                  <w:tcW w:w="1390" w:type="pct"/>
                  <w:shd w:val="clear" w:color="auto" w:fill="auto"/>
                  <w:vAlign w:val="center"/>
                </w:tcPr>
                <w:p w14:paraId="64A53C97">
                  <w:pPr>
                    <w:adjustRightInd w:val="0"/>
                    <w:snapToGrid w:val="0"/>
                    <w:jc w:val="center"/>
                    <w:rPr>
                      <w:kern w:val="0"/>
                      <w:szCs w:val="21"/>
                    </w:rPr>
                  </w:pPr>
                  <w:r>
                    <w:rPr>
                      <w:rFonts w:hint="eastAsia"/>
                      <w:kern w:val="0"/>
                      <w:szCs w:val="21"/>
                    </w:rPr>
                    <w:t>TP</w:t>
                  </w:r>
                </w:p>
              </w:tc>
              <w:tc>
                <w:tcPr>
                  <w:tcW w:w="1400" w:type="pct"/>
                  <w:shd w:val="clear" w:color="auto" w:fill="auto"/>
                  <w:vAlign w:val="center"/>
                </w:tcPr>
                <w:p w14:paraId="4A0A7FBD">
                  <w:pPr>
                    <w:adjustRightInd w:val="0"/>
                    <w:snapToGrid w:val="0"/>
                    <w:jc w:val="center"/>
                    <w:rPr>
                      <w:kern w:val="0"/>
                      <w:szCs w:val="21"/>
                    </w:rPr>
                  </w:pPr>
                  <w:r>
                    <w:rPr>
                      <w:rFonts w:hint="eastAsia"/>
                      <w:kern w:val="0"/>
                      <w:szCs w:val="21"/>
                    </w:rPr>
                    <w:t>1</w:t>
                  </w:r>
                </w:p>
              </w:tc>
              <w:tc>
                <w:tcPr>
                  <w:tcW w:w="1395" w:type="pct"/>
                  <w:shd w:val="clear" w:color="auto" w:fill="auto"/>
                  <w:vAlign w:val="center"/>
                </w:tcPr>
                <w:p w14:paraId="542468F3">
                  <w:pPr>
                    <w:adjustRightInd w:val="0"/>
                    <w:snapToGrid w:val="0"/>
                    <w:jc w:val="center"/>
                    <w:rPr>
                      <w:kern w:val="0"/>
                      <w:szCs w:val="21"/>
                    </w:rPr>
                  </w:pPr>
                  <w:r>
                    <w:rPr>
                      <w:kern w:val="0"/>
                      <w:szCs w:val="21"/>
                    </w:rPr>
                    <w:t>mg/L</w:t>
                  </w:r>
                </w:p>
              </w:tc>
            </w:tr>
            <w:tr w14:paraId="7BF08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15" w:type="pct"/>
                  <w:shd w:val="clear" w:color="auto" w:fill="auto"/>
                  <w:vAlign w:val="center"/>
                </w:tcPr>
                <w:p w14:paraId="4DEA7860">
                  <w:pPr>
                    <w:adjustRightInd w:val="0"/>
                    <w:snapToGrid w:val="0"/>
                    <w:jc w:val="center"/>
                    <w:rPr>
                      <w:kern w:val="0"/>
                      <w:szCs w:val="21"/>
                    </w:rPr>
                  </w:pPr>
                  <w:r>
                    <w:rPr>
                      <w:rFonts w:hint="eastAsia"/>
                      <w:kern w:val="0"/>
                      <w:szCs w:val="21"/>
                    </w:rPr>
                    <w:t>8</w:t>
                  </w:r>
                </w:p>
              </w:tc>
              <w:tc>
                <w:tcPr>
                  <w:tcW w:w="1390" w:type="pct"/>
                  <w:shd w:val="clear" w:color="auto" w:fill="auto"/>
                  <w:vAlign w:val="center"/>
                </w:tcPr>
                <w:p w14:paraId="4076CAD1">
                  <w:pPr>
                    <w:adjustRightInd w:val="0"/>
                    <w:snapToGrid w:val="0"/>
                    <w:jc w:val="center"/>
                    <w:rPr>
                      <w:kern w:val="0"/>
                      <w:szCs w:val="21"/>
                    </w:rPr>
                  </w:pPr>
                  <w:r>
                    <w:rPr>
                      <w:rFonts w:hint="eastAsia"/>
                      <w:kern w:val="0"/>
                      <w:szCs w:val="21"/>
                    </w:rPr>
                    <w:t>粪大肠菌群</w:t>
                  </w:r>
                </w:p>
              </w:tc>
              <w:tc>
                <w:tcPr>
                  <w:tcW w:w="1400" w:type="pct"/>
                  <w:shd w:val="clear" w:color="auto" w:fill="auto"/>
                  <w:vAlign w:val="center"/>
                </w:tcPr>
                <w:p w14:paraId="6C311001">
                  <w:pPr>
                    <w:adjustRightInd w:val="0"/>
                    <w:snapToGrid w:val="0"/>
                    <w:jc w:val="center"/>
                    <w:rPr>
                      <w:kern w:val="0"/>
                      <w:szCs w:val="21"/>
                    </w:rPr>
                  </w:pPr>
                  <w:r>
                    <w:rPr>
                      <w:rFonts w:hint="eastAsia"/>
                      <w:kern w:val="0"/>
                      <w:szCs w:val="21"/>
                    </w:rPr>
                    <w:t>10000</w:t>
                  </w:r>
                </w:p>
              </w:tc>
              <w:tc>
                <w:tcPr>
                  <w:tcW w:w="1395" w:type="pct"/>
                  <w:shd w:val="clear" w:color="auto" w:fill="auto"/>
                  <w:vAlign w:val="center"/>
                </w:tcPr>
                <w:p w14:paraId="186EEA09">
                  <w:pPr>
                    <w:adjustRightInd w:val="0"/>
                    <w:snapToGrid w:val="0"/>
                    <w:jc w:val="center"/>
                    <w:rPr>
                      <w:kern w:val="0"/>
                      <w:szCs w:val="21"/>
                    </w:rPr>
                  </w:pPr>
                  <w:r>
                    <w:rPr>
                      <w:rFonts w:hint="eastAsia"/>
                      <w:kern w:val="0"/>
                      <w:szCs w:val="21"/>
                    </w:rPr>
                    <w:t>MPN/L</w:t>
                  </w:r>
                </w:p>
              </w:tc>
            </w:tr>
          </w:tbl>
          <w:p w14:paraId="0B4126D8">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三、噪声</w:t>
            </w:r>
          </w:p>
          <w:p w14:paraId="57F3ECCC">
            <w:pPr>
              <w:adjustRightInd w:val="0"/>
              <w:snapToGrid w:val="0"/>
              <w:spacing w:line="360" w:lineRule="auto"/>
              <w:ind w:firstLine="480" w:firstLineChars="200"/>
              <w:rPr>
                <w:sz w:val="24"/>
              </w:rPr>
            </w:pPr>
            <w:r>
              <w:rPr>
                <w:sz w:val="24"/>
              </w:rPr>
              <w:t>项目施工期噪声执行</w:t>
            </w:r>
            <w:r>
              <w:rPr>
                <w:rFonts w:hint="eastAsia"/>
                <w:sz w:val="24"/>
              </w:rPr>
              <w:t>《建筑施工噪声排放标准》（GB12523-2025），即：昼间≤70dB（A）、夜间≤50dB（A）</w:t>
            </w:r>
            <w:r>
              <w:rPr>
                <w:rFonts w:hint="eastAsia"/>
                <w:kern w:val="0"/>
                <w:sz w:val="24"/>
              </w:rPr>
              <w:t>；项目</w:t>
            </w:r>
            <w:r>
              <w:rPr>
                <w:sz w:val="24"/>
              </w:rPr>
              <w:t>东</w:t>
            </w:r>
            <w:r>
              <w:rPr>
                <w:sz w:val="24"/>
                <w:szCs w:val="28"/>
              </w:rPr>
              <w:t>面</w:t>
            </w:r>
            <w:bookmarkStart w:id="69" w:name="OLE_LINK133"/>
            <w:bookmarkStart w:id="70" w:name="OLE_LINK134"/>
            <w:r>
              <w:rPr>
                <w:sz w:val="24"/>
                <w:szCs w:val="28"/>
              </w:rPr>
              <w:t>车行道边线</w:t>
            </w:r>
            <w:r>
              <w:rPr>
                <w:rFonts w:hint="eastAsia"/>
                <w:sz w:val="24"/>
                <w:szCs w:val="28"/>
              </w:rPr>
              <w:t>35±5m</w:t>
            </w:r>
            <w:r>
              <w:rPr>
                <w:sz w:val="24"/>
                <w:szCs w:val="28"/>
              </w:rPr>
              <w:t>米且面向道路一侧的区域为4a类</w:t>
            </w:r>
            <w:bookmarkEnd w:id="69"/>
            <w:bookmarkEnd w:id="70"/>
            <w:r>
              <w:rPr>
                <w:sz w:val="24"/>
                <w:szCs w:val="28"/>
              </w:rPr>
              <w:t>声环境功能区，其余区域为</w:t>
            </w:r>
            <w:r>
              <w:rPr>
                <w:rFonts w:hint="eastAsia"/>
                <w:sz w:val="24"/>
                <w:szCs w:val="28"/>
              </w:rPr>
              <w:t>2类功能区</w:t>
            </w:r>
            <w:r>
              <w:rPr>
                <w:sz w:val="24"/>
                <w:szCs w:val="28"/>
              </w:rPr>
              <w:t>，</w:t>
            </w:r>
            <w:r>
              <w:rPr>
                <w:rFonts w:hint="eastAsia"/>
                <w:sz w:val="24"/>
                <w:szCs w:val="28"/>
              </w:rPr>
              <w:t>故</w:t>
            </w:r>
            <w:r>
              <w:rPr>
                <w:sz w:val="24"/>
              </w:rPr>
              <w:t>运营期厂界东侧噪声执行《工业企业厂界环境噪声排放标准》（GB12348-2008）</w:t>
            </w:r>
            <w:r>
              <w:rPr>
                <w:rFonts w:hint="eastAsia"/>
                <w:sz w:val="24"/>
              </w:rPr>
              <w:t>4</w:t>
            </w:r>
            <w:r>
              <w:rPr>
                <w:sz w:val="24"/>
              </w:rPr>
              <w:t>类标准，其余厂界执行《工业企业厂界环境噪声排放标准》（GB12348-2008）</w:t>
            </w:r>
            <w:r>
              <w:rPr>
                <w:rFonts w:hint="eastAsia"/>
                <w:sz w:val="24"/>
              </w:rPr>
              <w:t>2</w:t>
            </w:r>
            <w:r>
              <w:rPr>
                <w:sz w:val="24"/>
              </w:rPr>
              <w:t>类标准。具体标准值见表</w:t>
            </w:r>
            <w:r>
              <w:rPr>
                <w:rFonts w:hint="eastAsia"/>
                <w:sz w:val="24"/>
              </w:rPr>
              <w:t>3-11</w:t>
            </w:r>
            <w:r>
              <w:rPr>
                <w:sz w:val="24"/>
              </w:rPr>
              <w:t>。</w:t>
            </w:r>
          </w:p>
          <w:p w14:paraId="5907EF96">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 xml:space="preserve">3-11  </w:t>
            </w:r>
            <w:r>
              <w:rPr>
                <w:rFonts w:ascii="Times New Roman" w:hAnsi="Times New Roman"/>
                <w:color w:val="auto"/>
                <w:sz w:val="21"/>
              </w:rPr>
              <w:t>项目运营期噪声排放执行标准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18"/>
              <w:gridCol w:w="2444"/>
              <w:gridCol w:w="2322"/>
            </w:tblGrid>
            <w:tr w14:paraId="0CB3B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restart"/>
                  <w:vAlign w:val="center"/>
                </w:tcPr>
                <w:p w14:paraId="068B54AE">
                  <w:pPr>
                    <w:pStyle w:val="58"/>
                    <w:spacing w:line="240" w:lineRule="auto"/>
                    <w:jc w:val="center"/>
                    <w:rPr>
                      <w:rFonts w:eastAsia="宋体"/>
                      <w:b/>
                      <w:sz w:val="21"/>
                      <w:szCs w:val="21"/>
                    </w:rPr>
                  </w:pPr>
                  <w:r>
                    <w:rPr>
                      <w:rFonts w:eastAsia="宋体"/>
                      <w:b/>
                      <w:sz w:val="21"/>
                      <w:szCs w:val="21"/>
                    </w:rPr>
                    <w:t>厂界外声环境功能区类别</w:t>
                  </w:r>
                </w:p>
              </w:tc>
              <w:tc>
                <w:tcPr>
                  <w:tcW w:w="2539" w:type="pct"/>
                  <w:gridSpan w:val="2"/>
                  <w:vAlign w:val="center"/>
                </w:tcPr>
                <w:p w14:paraId="3D638CD3">
                  <w:pPr>
                    <w:pStyle w:val="58"/>
                    <w:spacing w:line="240" w:lineRule="auto"/>
                    <w:jc w:val="center"/>
                    <w:rPr>
                      <w:rFonts w:eastAsia="宋体"/>
                      <w:b/>
                      <w:sz w:val="21"/>
                      <w:szCs w:val="21"/>
                    </w:rPr>
                  </w:pPr>
                  <w:r>
                    <w:rPr>
                      <w:rFonts w:eastAsia="宋体"/>
                      <w:b/>
                      <w:sz w:val="21"/>
                      <w:szCs w:val="21"/>
                    </w:rPr>
                    <w:t>标准值dB（</w:t>
                  </w:r>
                  <w:r>
                    <w:rPr>
                      <w:rFonts w:hint="eastAsia" w:eastAsia="宋体"/>
                      <w:b/>
                      <w:sz w:val="21"/>
                      <w:szCs w:val="21"/>
                    </w:rPr>
                    <w:t>A</w:t>
                  </w:r>
                  <w:r>
                    <w:rPr>
                      <w:rFonts w:eastAsia="宋体"/>
                      <w:b/>
                      <w:sz w:val="21"/>
                      <w:szCs w:val="21"/>
                    </w:rPr>
                    <w:t>）</w:t>
                  </w:r>
                </w:p>
              </w:tc>
            </w:tr>
            <w:tr w14:paraId="0A9D5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Merge w:val="continue"/>
                  <w:vAlign w:val="center"/>
                </w:tcPr>
                <w:p w14:paraId="4680A59B">
                  <w:pPr>
                    <w:pStyle w:val="58"/>
                    <w:spacing w:line="240" w:lineRule="auto"/>
                    <w:jc w:val="center"/>
                    <w:rPr>
                      <w:rFonts w:eastAsia="宋体"/>
                      <w:b/>
                      <w:sz w:val="21"/>
                      <w:szCs w:val="21"/>
                    </w:rPr>
                  </w:pPr>
                </w:p>
              </w:tc>
              <w:tc>
                <w:tcPr>
                  <w:tcW w:w="1302" w:type="pct"/>
                  <w:vAlign w:val="center"/>
                </w:tcPr>
                <w:p w14:paraId="6E42CDFD">
                  <w:pPr>
                    <w:pStyle w:val="58"/>
                    <w:spacing w:line="240" w:lineRule="auto"/>
                    <w:jc w:val="center"/>
                    <w:rPr>
                      <w:rFonts w:eastAsia="宋体"/>
                      <w:b/>
                      <w:sz w:val="21"/>
                      <w:szCs w:val="21"/>
                    </w:rPr>
                  </w:pPr>
                  <w:r>
                    <w:rPr>
                      <w:rFonts w:eastAsia="宋体"/>
                      <w:b/>
                      <w:sz w:val="21"/>
                      <w:szCs w:val="21"/>
                    </w:rPr>
                    <w:t>昼间</w:t>
                  </w:r>
                </w:p>
              </w:tc>
              <w:tc>
                <w:tcPr>
                  <w:tcW w:w="1237" w:type="pct"/>
                  <w:vAlign w:val="center"/>
                </w:tcPr>
                <w:p w14:paraId="3563749E">
                  <w:pPr>
                    <w:pStyle w:val="58"/>
                    <w:spacing w:line="240" w:lineRule="auto"/>
                    <w:jc w:val="center"/>
                    <w:rPr>
                      <w:rFonts w:eastAsia="宋体"/>
                      <w:b/>
                      <w:sz w:val="21"/>
                      <w:szCs w:val="21"/>
                    </w:rPr>
                  </w:pPr>
                  <w:r>
                    <w:rPr>
                      <w:rFonts w:eastAsia="宋体"/>
                      <w:b/>
                      <w:sz w:val="21"/>
                      <w:szCs w:val="21"/>
                    </w:rPr>
                    <w:t>夜间</w:t>
                  </w:r>
                </w:p>
              </w:tc>
            </w:tr>
            <w:tr w14:paraId="556AF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14:paraId="63C3A8E1">
                  <w:pPr>
                    <w:pStyle w:val="58"/>
                    <w:spacing w:line="240" w:lineRule="auto"/>
                    <w:jc w:val="center"/>
                    <w:rPr>
                      <w:rFonts w:eastAsia="宋体"/>
                      <w:sz w:val="21"/>
                      <w:szCs w:val="21"/>
                    </w:rPr>
                  </w:pPr>
                  <w:r>
                    <w:rPr>
                      <w:rFonts w:hint="eastAsia" w:eastAsia="宋体"/>
                      <w:sz w:val="21"/>
                      <w:szCs w:val="21"/>
                    </w:rPr>
                    <w:t>2</w:t>
                  </w:r>
                  <w:r>
                    <w:rPr>
                      <w:rFonts w:eastAsia="宋体"/>
                      <w:sz w:val="21"/>
                      <w:szCs w:val="21"/>
                    </w:rPr>
                    <w:t>类</w:t>
                  </w:r>
                </w:p>
              </w:tc>
              <w:tc>
                <w:tcPr>
                  <w:tcW w:w="1302" w:type="pct"/>
                  <w:vAlign w:val="center"/>
                </w:tcPr>
                <w:p w14:paraId="4AB0DAB4">
                  <w:pPr>
                    <w:pStyle w:val="58"/>
                    <w:spacing w:line="240" w:lineRule="auto"/>
                    <w:jc w:val="center"/>
                    <w:rPr>
                      <w:rFonts w:eastAsia="宋体"/>
                      <w:sz w:val="21"/>
                      <w:szCs w:val="21"/>
                    </w:rPr>
                  </w:pPr>
                  <w:r>
                    <w:rPr>
                      <w:rFonts w:hint="eastAsia" w:eastAsia="宋体"/>
                      <w:sz w:val="21"/>
                      <w:szCs w:val="21"/>
                    </w:rPr>
                    <w:t>60</w:t>
                  </w:r>
                </w:p>
              </w:tc>
              <w:tc>
                <w:tcPr>
                  <w:tcW w:w="1237" w:type="pct"/>
                  <w:vAlign w:val="center"/>
                </w:tcPr>
                <w:p w14:paraId="3CBB00B5">
                  <w:pPr>
                    <w:pStyle w:val="58"/>
                    <w:spacing w:line="240" w:lineRule="auto"/>
                    <w:jc w:val="center"/>
                    <w:rPr>
                      <w:rFonts w:eastAsia="宋体"/>
                      <w:sz w:val="21"/>
                      <w:szCs w:val="21"/>
                    </w:rPr>
                  </w:pPr>
                  <w:r>
                    <w:rPr>
                      <w:rFonts w:eastAsia="宋体"/>
                      <w:sz w:val="21"/>
                      <w:szCs w:val="21"/>
                    </w:rPr>
                    <w:t>5</w:t>
                  </w:r>
                  <w:r>
                    <w:rPr>
                      <w:rFonts w:hint="eastAsia" w:eastAsia="宋体"/>
                      <w:sz w:val="21"/>
                      <w:szCs w:val="21"/>
                    </w:rPr>
                    <w:t>0</w:t>
                  </w:r>
                </w:p>
              </w:tc>
            </w:tr>
            <w:tr w14:paraId="753CC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1" w:type="pct"/>
                  <w:vAlign w:val="center"/>
                </w:tcPr>
                <w:p w14:paraId="1473A133">
                  <w:pPr>
                    <w:pStyle w:val="58"/>
                    <w:spacing w:line="240" w:lineRule="auto"/>
                    <w:jc w:val="center"/>
                    <w:rPr>
                      <w:rFonts w:eastAsia="宋体"/>
                      <w:sz w:val="21"/>
                      <w:szCs w:val="21"/>
                    </w:rPr>
                  </w:pPr>
                  <w:r>
                    <w:rPr>
                      <w:rFonts w:hint="eastAsia" w:eastAsia="宋体"/>
                      <w:sz w:val="21"/>
                      <w:szCs w:val="21"/>
                    </w:rPr>
                    <w:t>4类</w:t>
                  </w:r>
                </w:p>
              </w:tc>
              <w:tc>
                <w:tcPr>
                  <w:tcW w:w="1302" w:type="pct"/>
                  <w:vAlign w:val="center"/>
                </w:tcPr>
                <w:p w14:paraId="4C6F048F">
                  <w:pPr>
                    <w:pStyle w:val="58"/>
                    <w:spacing w:line="240" w:lineRule="auto"/>
                    <w:jc w:val="center"/>
                    <w:rPr>
                      <w:rFonts w:eastAsia="宋体"/>
                      <w:sz w:val="21"/>
                      <w:szCs w:val="21"/>
                    </w:rPr>
                  </w:pPr>
                  <w:r>
                    <w:rPr>
                      <w:rFonts w:hint="eastAsia" w:eastAsia="宋体"/>
                      <w:sz w:val="21"/>
                      <w:szCs w:val="21"/>
                    </w:rPr>
                    <w:t>70</w:t>
                  </w:r>
                </w:p>
              </w:tc>
              <w:tc>
                <w:tcPr>
                  <w:tcW w:w="1237" w:type="pct"/>
                  <w:vAlign w:val="center"/>
                </w:tcPr>
                <w:p w14:paraId="247083DE">
                  <w:pPr>
                    <w:pStyle w:val="58"/>
                    <w:spacing w:line="240" w:lineRule="auto"/>
                    <w:jc w:val="center"/>
                    <w:rPr>
                      <w:rFonts w:eastAsia="宋体"/>
                      <w:sz w:val="21"/>
                      <w:szCs w:val="21"/>
                    </w:rPr>
                  </w:pPr>
                  <w:r>
                    <w:rPr>
                      <w:rFonts w:hint="eastAsia" w:eastAsia="宋体"/>
                      <w:sz w:val="21"/>
                      <w:szCs w:val="21"/>
                    </w:rPr>
                    <w:t>55</w:t>
                  </w:r>
                </w:p>
              </w:tc>
            </w:tr>
            <w:tr w14:paraId="5106A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4A027BDC">
                  <w:pPr>
                    <w:pStyle w:val="58"/>
                    <w:spacing w:line="240" w:lineRule="auto"/>
                    <w:jc w:val="center"/>
                    <w:rPr>
                      <w:rFonts w:eastAsia="宋体"/>
                      <w:sz w:val="21"/>
                      <w:szCs w:val="21"/>
                    </w:rPr>
                  </w:pPr>
                  <w:r>
                    <w:rPr>
                      <w:rFonts w:hint="eastAsia" w:eastAsia="宋体"/>
                      <w:sz w:val="21"/>
                      <w:szCs w:val="21"/>
                    </w:rPr>
                    <w:t>标准来源：《工业企业厂界环境噪声排放标准》（GB 12348-2008）</w:t>
                  </w:r>
                </w:p>
              </w:tc>
            </w:tr>
          </w:tbl>
          <w:p w14:paraId="1F5E07F2">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四、固体废弃物</w:t>
            </w:r>
          </w:p>
          <w:p w14:paraId="677FB7D4">
            <w:pPr>
              <w:adjustRightInd w:val="0"/>
              <w:snapToGrid w:val="0"/>
              <w:spacing w:line="360" w:lineRule="auto"/>
              <w:ind w:firstLine="480" w:firstLineChars="200"/>
              <w:rPr>
                <w:sz w:val="24"/>
              </w:rPr>
            </w:pPr>
            <w:r>
              <w:rPr>
                <w:rFonts w:hint="eastAsia"/>
                <w:sz w:val="24"/>
              </w:rPr>
              <w:t>一般固体废弃物处置执行</w:t>
            </w:r>
            <w:bookmarkStart w:id="71" w:name="OLE_LINK135"/>
            <w:bookmarkStart w:id="72" w:name="OLE_LINK136"/>
            <w:r>
              <w:rPr>
                <w:rFonts w:hint="eastAsia"/>
                <w:sz w:val="24"/>
              </w:rPr>
              <w:t>《一般工业固体废物贮存和填埋污染控制标准》</w:t>
            </w:r>
            <w:bookmarkEnd w:id="71"/>
            <w:bookmarkEnd w:id="72"/>
            <w:r>
              <w:rPr>
                <w:rFonts w:hint="eastAsia"/>
                <w:sz w:val="24"/>
              </w:rPr>
              <w:t>（</w:t>
            </w:r>
            <w:r>
              <w:rPr>
                <w:sz w:val="24"/>
              </w:rPr>
              <w:t>GB18599-20</w:t>
            </w:r>
            <w:r>
              <w:rPr>
                <w:rFonts w:hint="eastAsia"/>
                <w:sz w:val="24"/>
              </w:rPr>
              <w:t>20）标准要求；危险废物贮存执行《危险废物贮存污染控制标准》（</w:t>
            </w:r>
            <w:r>
              <w:rPr>
                <w:sz w:val="24"/>
              </w:rPr>
              <w:t>18957-20</w:t>
            </w:r>
            <w:r>
              <w:rPr>
                <w:rFonts w:hint="eastAsia"/>
                <w:sz w:val="24"/>
              </w:rPr>
              <w:t>23）标准中相关要求</w:t>
            </w:r>
            <w:r>
              <w:rPr>
                <w:sz w:val="24"/>
              </w:rPr>
              <w:t>。</w:t>
            </w:r>
            <w:bookmarkStart w:id="73" w:name="表3-6_医疗机构污泥排放标准值"/>
            <w:bookmarkEnd w:id="73"/>
          </w:p>
        </w:tc>
      </w:tr>
      <w:tr w14:paraId="4C79C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vAlign w:val="center"/>
          </w:tcPr>
          <w:p w14:paraId="059203D2">
            <w:pPr>
              <w:adjustRightInd w:val="0"/>
              <w:snapToGrid w:val="0"/>
              <w:jc w:val="center"/>
              <w:rPr>
                <w:rFonts w:ascii="宋体" w:hAnsi="宋体" w:cs="宋体"/>
                <w:b/>
                <w:kern w:val="0"/>
                <w:sz w:val="24"/>
              </w:rPr>
            </w:pPr>
            <w:r>
              <w:rPr>
                <w:rFonts w:hint="eastAsia" w:ascii="宋体" w:hAnsi="宋体" w:cs="宋体"/>
                <w:b/>
                <w:kern w:val="0"/>
                <w:sz w:val="24"/>
              </w:rPr>
              <w:t>总量</w:t>
            </w:r>
          </w:p>
          <w:p w14:paraId="2CCC266E">
            <w:pPr>
              <w:adjustRightInd w:val="0"/>
              <w:snapToGrid w:val="0"/>
              <w:jc w:val="center"/>
              <w:rPr>
                <w:rFonts w:ascii="宋体" w:hAnsi="宋体" w:cs="宋体"/>
                <w:b/>
                <w:kern w:val="0"/>
                <w:sz w:val="24"/>
              </w:rPr>
            </w:pPr>
            <w:r>
              <w:rPr>
                <w:rFonts w:hint="eastAsia" w:ascii="宋体" w:hAnsi="宋体" w:cs="宋体"/>
                <w:b/>
                <w:kern w:val="0"/>
                <w:sz w:val="24"/>
              </w:rPr>
              <w:t>控制</w:t>
            </w:r>
          </w:p>
          <w:p w14:paraId="4902B4BF">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4718" w:type="pct"/>
            <w:vAlign w:val="center"/>
          </w:tcPr>
          <w:p w14:paraId="64C8FD06">
            <w:pPr>
              <w:adjustRightInd w:val="0"/>
              <w:snapToGrid w:val="0"/>
              <w:spacing w:line="360" w:lineRule="auto"/>
              <w:ind w:firstLine="480" w:firstLineChars="200"/>
              <w:rPr>
                <w:sz w:val="24"/>
              </w:rPr>
            </w:pPr>
            <w:r>
              <w:rPr>
                <w:sz w:val="24"/>
              </w:rPr>
              <w:t>根据要求结合本项目的工程特点，给出本项目的总量控制建议指标值如下：</w:t>
            </w:r>
          </w:p>
          <w:p w14:paraId="766743F8">
            <w:pPr>
              <w:adjustRightInd w:val="0"/>
              <w:snapToGrid w:val="0"/>
              <w:spacing w:line="360" w:lineRule="auto"/>
              <w:ind w:firstLine="480" w:firstLineChars="200"/>
              <w:rPr>
                <w:sz w:val="24"/>
              </w:rPr>
            </w:pPr>
            <w:r>
              <w:rPr>
                <w:sz w:val="24"/>
              </w:rPr>
              <w:t>根据《</w:t>
            </w:r>
            <w:r>
              <w:rPr>
                <w:rFonts w:hint="eastAsia" w:asciiTheme="minorEastAsia" w:hAnsiTheme="minorEastAsia" w:eastAsiaTheme="minorEastAsia"/>
                <w:sz w:val="24"/>
              </w:rPr>
              <w:t>“十四五”污染减排综合工作方案编制技术指南</w:t>
            </w:r>
            <w:r>
              <w:rPr>
                <w:sz w:val="24"/>
              </w:rPr>
              <w:t>》，大气污染物总量控制指标为SO</w:t>
            </w:r>
            <w:r>
              <w:rPr>
                <w:sz w:val="24"/>
                <w:vertAlign w:val="subscript"/>
              </w:rPr>
              <w:t>2</w:t>
            </w:r>
            <w:r>
              <w:rPr>
                <w:sz w:val="24"/>
              </w:rPr>
              <w:t>、NOx、</w:t>
            </w:r>
            <w:r>
              <w:rPr>
                <w:rFonts w:hint="eastAsia"/>
                <w:sz w:val="24"/>
              </w:rPr>
              <w:t>VOCs</w:t>
            </w:r>
            <w:r>
              <w:rPr>
                <w:sz w:val="24"/>
              </w:rPr>
              <w:t>，水污染物控制指标为COD、NH</w:t>
            </w:r>
            <w:r>
              <w:rPr>
                <w:sz w:val="24"/>
                <w:vertAlign w:val="subscript"/>
              </w:rPr>
              <w:t>3</w:t>
            </w:r>
            <w:r>
              <w:rPr>
                <w:sz w:val="24"/>
              </w:rPr>
              <w:t>-N。</w:t>
            </w:r>
          </w:p>
          <w:p w14:paraId="11ECC413">
            <w:pPr>
              <w:adjustRightInd w:val="0"/>
              <w:snapToGrid w:val="0"/>
              <w:spacing w:line="360" w:lineRule="auto"/>
              <w:ind w:firstLine="480" w:firstLineChars="200"/>
              <w:rPr>
                <w:sz w:val="24"/>
              </w:rPr>
            </w:pPr>
            <w:bookmarkStart w:id="74" w:name="OLE_LINK17"/>
            <w:r>
              <w:rPr>
                <w:rFonts w:hint="eastAsia"/>
                <w:kern w:val="0"/>
                <w:sz w:val="24"/>
              </w:rPr>
              <w:t>项目</w:t>
            </w:r>
            <w:bookmarkEnd w:id="74"/>
            <w:r>
              <w:rPr>
                <w:rFonts w:hint="eastAsia"/>
                <w:kern w:val="0"/>
                <w:sz w:val="24"/>
              </w:rPr>
              <w:t>生活污水经化粪池处理后排入市政污水管网，纳入白果镇污水处理厂深度处理后排入涓水，</w:t>
            </w:r>
            <w:r>
              <w:rPr>
                <w:rFonts w:eastAsiaTheme="majorEastAsia"/>
                <w:sz w:val="24"/>
              </w:rPr>
              <w:t>COD、氨氮总量指标由</w:t>
            </w:r>
            <w:r>
              <w:rPr>
                <w:rFonts w:hint="eastAsia"/>
                <w:kern w:val="0"/>
                <w:sz w:val="24"/>
              </w:rPr>
              <w:t>白果镇污水处理厂</w:t>
            </w:r>
            <w:r>
              <w:rPr>
                <w:rFonts w:eastAsiaTheme="majorEastAsia"/>
                <w:sz w:val="24"/>
              </w:rPr>
              <w:t>总体承担，无需分配COD、氨氮总量控制指标</w:t>
            </w:r>
            <w:r>
              <w:rPr>
                <w:rFonts w:hint="eastAsia"/>
                <w:kern w:val="0"/>
                <w:sz w:val="24"/>
              </w:rPr>
              <w:t>。</w:t>
            </w:r>
          </w:p>
          <w:p w14:paraId="062758A4">
            <w:pPr>
              <w:adjustRightInd w:val="0"/>
              <w:snapToGrid w:val="0"/>
              <w:spacing w:line="360" w:lineRule="auto"/>
              <w:ind w:firstLine="480" w:firstLineChars="200"/>
              <w:rPr>
                <w:sz w:val="24"/>
              </w:rPr>
            </w:pPr>
            <w:r>
              <w:rPr>
                <w:rFonts w:hint="eastAsia"/>
                <w:sz w:val="24"/>
              </w:rPr>
              <w:t>项目营运期废气总量主要来源于热风炉燃烧烟气。</w:t>
            </w:r>
            <w:r>
              <w:rPr>
                <w:sz w:val="24"/>
              </w:rPr>
              <w:t>根据下文核算结果，</w:t>
            </w:r>
            <w:r>
              <w:rPr>
                <w:rFonts w:hint="eastAsia"/>
                <w:sz w:val="24"/>
              </w:rPr>
              <w:t>大气污染物SO</w:t>
            </w:r>
            <w:r>
              <w:rPr>
                <w:rFonts w:hint="eastAsia"/>
                <w:sz w:val="24"/>
                <w:vertAlign w:val="subscript"/>
              </w:rPr>
              <w:t>2</w:t>
            </w:r>
            <w:r>
              <w:rPr>
                <w:rFonts w:hint="eastAsia"/>
                <w:sz w:val="24"/>
              </w:rPr>
              <w:t>和NOx的排放量分别为0.653t/a、1.187t/a，需通过排污权交易获得；粉尘排放量为5.0046t/a，备案管理。</w:t>
            </w:r>
          </w:p>
          <w:p w14:paraId="439E9147">
            <w:pPr>
              <w:adjustRightInd w:val="0"/>
              <w:snapToGrid w:val="0"/>
              <w:spacing w:line="360" w:lineRule="auto"/>
              <w:ind w:firstLine="480" w:firstLineChars="200"/>
              <w:rPr>
                <w:sz w:val="24"/>
              </w:rPr>
            </w:pPr>
          </w:p>
          <w:p w14:paraId="5A076C2C">
            <w:pPr>
              <w:adjustRightInd w:val="0"/>
              <w:snapToGrid w:val="0"/>
              <w:spacing w:line="360" w:lineRule="auto"/>
              <w:ind w:firstLine="480" w:firstLineChars="200"/>
              <w:rPr>
                <w:sz w:val="24"/>
              </w:rPr>
            </w:pPr>
          </w:p>
          <w:p w14:paraId="346D308E">
            <w:pPr>
              <w:pStyle w:val="2"/>
              <w:rPr>
                <w:color w:val="auto"/>
              </w:rPr>
            </w:pPr>
          </w:p>
          <w:p w14:paraId="34B46531">
            <w:pPr>
              <w:pStyle w:val="2"/>
              <w:rPr>
                <w:color w:val="auto"/>
              </w:rPr>
            </w:pPr>
          </w:p>
          <w:p w14:paraId="6CCF40DE">
            <w:pPr>
              <w:pStyle w:val="2"/>
              <w:rPr>
                <w:color w:val="auto"/>
              </w:rPr>
            </w:pPr>
          </w:p>
          <w:p w14:paraId="1E0775F3">
            <w:pPr>
              <w:pStyle w:val="2"/>
              <w:rPr>
                <w:color w:val="auto"/>
              </w:rPr>
            </w:pPr>
          </w:p>
          <w:p w14:paraId="3F088ECA">
            <w:pPr>
              <w:pStyle w:val="2"/>
              <w:rPr>
                <w:color w:val="auto"/>
              </w:rPr>
            </w:pPr>
          </w:p>
          <w:p w14:paraId="76259021">
            <w:pPr>
              <w:pStyle w:val="4"/>
            </w:pPr>
          </w:p>
          <w:p w14:paraId="0DDA1FD3"/>
          <w:p w14:paraId="326E0FE0">
            <w:pPr>
              <w:pStyle w:val="2"/>
              <w:rPr>
                <w:color w:val="auto"/>
              </w:rPr>
            </w:pPr>
          </w:p>
          <w:p w14:paraId="474B6AD7">
            <w:pPr>
              <w:pStyle w:val="4"/>
            </w:pPr>
          </w:p>
          <w:p w14:paraId="6B337F80"/>
          <w:p w14:paraId="322F2909">
            <w:pPr>
              <w:pStyle w:val="2"/>
              <w:rPr>
                <w:color w:val="auto"/>
              </w:rPr>
            </w:pPr>
          </w:p>
          <w:p w14:paraId="66C6D4E1">
            <w:pPr>
              <w:pStyle w:val="4"/>
            </w:pPr>
          </w:p>
          <w:p w14:paraId="0636E93B"/>
          <w:p w14:paraId="492C947D">
            <w:pPr>
              <w:pStyle w:val="2"/>
              <w:rPr>
                <w:color w:val="auto"/>
              </w:rPr>
            </w:pPr>
          </w:p>
          <w:p w14:paraId="30517013">
            <w:pPr>
              <w:pStyle w:val="4"/>
            </w:pPr>
          </w:p>
          <w:p w14:paraId="3D8DFA18"/>
          <w:p w14:paraId="5C4A69CF">
            <w:pPr>
              <w:pStyle w:val="2"/>
              <w:rPr>
                <w:color w:val="auto"/>
              </w:rPr>
            </w:pPr>
          </w:p>
          <w:p w14:paraId="6D955B25">
            <w:pPr>
              <w:pStyle w:val="4"/>
            </w:pPr>
          </w:p>
          <w:p w14:paraId="04C328A3"/>
          <w:p w14:paraId="28C57978">
            <w:pPr>
              <w:pStyle w:val="2"/>
              <w:rPr>
                <w:color w:val="auto"/>
              </w:rPr>
            </w:pPr>
          </w:p>
          <w:p w14:paraId="7380F0B0">
            <w:pPr>
              <w:pStyle w:val="4"/>
            </w:pPr>
          </w:p>
          <w:p w14:paraId="0AAAA46E"/>
          <w:p w14:paraId="0E22037D">
            <w:pPr>
              <w:pStyle w:val="2"/>
              <w:rPr>
                <w:color w:val="auto"/>
              </w:rPr>
            </w:pPr>
          </w:p>
          <w:p w14:paraId="7CA71C4A">
            <w:pPr>
              <w:pStyle w:val="2"/>
              <w:rPr>
                <w:color w:val="auto"/>
              </w:rPr>
            </w:pPr>
          </w:p>
          <w:p w14:paraId="7EC00E3B">
            <w:pPr>
              <w:pStyle w:val="4"/>
            </w:pPr>
          </w:p>
          <w:p w14:paraId="3B7A30F5">
            <w:pPr>
              <w:pStyle w:val="2"/>
              <w:rPr>
                <w:color w:val="auto"/>
              </w:rPr>
            </w:pPr>
          </w:p>
          <w:p w14:paraId="10BFEBB3">
            <w:pPr>
              <w:adjustRightInd w:val="0"/>
              <w:snapToGrid w:val="0"/>
              <w:spacing w:line="360" w:lineRule="auto"/>
              <w:ind w:firstLine="480" w:firstLineChars="200"/>
              <w:rPr>
                <w:sz w:val="24"/>
              </w:rPr>
            </w:pPr>
          </w:p>
        </w:tc>
      </w:tr>
    </w:tbl>
    <w:p w14:paraId="5CA25CBC">
      <w:pPr>
        <w:pStyle w:val="25"/>
        <w:jc w:val="center"/>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17672738">
      <w:pPr>
        <w:pStyle w:val="25"/>
        <w:jc w:val="center"/>
        <w:outlineLvl w:val="0"/>
        <w:rPr>
          <w:rFonts w:ascii="黑体" w:hAnsi="黑体" w:eastAsia="黑体"/>
          <w:snapToGrid w:val="0"/>
          <w:sz w:val="30"/>
          <w:szCs w:val="30"/>
        </w:rPr>
      </w:pPr>
      <w:bookmarkStart w:id="75" w:name="_Toc111712329"/>
      <w:r>
        <w:rPr>
          <w:rFonts w:hint="eastAsia" w:ascii="黑体" w:hAnsi="黑体" w:eastAsia="黑体"/>
          <w:snapToGrid w:val="0"/>
          <w:sz w:val="30"/>
          <w:szCs w:val="30"/>
        </w:rPr>
        <w:t>四、主要环境影响和保护措施</w:t>
      </w:r>
      <w:bookmarkEnd w:id="75"/>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2"/>
        <w:gridCol w:w="9634"/>
      </w:tblGrid>
      <w:tr w14:paraId="4F5F4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80" w:type="pct"/>
            <w:tcMar>
              <w:left w:w="28" w:type="dxa"/>
              <w:right w:w="28" w:type="dxa"/>
            </w:tcMar>
            <w:vAlign w:val="center"/>
          </w:tcPr>
          <w:p w14:paraId="5CA40A8B">
            <w:pPr>
              <w:pStyle w:val="25"/>
              <w:adjustRightInd w:val="0"/>
              <w:snapToGrid w:val="0"/>
              <w:spacing w:before="0" w:beforeAutospacing="0" w:after="0" w:afterAutospacing="0"/>
              <w:jc w:val="center"/>
              <w:rPr>
                <w:rFonts w:cs="宋体"/>
                <w:b/>
                <w:kern w:val="2"/>
                <w:szCs w:val="24"/>
              </w:rPr>
            </w:pPr>
            <w:r>
              <w:rPr>
                <w:rFonts w:hint="eastAsia" w:cs="宋体"/>
                <w:b/>
                <w:kern w:val="2"/>
                <w:szCs w:val="24"/>
              </w:rPr>
              <w:t>施工</w:t>
            </w:r>
          </w:p>
          <w:p w14:paraId="2184BAA9">
            <w:pPr>
              <w:pStyle w:val="25"/>
              <w:adjustRightInd w:val="0"/>
              <w:snapToGrid w:val="0"/>
              <w:spacing w:before="0" w:beforeAutospacing="0" w:after="0" w:afterAutospacing="0"/>
              <w:jc w:val="center"/>
              <w:rPr>
                <w:rFonts w:cs="宋体"/>
                <w:b/>
                <w:kern w:val="2"/>
                <w:szCs w:val="24"/>
              </w:rPr>
            </w:pPr>
            <w:r>
              <w:rPr>
                <w:rFonts w:hint="eastAsia" w:cs="宋体"/>
                <w:b/>
                <w:kern w:val="2"/>
                <w:szCs w:val="24"/>
              </w:rPr>
              <w:t>期环</w:t>
            </w:r>
          </w:p>
          <w:p w14:paraId="1FC0F8CC">
            <w:pPr>
              <w:pStyle w:val="25"/>
              <w:adjustRightInd w:val="0"/>
              <w:snapToGrid w:val="0"/>
              <w:spacing w:before="0" w:beforeAutospacing="0" w:after="0" w:afterAutospacing="0"/>
              <w:jc w:val="center"/>
              <w:rPr>
                <w:rFonts w:cs="宋体"/>
                <w:b/>
                <w:kern w:val="2"/>
                <w:szCs w:val="24"/>
              </w:rPr>
            </w:pPr>
            <w:r>
              <w:rPr>
                <w:rFonts w:hint="eastAsia" w:cs="宋体"/>
                <w:b/>
                <w:kern w:val="2"/>
                <w:szCs w:val="24"/>
              </w:rPr>
              <w:t>境保</w:t>
            </w:r>
          </w:p>
          <w:p w14:paraId="1870A2C6">
            <w:pPr>
              <w:pStyle w:val="25"/>
              <w:adjustRightInd w:val="0"/>
              <w:snapToGrid w:val="0"/>
              <w:spacing w:before="0" w:beforeAutospacing="0" w:after="0" w:afterAutospacing="0"/>
              <w:jc w:val="center"/>
              <w:rPr>
                <w:rFonts w:cs="宋体"/>
                <w:b/>
                <w:kern w:val="2"/>
                <w:szCs w:val="24"/>
              </w:rPr>
            </w:pPr>
            <w:r>
              <w:rPr>
                <w:rFonts w:hint="eastAsia" w:cs="宋体"/>
                <w:b/>
                <w:kern w:val="2"/>
                <w:szCs w:val="24"/>
              </w:rPr>
              <w:t>护措</w:t>
            </w:r>
          </w:p>
          <w:p w14:paraId="66B49F35">
            <w:pPr>
              <w:pStyle w:val="25"/>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4720" w:type="pct"/>
            <w:vAlign w:val="center"/>
          </w:tcPr>
          <w:p w14:paraId="5DC349B1">
            <w:pPr>
              <w:adjustRightInd w:val="0"/>
              <w:snapToGrid w:val="0"/>
              <w:spacing w:line="360" w:lineRule="auto"/>
              <w:ind w:firstLine="482" w:firstLineChars="200"/>
              <w:rPr>
                <w:b/>
                <w:bCs/>
                <w:sz w:val="24"/>
              </w:rPr>
            </w:pPr>
            <w:r>
              <w:rPr>
                <w:rFonts w:hint="eastAsia"/>
                <w:b/>
                <w:bCs/>
                <w:sz w:val="24"/>
              </w:rPr>
              <w:t>一、</w:t>
            </w:r>
            <w:r>
              <w:rPr>
                <w:rFonts w:hint="eastAsia"/>
                <w:b/>
                <w:sz w:val="24"/>
              </w:rPr>
              <w:t>施工期废气污染防治措施</w:t>
            </w:r>
          </w:p>
          <w:p w14:paraId="7882288C">
            <w:pPr>
              <w:adjustRightInd w:val="0"/>
              <w:snapToGrid w:val="0"/>
              <w:spacing w:line="360" w:lineRule="auto"/>
              <w:ind w:firstLine="482" w:firstLineChars="200"/>
              <w:rPr>
                <w:b/>
                <w:sz w:val="24"/>
              </w:rPr>
            </w:pPr>
            <w:r>
              <w:rPr>
                <w:rFonts w:hint="eastAsia"/>
                <w:b/>
                <w:sz w:val="24"/>
              </w:rPr>
              <w:t>1、施工扬尘</w:t>
            </w:r>
          </w:p>
          <w:p w14:paraId="599510AB">
            <w:pPr>
              <w:adjustRightInd w:val="0"/>
              <w:snapToGrid w:val="0"/>
              <w:spacing w:line="360" w:lineRule="auto"/>
              <w:ind w:firstLine="480" w:firstLineChars="200"/>
              <w:rPr>
                <w:sz w:val="24"/>
              </w:rPr>
            </w:pPr>
            <w:r>
              <w:rPr>
                <w:rFonts w:hint="eastAsia"/>
                <w:sz w:val="24"/>
              </w:rPr>
              <w:t>本项目购买商品混凝土，不存在灰土搅拌产生的扬尘影响；主要影响为建筑物拆除、土石方施工、材料堆放、建筑材料装卸过程产生的扬尘。类比同类型项目，在无任何防尘措施的情况下，施工现场对周围环境的影响较严重，污染范围约在150m范围内，TSP最大污染浓度是对照点的6.39倍；而在有防尘措施的情况下，污染范围降至50m范围内，最高污染浓度是对照点的4.04倍，最大污染浓度较无防尘措施降低了0.479mg/m</w:t>
            </w:r>
            <w:r>
              <w:rPr>
                <w:rFonts w:hint="eastAsia"/>
                <w:sz w:val="24"/>
                <w:vertAlign w:val="superscript"/>
              </w:rPr>
              <w:t>3</w:t>
            </w:r>
            <w:r>
              <w:rPr>
                <w:rFonts w:hint="eastAsia"/>
                <w:sz w:val="24"/>
              </w:rPr>
              <w:t>。为减轻施工期环境空气污染，建设单位应采取如下污染控制措施：</w:t>
            </w:r>
          </w:p>
          <w:p w14:paraId="4D397CCB">
            <w:pPr>
              <w:adjustRightInd w:val="0"/>
              <w:snapToGrid w:val="0"/>
              <w:spacing w:line="360" w:lineRule="auto"/>
              <w:ind w:firstLine="480" w:firstLineChars="200"/>
              <w:rPr>
                <w:bCs/>
                <w:sz w:val="24"/>
              </w:rPr>
            </w:pPr>
            <w:r>
              <w:rPr>
                <w:rFonts w:hint="eastAsia"/>
                <w:bCs/>
                <w:sz w:val="24"/>
              </w:rPr>
              <w:t>①按照《衡阳市扬尘污染防治条例》和扬尘污染管控“八个100%</w:t>
            </w:r>
            <w:r>
              <w:rPr>
                <w:rFonts w:ascii="宋体" w:hAnsi="宋体"/>
                <w:bCs/>
                <w:sz w:val="24"/>
              </w:rPr>
              <w:t>”</w:t>
            </w:r>
            <w:r>
              <w:rPr>
                <w:rFonts w:hint="eastAsia"/>
                <w:bCs/>
                <w:sz w:val="24"/>
              </w:rPr>
              <w:t>的要求，全面落实建筑施工工地抑尘措施：施工工地现场围挡和外架防护100%全封闭，围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14:paraId="24572EA5">
            <w:pPr>
              <w:adjustRightInd w:val="0"/>
              <w:snapToGrid w:val="0"/>
              <w:spacing w:line="360" w:lineRule="auto"/>
              <w:ind w:firstLine="480" w:firstLineChars="200"/>
              <w:rPr>
                <w:bCs/>
                <w:sz w:val="24"/>
              </w:rPr>
            </w:pPr>
            <w:r>
              <w:rPr>
                <w:rFonts w:hint="eastAsia"/>
                <w:bCs/>
                <w:sz w:val="24"/>
              </w:rPr>
              <w:t>②加强施工扬尘监管，积极推进绿色施工，建设工程施工现场应全封闭设置围挡，严禁敞开式作业；渣土运输车辆应采取密闭措施，推行道路机械化清扫等低尘作业方式。</w:t>
            </w:r>
          </w:p>
          <w:p w14:paraId="5C930418">
            <w:pPr>
              <w:adjustRightInd w:val="0"/>
              <w:snapToGrid w:val="0"/>
              <w:spacing w:line="360" w:lineRule="auto"/>
              <w:ind w:firstLine="480" w:firstLineChars="200"/>
              <w:rPr>
                <w:bCs/>
                <w:sz w:val="24"/>
              </w:rPr>
            </w:pPr>
            <w:r>
              <w:rPr>
                <w:rFonts w:hint="eastAsia"/>
                <w:bCs/>
                <w:sz w:val="24"/>
              </w:rPr>
              <w:t>③在施工过程中，临近敏感点作业场地需连续设置不低于1.5m高的围挡，并做到坚固美观，既可以保障施工安全，又能够减少对沿线近距离敏感点的影响。</w:t>
            </w:r>
          </w:p>
          <w:p w14:paraId="79E7C61B">
            <w:pPr>
              <w:adjustRightInd w:val="0"/>
              <w:snapToGrid w:val="0"/>
              <w:spacing w:line="360" w:lineRule="auto"/>
              <w:ind w:firstLine="480" w:firstLineChars="200"/>
              <w:rPr>
                <w:bCs/>
                <w:sz w:val="24"/>
              </w:rPr>
            </w:pPr>
            <w:r>
              <w:rPr>
                <w:rFonts w:hint="eastAsia"/>
                <w:bCs/>
                <w:sz w:val="24"/>
              </w:rPr>
              <w:t>④在施工场地安排员工定期对施工场地洒水以减少扬尘量，洒水次数根据天气状况而定，一般每天洒水4～5次，若遇到大风或干燥天气可适当增加洒水次数。</w:t>
            </w:r>
          </w:p>
          <w:p w14:paraId="6B835BC5">
            <w:pPr>
              <w:adjustRightInd w:val="0"/>
              <w:snapToGrid w:val="0"/>
              <w:spacing w:line="360" w:lineRule="auto"/>
              <w:ind w:firstLine="480" w:firstLineChars="200"/>
              <w:rPr>
                <w:bCs/>
                <w:sz w:val="24"/>
              </w:rPr>
            </w:pPr>
            <w:r>
              <w:rPr>
                <w:rFonts w:hint="eastAsia"/>
                <w:bCs/>
                <w:sz w:val="24"/>
              </w:rPr>
              <w:t>⑤加强回填土方管理，制定土方表面压实、定期喷水、覆盖等措施。不需要的弃土、垃圾应及时运走，不宜长时间堆积，暂时不能运出施工工地的土方，应采取集中堆放、压实、覆盖以及适时洒水等有效的控制扬尘措施，减少泥土裸露时间和裸露面积，防止泥土扬尘产生。对于闲置3~6个月以上的现场空地，必须进行硬化、覆盖或临时绿化等处理。</w:t>
            </w:r>
          </w:p>
          <w:p w14:paraId="32B7AB6A">
            <w:pPr>
              <w:adjustRightInd w:val="0"/>
              <w:snapToGrid w:val="0"/>
              <w:spacing w:line="360" w:lineRule="auto"/>
              <w:ind w:firstLine="480" w:firstLineChars="200"/>
              <w:rPr>
                <w:bCs/>
                <w:sz w:val="24"/>
              </w:rPr>
            </w:pPr>
            <w:r>
              <w:rPr>
                <w:rFonts w:hint="eastAsia"/>
                <w:bCs/>
                <w:sz w:val="24"/>
              </w:rPr>
              <w:t>⑥施工工地中任何易产生扬尘的物料，必须采取覆盖措施；砂石料堆积边坡角度不宜过大，并适当保持湿润，防止被风吹散，必要时堆放的土石料应用遮布盖住，避免风吹起尘。</w:t>
            </w:r>
          </w:p>
          <w:p w14:paraId="7D434E24">
            <w:pPr>
              <w:adjustRightInd w:val="0"/>
              <w:snapToGrid w:val="0"/>
              <w:spacing w:line="360" w:lineRule="auto"/>
              <w:ind w:firstLine="480" w:firstLineChars="200"/>
              <w:rPr>
                <w:bCs/>
                <w:sz w:val="24"/>
              </w:rPr>
            </w:pPr>
            <w:r>
              <w:rPr>
                <w:rFonts w:hint="eastAsia"/>
                <w:bCs/>
                <w:sz w:val="24"/>
              </w:rPr>
              <w:t>⑦施工工地不得使用有明显无组织排放的中小型粉碎、切割、锯刨等机械设备；施工机械在挖土、运土、堆土作业时必须符合扬尘控制的要求。</w:t>
            </w:r>
          </w:p>
          <w:p w14:paraId="4D2BFCF1">
            <w:pPr>
              <w:adjustRightInd w:val="0"/>
              <w:snapToGrid w:val="0"/>
              <w:spacing w:line="360" w:lineRule="auto"/>
              <w:ind w:firstLine="480" w:firstLineChars="200"/>
              <w:rPr>
                <w:bCs/>
                <w:sz w:val="24"/>
              </w:rPr>
            </w:pPr>
            <w:r>
              <w:rPr>
                <w:rFonts w:hint="eastAsia"/>
                <w:bCs/>
                <w:sz w:val="24"/>
              </w:rPr>
              <w:t>⑧对运输建筑材料及渣土的车辆加盖篷布减少洒落；同时，车辆进出装卸场地时在洗车台用水将轮胎冲洗干净；</w:t>
            </w:r>
          </w:p>
          <w:p w14:paraId="1FC42684">
            <w:pPr>
              <w:adjustRightInd w:val="0"/>
              <w:snapToGrid w:val="0"/>
              <w:spacing w:line="360" w:lineRule="auto"/>
              <w:ind w:firstLine="480" w:firstLineChars="200"/>
              <w:rPr>
                <w:bCs/>
                <w:sz w:val="24"/>
              </w:rPr>
            </w:pPr>
            <w:r>
              <w:rPr>
                <w:rFonts w:hint="eastAsia"/>
                <w:bCs/>
                <w:sz w:val="24"/>
              </w:rPr>
              <w:t>⑨运输车辆应规划好合理的运输路线，尽可能避免穿过中心集镇及居民较多的地区，减轻扬尘对居民的影响。</w:t>
            </w:r>
          </w:p>
          <w:p w14:paraId="3BA0E230">
            <w:pPr>
              <w:adjustRightInd w:val="0"/>
              <w:snapToGrid w:val="0"/>
              <w:spacing w:line="360" w:lineRule="auto"/>
              <w:ind w:firstLine="480" w:firstLineChars="200"/>
              <w:rPr>
                <w:bCs/>
                <w:sz w:val="24"/>
              </w:rPr>
            </w:pPr>
            <w:r>
              <w:rPr>
                <w:rFonts w:hint="eastAsia"/>
                <w:bCs/>
                <w:sz w:val="24"/>
              </w:rPr>
              <w:t>总之，只要加强施工期管理、切实落实好以上污染防治措施，施工场地扬尘对周边大气环境的影响将会大大降低，同时其对环境的影响也将随施工的结束而消失，措施有效。</w:t>
            </w:r>
          </w:p>
          <w:p w14:paraId="235505F5">
            <w:pPr>
              <w:adjustRightInd w:val="0"/>
              <w:snapToGrid w:val="0"/>
              <w:spacing w:line="360" w:lineRule="auto"/>
              <w:ind w:firstLine="482" w:firstLineChars="200"/>
              <w:rPr>
                <w:b/>
                <w:kern w:val="0"/>
                <w:sz w:val="24"/>
              </w:rPr>
            </w:pPr>
            <w:r>
              <w:rPr>
                <w:rFonts w:hint="eastAsia"/>
                <w:b/>
                <w:bCs/>
                <w:sz w:val="24"/>
              </w:rPr>
              <w:t>2、</w:t>
            </w:r>
            <w:r>
              <w:rPr>
                <w:b/>
                <w:kern w:val="0"/>
                <w:sz w:val="24"/>
              </w:rPr>
              <w:t>施工</w:t>
            </w:r>
            <w:r>
              <w:rPr>
                <w:rFonts w:hint="eastAsia"/>
                <w:b/>
                <w:kern w:val="0"/>
                <w:sz w:val="24"/>
              </w:rPr>
              <w:t>机械、车辆</w:t>
            </w:r>
            <w:r>
              <w:rPr>
                <w:b/>
                <w:kern w:val="0"/>
                <w:sz w:val="24"/>
              </w:rPr>
              <w:t>尾气</w:t>
            </w:r>
          </w:p>
          <w:p w14:paraId="210A0E39">
            <w:pPr>
              <w:spacing w:line="360" w:lineRule="auto"/>
              <w:ind w:firstLine="480" w:firstLineChars="200"/>
              <w:rPr>
                <w:kern w:val="0"/>
                <w:sz w:val="24"/>
              </w:rPr>
            </w:pPr>
            <w:r>
              <w:rPr>
                <w:kern w:val="0"/>
                <w:sz w:val="24"/>
              </w:rPr>
              <w:t>为了减轻施工</w:t>
            </w:r>
            <w:r>
              <w:rPr>
                <w:rFonts w:hint="eastAsia"/>
                <w:kern w:val="0"/>
                <w:sz w:val="24"/>
              </w:rPr>
              <w:t>机械</w:t>
            </w:r>
            <w:r>
              <w:rPr>
                <w:kern w:val="0"/>
                <w:sz w:val="24"/>
              </w:rPr>
              <w:t>尾气的影响，建议采取以下防治措施：</w:t>
            </w:r>
          </w:p>
          <w:p w14:paraId="436C300F">
            <w:pPr>
              <w:spacing w:line="360" w:lineRule="auto"/>
              <w:ind w:firstLine="480" w:firstLineChars="200"/>
              <w:rPr>
                <w:kern w:val="0"/>
                <w:sz w:val="24"/>
              </w:rPr>
            </w:pPr>
            <w:r>
              <w:rPr>
                <w:rFonts w:hint="eastAsia"/>
                <w:kern w:val="0"/>
                <w:sz w:val="24"/>
              </w:rPr>
              <w:t>（1）施工现场应合理布置车辆运输路线，配合有关部门搞好施工期间周围道路的交通组织，保证行驶速度，减少怠速时间，以减少机动车尾气的排放。</w:t>
            </w:r>
          </w:p>
          <w:p w14:paraId="24A2824E">
            <w:pPr>
              <w:spacing w:line="360" w:lineRule="auto"/>
              <w:ind w:firstLine="480" w:firstLineChars="200"/>
              <w:rPr>
                <w:kern w:val="0"/>
                <w:sz w:val="24"/>
              </w:rPr>
            </w:pPr>
            <w:r>
              <w:rPr>
                <w:kern w:val="0"/>
                <w:sz w:val="24"/>
              </w:rPr>
              <w:t>（</w:t>
            </w:r>
            <w:r>
              <w:rPr>
                <w:rFonts w:hint="eastAsia"/>
                <w:kern w:val="0"/>
                <w:sz w:val="24"/>
              </w:rPr>
              <w:t>2</w:t>
            </w:r>
            <w:r>
              <w:rPr>
                <w:kern w:val="0"/>
                <w:sz w:val="24"/>
              </w:rPr>
              <w:t>）尽量选用低能耗、低污染排放的施工机械、车辆</w:t>
            </w:r>
            <w:r>
              <w:rPr>
                <w:rFonts w:hint="eastAsia"/>
                <w:kern w:val="0"/>
                <w:sz w:val="24"/>
              </w:rPr>
              <w:t>。</w:t>
            </w:r>
          </w:p>
          <w:p w14:paraId="626EB39F">
            <w:pPr>
              <w:spacing w:line="360" w:lineRule="auto"/>
              <w:ind w:firstLine="480" w:firstLineChars="200"/>
              <w:rPr>
                <w:kern w:val="0"/>
                <w:sz w:val="24"/>
              </w:rPr>
            </w:pPr>
            <w:r>
              <w:rPr>
                <w:kern w:val="0"/>
                <w:sz w:val="24"/>
              </w:rPr>
              <w:t>（</w:t>
            </w:r>
            <w:r>
              <w:rPr>
                <w:rFonts w:hint="eastAsia"/>
                <w:kern w:val="0"/>
                <w:sz w:val="24"/>
              </w:rPr>
              <w:t>3</w:t>
            </w:r>
            <w:r>
              <w:rPr>
                <w:kern w:val="0"/>
                <w:sz w:val="24"/>
              </w:rPr>
              <w:t>）不得使用劣质燃料，尽量选用</w:t>
            </w:r>
            <w:r>
              <w:rPr>
                <w:rFonts w:hint="eastAsia"/>
                <w:kern w:val="0"/>
                <w:sz w:val="24"/>
              </w:rPr>
              <w:t>产污少、利用率高</w:t>
            </w:r>
            <w:r>
              <w:rPr>
                <w:kern w:val="0"/>
                <w:sz w:val="24"/>
              </w:rPr>
              <w:t>的</w:t>
            </w:r>
            <w:r>
              <w:rPr>
                <w:rFonts w:hint="eastAsia"/>
                <w:kern w:val="0"/>
                <w:sz w:val="24"/>
              </w:rPr>
              <w:t>环保</w:t>
            </w:r>
            <w:r>
              <w:rPr>
                <w:kern w:val="0"/>
                <w:sz w:val="24"/>
              </w:rPr>
              <w:t>燃料。</w:t>
            </w:r>
          </w:p>
          <w:p w14:paraId="19126AD8">
            <w:pPr>
              <w:adjustRightInd w:val="0"/>
              <w:snapToGrid w:val="0"/>
              <w:spacing w:line="360" w:lineRule="auto"/>
              <w:ind w:firstLine="480" w:firstLineChars="200"/>
              <w:rPr>
                <w:b/>
                <w:kern w:val="0"/>
                <w:sz w:val="24"/>
              </w:rPr>
            </w:pPr>
            <w:r>
              <w:rPr>
                <w:rFonts w:hint="eastAsia"/>
                <w:kern w:val="0"/>
                <w:sz w:val="24"/>
              </w:rPr>
              <w:t>（4）加强对施工机械、运输车辆的维修保养，禁止施工机械超负荷工作和运输车辆超载。</w:t>
            </w:r>
          </w:p>
          <w:p w14:paraId="1CE35872">
            <w:pPr>
              <w:adjustRightInd w:val="0"/>
              <w:snapToGrid w:val="0"/>
              <w:spacing w:line="360" w:lineRule="auto"/>
              <w:ind w:firstLine="482" w:firstLineChars="200"/>
              <w:rPr>
                <w:b/>
                <w:sz w:val="24"/>
              </w:rPr>
            </w:pPr>
            <w:r>
              <w:rPr>
                <w:rFonts w:hint="eastAsia"/>
                <w:b/>
                <w:sz w:val="24"/>
              </w:rPr>
              <w:t>3、建筑装饰废气</w:t>
            </w:r>
          </w:p>
          <w:p w14:paraId="5CD7F702">
            <w:pPr>
              <w:spacing w:line="360" w:lineRule="auto"/>
              <w:ind w:firstLine="480" w:firstLineChars="200"/>
              <w:rPr>
                <w:kern w:val="0"/>
                <w:sz w:val="24"/>
              </w:rPr>
            </w:pPr>
            <w:r>
              <w:rPr>
                <w:kern w:val="0"/>
                <w:sz w:val="24"/>
              </w:rPr>
              <w:t>为了减轻</w:t>
            </w:r>
            <w:r>
              <w:rPr>
                <w:rFonts w:hint="eastAsia"/>
                <w:sz w:val="24"/>
              </w:rPr>
              <w:t>建筑装饰废气</w:t>
            </w:r>
            <w:r>
              <w:rPr>
                <w:kern w:val="0"/>
                <w:sz w:val="24"/>
              </w:rPr>
              <w:t>的影响，建议采取以下防治措施：</w:t>
            </w:r>
          </w:p>
          <w:p w14:paraId="4C326FDF">
            <w:pPr>
              <w:adjustRightInd w:val="0"/>
              <w:snapToGrid w:val="0"/>
              <w:spacing w:line="360" w:lineRule="auto"/>
              <w:ind w:firstLine="480" w:firstLineChars="200"/>
              <w:rPr>
                <w:sz w:val="24"/>
              </w:rPr>
            </w:pPr>
            <w:r>
              <w:rPr>
                <w:rFonts w:hint="eastAsia"/>
                <w:sz w:val="24"/>
              </w:rPr>
              <w:t>（1）采用符合标准的建筑材料，保证建材、有机溶剂和辅助添加剂无毒无害，做到健康设计原则。</w:t>
            </w:r>
          </w:p>
          <w:p w14:paraId="2670AC02">
            <w:pPr>
              <w:adjustRightInd w:val="0"/>
              <w:snapToGrid w:val="0"/>
              <w:spacing w:line="360" w:lineRule="auto"/>
              <w:ind w:firstLine="480" w:firstLineChars="200"/>
              <w:rPr>
                <w:sz w:val="24"/>
                <w:lang w:val="zh-CN"/>
              </w:rPr>
            </w:pPr>
            <w:r>
              <w:rPr>
                <w:rFonts w:hint="eastAsia"/>
                <w:sz w:val="24"/>
              </w:rPr>
              <w:t>（2）加强室内通风</w:t>
            </w:r>
            <w:r>
              <w:rPr>
                <w:sz w:val="24"/>
                <w:lang w:val="zh-CN"/>
              </w:rPr>
              <w:t>。</w:t>
            </w:r>
          </w:p>
          <w:p w14:paraId="5EEDB307">
            <w:pPr>
              <w:adjustRightInd w:val="0"/>
              <w:snapToGrid w:val="0"/>
              <w:spacing w:line="360" w:lineRule="auto"/>
              <w:ind w:firstLine="482" w:firstLineChars="200"/>
              <w:rPr>
                <w:b/>
                <w:sz w:val="24"/>
              </w:rPr>
            </w:pPr>
            <w:r>
              <w:rPr>
                <w:rFonts w:hint="eastAsia"/>
                <w:b/>
                <w:sz w:val="24"/>
              </w:rPr>
              <w:t>二、施工废水防治措施</w:t>
            </w:r>
          </w:p>
          <w:p w14:paraId="36B16D60">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施工期废水包括施工人员的生活污水和施工废水（泥浆水、基坑开挖排水、混凝土养护水、施工设备清洗及进出车辆冲洗废水），施工废水污染治理措施如下：</w:t>
            </w:r>
          </w:p>
          <w:p w14:paraId="056F8070">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1</w:t>
            </w:r>
            <w:r>
              <w:rPr>
                <w:rFonts w:hint="eastAsia" w:ascii="宋体" w:hAnsi="宋体"/>
                <w:kern w:val="0"/>
                <w:sz w:val="24"/>
              </w:rPr>
              <w:t>）生活污水经临时化粪池处理后，用作农肥，此方法在周边有耕地的地方普遍采用，可减少耕地化肥的施用量，有利于保护环境。</w:t>
            </w:r>
          </w:p>
          <w:p w14:paraId="4459B0DF">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2</w:t>
            </w:r>
            <w:r>
              <w:rPr>
                <w:rFonts w:hint="eastAsia" w:ascii="宋体" w:hAnsi="宋体"/>
                <w:kern w:val="0"/>
                <w:sz w:val="24"/>
              </w:rPr>
              <w:t>）水泥、黄沙类的建筑材料需集中堆放，四周必须开挖明沟和沉沙井，必要时还要设置阻隔挡墙，防止暴雨径流引起水体污染。及时清扫施工运输过程中抛射的建筑材料，物料堆场。</w:t>
            </w:r>
          </w:p>
          <w:p w14:paraId="232DAEDC">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3</w:t>
            </w:r>
            <w:r>
              <w:rPr>
                <w:rFonts w:hint="eastAsia" w:ascii="宋体" w:hAnsi="宋体"/>
                <w:kern w:val="0"/>
                <w:sz w:val="24"/>
              </w:rPr>
              <w:t>）建设单位严禁任何废水未经处理随意排放，施工泥浆水须经沉淀池沉淀后全部回用；污水沉淀时间应大于</w:t>
            </w:r>
            <w:r>
              <w:rPr>
                <w:rFonts w:hint="eastAsia"/>
                <w:kern w:val="0"/>
                <w:sz w:val="24"/>
              </w:rPr>
              <w:t>2</w:t>
            </w:r>
            <w:r>
              <w:rPr>
                <w:rFonts w:hint="eastAsia" w:ascii="宋体" w:hAnsi="宋体"/>
                <w:kern w:val="0"/>
                <w:sz w:val="24"/>
              </w:rPr>
              <w:t>小时，因此须在工地施工出口处，设置一个</w:t>
            </w:r>
            <w:r>
              <w:rPr>
                <w:rFonts w:hint="eastAsia"/>
                <w:kern w:val="0"/>
                <w:sz w:val="24"/>
              </w:rPr>
              <w:t>30m</w:t>
            </w:r>
            <w:r>
              <w:rPr>
                <w:rFonts w:hint="eastAsia" w:hAnsi="宋体"/>
                <w:kern w:val="0"/>
                <w:sz w:val="24"/>
                <w:vertAlign w:val="superscript"/>
              </w:rPr>
              <w:t>3</w:t>
            </w:r>
            <w:r>
              <w:rPr>
                <w:rFonts w:hint="eastAsia" w:ascii="宋体" w:hAnsi="宋体"/>
                <w:kern w:val="0"/>
                <w:sz w:val="24"/>
              </w:rPr>
              <w:t>的施工期车辆清洗设施和沉淀池，以收集施工污水，清洗废水经沉淀池澄清后循环使用于生产或者路面养护，本项目设</w:t>
            </w:r>
            <w:r>
              <w:rPr>
                <w:rFonts w:hint="eastAsia" w:hAnsi="宋体"/>
                <w:kern w:val="0"/>
                <w:sz w:val="24"/>
              </w:rPr>
              <w:t>2</w:t>
            </w:r>
            <w:r>
              <w:rPr>
                <w:rFonts w:hint="eastAsia" w:ascii="宋体" w:hAnsi="宋体"/>
                <w:kern w:val="0"/>
                <w:sz w:val="24"/>
              </w:rPr>
              <w:t>个贮水池，污水产生量较多如不能及时回用时可进入贮水池暂时贮存，施工废水不外排。</w:t>
            </w:r>
          </w:p>
          <w:p w14:paraId="2459DE58">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4</w:t>
            </w:r>
            <w:r>
              <w:rPr>
                <w:rFonts w:hint="eastAsia" w:ascii="宋体" w:hAnsi="宋体"/>
                <w:kern w:val="0"/>
                <w:sz w:val="24"/>
              </w:rPr>
              <w:t>）在施工工地周界应设置排水明沟，场地冲洗废水和施工场地初期雨水，经隔油沉淀处理后用于生产或者路面养护。</w:t>
            </w:r>
          </w:p>
          <w:p w14:paraId="0EEBC63F">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5</w:t>
            </w:r>
            <w:r>
              <w:rPr>
                <w:rFonts w:hint="eastAsia" w:ascii="宋体" w:hAnsi="宋体"/>
                <w:kern w:val="0"/>
                <w:sz w:val="24"/>
              </w:rPr>
              <w:t>）为了减少养护废水对水环境的影响，在养护洒水过程中，采取少量多次，确保路面湿润而水不流到环境中。</w:t>
            </w:r>
          </w:p>
          <w:p w14:paraId="00FDDD08">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6</w:t>
            </w:r>
            <w:r>
              <w:rPr>
                <w:rFonts w:hint="eastAsia" w:ascii="宋体" w:hAnsi="宋体"/>
                <w:kern w:val="0"/>
                <w:sz w:val="24"/>
              </w:rPr>
              <w:t>）在施工过程中应加强对机械设备的检修，防止设备漏油现象的发生。施工机械设备的维修应在专业厂家进行，防止施工现场地表油类污染</w:t>
            </w:r>
            <w:r>
              <w:rPr>
                <w:rFonts w:hint="eastAsia"/>
                <w:kern w:val="0"/>
                <w:sz w:val="24"/>
              </w:rPr>
              <w:t>;</w:t>
            </w:r>
            <w:r>
              <w:rPr>
                <w:rFonts w:hint="eastAsia" w:ascii="宋体" w:hAnsi="宋体"/>
                <w:kern w:val="0"/>
                <w:sz w:val="24"/>
              </w:rPr>
              <w:t>定时清洁建筑施工机械表面不必要的润滑油及其它油污，尽量减小建筑施工机械设备与水体的直接接触。</w:t>
            </w:r>
          </w:p>
          <w:p w14:paraId="2D215B1C">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7</w:t>
            </w:r>
            <w:r>
              <w:rPr>
                <w:rFonts w:hint="eastAsia" w:ascii="宋体" w:hAnsi="宋体"/>
                <w:kern w:val="0"/>
                <w:sz w:val="24"/>
              </w:rPr>
              <w:t>）建筑材料运输及堆放过程必须严格按照交通部有关规范规定，在施工中应根据不同建筑材料的特点，有针对性的加强保护管理措施，禁止废物和有毒物质进入水体。</w:t>
            </w:r>
          </w:p>
          <w:p w14:paraId="3E931E83">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w:t>
            </w:r>
            <w:r>
              <w:rPr>
                <w:rFonts w:hint="eastAsia" w:hAnsi="宋体"/>
                <w:kern w:val="0"/>
                <w:sz w:val="24"/>
              </w:rPr>
              <w:t>8</w:t>
            </w:r>
            <w:r>
              <w:rPr>
                <w:rFonts w:hint="eastAsia" w:ascii="宋体" w:hAnsi="宋体"/>
                <w:kern w:val="0"/>
                <w:sz w:val="24"/>
              </w:rPr>
              <w:t>）土方随挖随填，随铺随压，以减少水土流失。</w:t>
            </w:r>
          </w:p>
          <w:p w14:paraId="18759379">
            <w:pPr>
              <w:adjustRightInd w:val="0"/>
              <w:snapToGrid w:val="0"/>
              <w:spacing w:line="360" w:lineRule="auto"/>
              <w:ind w:firstLine="482" w:firstLineChars="200"/>
              <w:rPr>
                <w:b/>
                <w:bCs/>
                <w:sz w:val="24"/>
              </w:rPr>
            </w:pPr>
            <w:r>
              <w:rPr>
                <w:rFonts w:hint="eastAsia"/>
                <w:b/>
                <w:bCs/>
                <w:sz w:val="24"/>
              </w:rPr>
              <w:t>三、施工期声环境保护措施</w:t>
            </w:r>
          </w:p>
          <w:p w14:paraId="3F742452">
            <w:pPr>
              <w:spacing w:line="360" w:lineRule="auto"/>
              <w:ind w:firstLine="480" w:firstLineChars="200"/>
              <w:rPr>
                <w:sz w:val="24"/>
              </w:rPr>
            </w:pPr>
            <w:r>
              <w:rPr>
                <w:rFonts w:hint="eastAsia" w:ascii="宋体" w:hAnsi="宋体"/>
                <w:sz w:val="24"/>
              </w:rPr>
              <w:t>施工期的噪声主要可分为机械噪声、施工作业噪声和施工车辆噪声等，可分别采取相应的控制措施，防止噪声影响周围环境和人们的正常生活，评价建议：</w:t>
            </w:r>
          </w:p>
          <w:p w14:paraId="4CEEDE2C">
            <w:pPr>
              <w:spacing w:line="360" w:lineRule="auto"/>
              <w:ind w:firstLine="480" w:firstLineChars="200"/>
              <w:rPr>
                <w:sz w:val="24"/>
              </w:rPr>
            </w:pPr>
            <w:r>
              <w:rPr>
                <w:rFonts w:hint="eastAsia" w:ascii="宋体" w:hAnsi="宋体"/>
                <w:sz w:val="24"/>
              </w:rPr>
              <w:t>（</w:t>
            </w:r>
            <w:r>
              <w:rPr>
                <w:rFonts w:hint="eastAsia"/>
                <w:sz w:val="24"/>
              </w:rPr>
              <w:t>1</w:t>
            </w:r>
            <w:r>
              <w:rPr>
                <w:rFonts w:hint="eastAsia" w:ascii="宋体" w:hAnsi="宋体"/>
                <w:sz w:val="24"/>
              </w:rPr>
              <w:t>）使用低噪声机械设备，同时在施工过程中施工单位应设专人对设备进行定期保养和维护，并负责对现场工作人员进行培训，严格按操作规范使用各类机械。</w:t>
            </w:r>
          </w:p>
          <w:p w14:paraId="69F68DEF">
            <w:pPr>
              <w:spacing w:line="360" w:lineRule="auto"/>
              <w:ind w:firstLine="480" w:firstLineChars="200"/>
              <w:rPr>
                <w:sz w:val="24"/>
              </w:rPr>
            </w:pPr>
            <w:r>
              <w:rPr>
                <w:rFonts w:hint="eastAsia" w:ascii="宋体" w:hAnsi="宋体"/>
                <w:sz w:val="24"/>
              </w:rPr>
              <w:t>（</w:t>
            </w:r>
            <w:r>
              <w:rPr>
                <w:rFonts w:hint="eastAsia"/>
                <w:sz w:val="24"/>
              </w:rPr>
              <w:t>2</w:t>
            </w:r>
            <w:r>
              <w:rPr>
                <w:rFonts w:hint="eastAsia" w:ascii="宋体" w:hAnsi="宋体"/>
                <w:sz w:val="24"/>
              </w:rPr>
              <w:t>）对高噪声的施工机械要采取一定的减震、隔音等降噪措施，定期检查施工设备，一发现产生的噪声增加应及时维修或更换。</w:t>
            </w:r>
          </w:p>
          <w:p w14:paraId="28CA14F0">
            <w:pPr>
              <w:spacing w:line="360" w:lineRule="auto"/>
              <w:ind w:firstLine="480" w:firstLineChars="200"/>
              <w:rPr>
                <w:sz w:val="24"/>
              </w:rPr>
            </w:pPr>
            <w:r>
              <w:rPr>
                <w:rFonts w:hint="eastAsia" w:ascii="宋体" w:hAnsi="宋体"/>
                <w:sz w:val="24"/>
              </w:rPr>
              <w:t>（</w:t>
            </w:r>
            <w:r>
              <w:rPr>
                <w:rFonts w:hint="eastAsia"/>
                <w:sz w:val="24"/>
              </w:rPr>
              <w:t>3</w:t>
            </w:r>
            <w:r>
              <w:rPr>
                <w:rFonts w:hint="eastAsia" w:ascii="宋体" w:hAnsi="宋体"/>
                <w:sz w:val="24"/>
              </w:rPr>
              <w:t>）合理安排施工计划和施工机械设备组合以及施工时间，避免在同一时间集中使用大量的动力机械设备。</w:t>
            </w:r>
          </w:p>
          <w:p w14:paraId="36D3ACF9">
            <w:pPr>
              <w:spacing w:line="360" w:lineRule="auto"/>
              <w:ind w:firstLine="480" w:firstLineChars="200"/>
              <w:rPr>
                <w:sz w:val="24"/>
              </w:rPr>
            </w:pPr>
            <w:r>
              <w:rPr>
                <w:rFonts w:hint="eastAsia" w:ascii="宋体" w:hAnsi="宋体"/>
                <w:sz w:val="24"/>
              </w:rPr>
              <w:t>（</w:t>
            </w:r>
            <w:r>
              <w:rPr>
                <w:rFonts w:hint="eastAsia"/>
                <w:sz w:val="24"/>
              </w:rPr>
              <w:t>4</w:t>
            </w:r>
            <w:r>
              <w:rPr>
                <w:rFonts w:hint="eastAsia" w:ascii="宋体" w:hAnsi="宋体"/>
                <w:sz w:val="24"/>
              </w:rPr>
              <w:t>）对施工进行合理布局，尽量使高噪声的机械设备远离环境敏感点。</w:t>
            </w:r>
          </w:p>
          <w:p w14:paraId="4FFBE3A1">
            <w:pPr>
              <w:spacing w:line="360" w:lineRule="auto"/>
              <w:ind w:firstLine="480" w:firstLineChars="200"/>
              <w:rPr>
                <w:sz w:val="24"/>
              </w:rPr>
            </w:pPr>
            <w:r>
              <w:rPr>
                <w:rFonts w:hint="eastAsia" w:ascii="宋体" w:hAnsi="宋体"/>
                <w:sz w:val="24"/>
              </w:rPr>
              <w:t>（</w:t>
            </w:r>
            <w:r>
              <w:rPr>
                <w:rFonts w:hint="eastAsia"/>
                <w:sz w:val="24"/>
              </w:rPr>
              <w:t>5</w:t>
            </w:r>
            <w:r>
              <w:rPr>
                <w:rFonts w:hint="eastAsia" w:ascii="宋体" w:hAnsi="宋体"/>
                <w:sz w:val="24"/>
              </w:rPr>
              <w:t>）在施工场地周围有敏感点的地方设立临时声屏障，在高噪声的机械设备旁建立独立声屏障，以减轻没备噪声对周围环境的影响。</w:t>
            </w:r>
          </w:p>
          <w:p w14:paraId="0C7B3949">
            <w:pPr>
              <w:spacing w:line="360" w:lineRule="auto"/>
              <w:ind w:firstLine="480" w:firstLineChars="200"/>
              <w:rPr>
                <w:sz w:val="24"/>
              </w:rPr>
            </w:pPr>
            <w:r>
              <w:rPr>
                <w:rFonts w:hint="eastAsia" w:ascii="宋体" w:hAnsi="宋体"/>
                <w:sz w:val="24"/>
              </w:rPr>
              <w:t>（</w:t>
            </w:r>
            <w:r>
              <w:rPr>
                <w:rFonts w:hint="eastAsia"/>
                <w:sz w:val="24"/>
              </w:rPr>
              <w:t>6</w:t>
            </w:r>
            <w:r>
              <w:rPr>
                <w:rFonts w:hint="eastAsia" w:ascii="宋体" w:hAnsi="宋体"/>
                <w:sz w:val="24"/>
              </w:rPr>
              <w:t>）车辆出入现场时应低速、禁鸣。</w:t>
            </w:r>
          </w:p>
          <w:p w14:paraId="506E1E6D">
            <w:pPr>
              <w:spacing w:line="360" w:lineRule="auto"/>
              <w:ind w:firstLine="480" w:firstLineChars="200"/>
              <w:rPr>
                <w:sz w:val="24"/>
              </w:rPr>
            </w:pPr>
            <w:r>
              <w:rPr>
                <w:rFonts w:hint="eastAsia" w:ascii="宋体" w:hAnsi="宋体"/>
                <w:sz w:val="24"/>
              </w:rPr>
              <w:t>（</w:t>
            </w:r>
            <w:r>
              <w:rPr>
                <w:rFonts w:hint="eastAsia"/>
                <w:sz w:val="24"/>
              </w:rPr>
              <w:t>7</w:t>
            </w:r>
            <w:r>
              <w:rPr>
                <w:rFonts w:hint="eastAsia" w:ascii="宋体" w:hAnsi="宋体"/>
                <w:sz w:val="24"/>
              </w:rPr>
              <w:t>）建设管理部门加强对施工场地的噪声管理，施工企业也应对施工噪声进行自律，文明施工，避免因施工噪声产生纠纷。</w:t>
            </w:r>
          </w:p>
          <w:p w14:paraId="5B73C58F">
            <w:pPr>
              <w:adjustRightInd w:val="0"/>
              <w:snapToGrid w:val="0"/>
              <w:spacing w:line="360" w:lineRule="auto"/>
              <w:ind w:firstLine="482" w:firstLineChars="200"/>
              <w:rPr>
                <w:b/>
                <w:bCs/>
                <w:sz w:val="24"/>
              </w:rPr>
            </w:pPr>
            <w:r>
              <w:rPr>
                <w:rFonts w:hint="eastAsia"/>
                <w:b/>
                <w:bCs/>
                <w:sz w:val="24"/>
              </w:rPr>
              <w:t>四、</w:t>
            </w:r>
            <w:r>
              <w:rPr>
                <w:b/>
                <w:bCs/>
                <w:sz w:val="24"/>
              </w:rPr>
              <w:t>施工期</w:t>
            </w:r>
            <w:r>
              <w:rPr>
                <w:rFonts w:hint="eastAsia"/>
                <w:b/>
                <w:bCs/>
                <w:sz w:val="24"/>
              </w:rPr>
              <w:t>固体废物污染防治措施</w:t>
            </w:r>
          </w:p>
          <w:p w14:paraId="47DD15FA">
            <w:pPr>
              <w:adjustRightInd w:val="0"/>
              <w:snapToGrid w:val="0"/>
              <w:spacing w:line="360" w:lineRule="auto"/>
              <w:ind w:firstLine="480" w:firstLineChars="200"/>
              <w:rPr>
                <w:sz w:val="24"/>
              </w:rPr>
            </w:pPr>
            <w:r>
              <w:rPr>
                <w:rFonts w:hint="eastAsia"/>
                <w:sz w:val="24"/>
              </w:rPr>
              <w:t>施工期产生主要固体废物主要来源于建筑物拆除及建筑物基础基坑开挖土石方、施工人员生活垃圾。施工人员产生的生活垃圾经收集后交由环卫部门定期清运。</w:t>
            </w:r>
          </w:p>
          <w:p w14:paraId="07F23D87">
            <w:pPr>
              <w:spacing w:line="360" w:lineRule="auto"/>
              <w:ind w:firstLine="480" w:firstLineChars="200"/>
              <w:rPr>
                <w:sz w:val="24"/>
              </w:rPr>
            </w:pPr>
            <w:r>
              <w:rPr>
                <w:rFonts w:hint="eastAsia" w:ascii="宋体" w:hAnsi="宋体"/>
                <w:sz w:val="24"/>
              </w:rPr>
              <w:t>建筑物拆除产生的建筑垃圾、及基坑开挖的土石方，能够回填的弃土和施工垃圾尽量及时回填。不能回填的，施工期间基坑开挖土方就近临时堆放在基坑周边的空地，在临时堆放点堆</w:t>
            </w:r>
            <w:r>
              <w:rPr>
                <w:rFonts w:hAnsi="宋体"/>
                <w:sz w:val="24"/>
              </w:rPr>
              <w:t>放的时间不应超过两天，尽量做到日产日清。无法回用的统一清运至指定弃渣场处置。</w:t>
            </w:r>
          </w:p>
          <w:p w14:paraId="333BE7A1">
            <w:pPr>
              <w:spacing w:line="360" w:lineRule="auto"/>
              <w:ind w:firstLine="480" w:firstLineChars="200"/>
              <w:rPr>
                <w:sz w:val="24"/>
              </w:rPr>
            </w:pPr>
            <w:r>
              <w:rPr>
                <w:rFonts w:hAnsi="宋体"/>
                <w:sz w:val="24"/>
              </w:rPr>
              <w:t>（</w:t>
            </w:r>
            <w:r>
              <w:rPr>
                <w:sz w:val="24"/>
              </w:rPr>
              <w:t>1</w:t>
            </w:r>
            <w:r>
              <w:rPr>
                <w:rFonts w:hAnsi="宋体"/>
                <w:sz w:val="24"/>
              </w:rPr>
              <w:t>）车辆在运输过程中对车顶采用篷布进行覆盖，防止材料洒落在道路上；</w:t>
            </w:r>
          </w:p>
          <w:p w14:paraId="2EE0E956">
            <w:pPr>
              <w:spacing w:line="360" w:lineRule="auto"/>
              <w:ind w:firstLine="480" w:firstLineChars="200"/>
              <w:rPr>
                <w:sz w:val="24"/>
              </w:rPr>
            </w:pPr>
            <w:r>
              <w:rPr>
                <w:rFonts w:hAnsi="宋体"/>
                <w:sz w:val="24"/>
              </w:rPr>
              <w:t>（</w:t>
            </w:r>
            <w:r>
              <w:rPr>
                <w:sz w:val="24"/>
              </w:rPr>
              <w:t>2</w:t>
            </w:r>
            <w:r>
              <w:rPr>
                <w:rFonts w:hAnsi="宋体"/>
                <w:sz w:val="24"/>
              </w:rPr>
              <w:t>）建设工程施工现场出口处应当设置车辆冲洗设施，施工车辆冲洗干净后方可上路行驶；</w:t>
            </w:r>
          </w:p>
          <w:p w14:paraId="3D1553BC">
            <w:pPr>
              <w:spacing w:line="360" w:lineRule="auto"/>
              <w:ind w:firstLine="480" w:firstLineChars="200"/>
              <w:rPr>
                <w:sz w:val="24"/>
              </w:rPr>
            </w:pPr>
            <w:r>
              <w:rPr>
                <w:sz w:val="24"/>
              </w:rPr>
              <w:t>（3）</w:t>
            </w:r>
            <w:r>
              <w:rPr>
                <w:rFonts w:hAnsi="宋体"/>
                <w:sz w:val="24"/>
              </w:rPr>
              <w:t>不得占用道路堆放建筑垃圾、工程渣土。</w:t>
            </w:r>
          </w:p>
          <w:p w14:paraId="643EEE67">
            <w:pPr>
              <w:spacing w:line="360" w:lineRule="auto"/>
              <w:ind w:firstLine="480" w:firstLineChars="200"/>
              <w:rPr>
                <w:rFonts w:ascii="宋体" w:hAnsi="宋体"/>
                <w:sz w:val="24"/>
              </w:rPr>
            </w:pPr>
            <w:r>
              <w:rPr>
                <w:rFonts w:hAnsi="宋体"/>
                <w:sz w:val="24"/>
              </w:rPr>
              <w:t>（</w:t>
            </w:r>
            <w:r>
              <w:rPr>
                <w:sz w:val="24"/>
              </w:rPr>
              <w:t>4</w:t>
            </w:r>
            <w:r>
              <w:rPr>
                <w:rFonts w:hAnsi="宋体"/>
                <w:sz w:val="24"/>
              </w:rPr>
              <w:t>）车辆</w:t>
            </w:r>
            <w:r>
              <w:rPr>
                <w:rFonts w:hint="eastAsia" w:ascii="宋体" w:hAnsi="宋体"/>
                <w:sz w:val="24"/>
              </w:rPr>
              <w:t>运输散体物和废弃物时，须用封闭式渣土运输车将建筑垃圾及时清运,不能随意抛弃、转移和扩散，更不能向周围环境转移，及时将固废运到指定地点（如铺路基等）妥善处置，严防制造新的“垃圾堆场”，对周围环境造成二次污染。运载土方的车辆必须在规定的时间内，按指定路段行驶。</w:t>
            </w:r>
          </w:p>
          <w:p w14:paraId="4A0380D6">
            <w:pPr>
              <w:spacing w:line="360" w:lineRule="auto"/>
              <w:ind w:firstLine="482" w:firstLineChars="200"/>
              <w:rPr>
                <w:b/>
                <w:sz w:val="24"/>
              </w:rPr>
            </w:pPr>
            <w:r>
              <w:rPr>
                <w:rFonts w:hint="eastAsia"/>
                <w:b/>
                <w:sz w:val="24"/>
              </w:rPr>
              <w:t>五、生态保护措施</w:t>
            </w:r>
          </w:p>
          <w:p w14:paraId="4079854B">
            <w:pPr>
              <w:autoSpaceDE w:val="0"/>
              <w:autoSpaceDN w:val="0"/>
              <w:adjustRightInd w:val="0"/>
              <w:spacing w:line="360" w:lineRule="auto"/>
              <w:ind w:firstLine="480" w:firstLineChars="200"/>
              <w:rPr>
                <w:rFonts w:hAnsi="宋体"/>
                <w:kern w:val="0"/>
                <w:sz w:val="24"/>
              </w:rPr>
            </w:pPr>
            <w:r>
              <w:rPr>
                <w:rFonts w:hint="eastAsia" w:ascii="宋体" w:hAnsi="宋体"/>
                <w:kern w:val="0"/>
                <w:sz w:val="24"/>
              </w:rPr>
              <w:t>在施工期间应采取生态环境保护措施，以利于项目建成后的生态环境恢复和建设：</w:t>
            </w:r>
          </w:p>
          <w:p w14:paraId="790104D5">
            <w:pPr>
              <w:autoSpaceDE w:val="0"/>
              <w:autoSpaceDN w:val="0"/>
              <w:adjustRightInd w:val="0"/>
              <w:spacing w:line="360" w:lineRule="auto"/>
              <w:ind w:firstLine="480" w:firstLineChars="200"/>
              <w:rPr>
                <w:rFonts w:hAnsi="宋体"/>
                <w:kern w:val="0"/>
                <w:sz w:val="24"/>
              </w:rPr>
            </w:pPr>
            <w:r>
              <w:rPr>
                <w:rFonts w:hint="eastAsia" w:hAnsi="宋体"/>
                <w:kern w:val="0"/>
                <w:sz w:val="24"/>
              </w:rPr>
              <w:t>1</w:t>
            </w:r>
            <w:r>
              <w:rPr>
                <w:rFonts w:hint="eastAsia" w:ascii="宋体" w:hAnsi="宋体"/>
                <w:kern w:val="0"/>
                <w:sz w:val="24"/>
              </w:rPr>
              <w:t>、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r>
              <w:rPr>
                <w:rFonts w:ascii="宋体" w:hAnsi="宋体"/>
                <w:kern w:val="0"/>
                <w:sz w:val="24"/>
              </w:rPr>
              <w:t>。</w:t>
            </w:r>
          </w:p>
          <w:p w14:paraId="38AAAF06">
            <w:pPr>
              <w:autoSpaceDE w:val="0"/>
              <w:autoSpaceDN w:val="0"/>
              <w:adjustRightInd w:val="0"/>
              <w:spacing w:line="360" w:lineRule="auto"/>
              <w:ind w:firstLine="480" w:firstLineChars="200"/>
              <w:rPr>
                <w:rFonts w:hAnsi="宋体"/>
                <w:kern w:val="0"/>
                <w:sz w:val="24"/>
              </w:rPr>
            </w:pPr>
            <w:r>
              <w:rPr>
                <w:rFonts w:hint="eastAsia" w:hAnsi="宋体"/>
                <w:kern w:val="0"/>
                <w:sz w:val="24"/>
              </w:rPr>
              <w:t>2</w:t>
            </w:r>
            <w:r>
              <w:rPr>
                <w:rFonts w:hint="eastAsia" w:ascii="宋体" w:hAnsi="宋体"/>
                <w:kern w:val="0"/>
                <w:sz w:val="24"/>
              </w:rPr>
              <w:t>、水土保持工作应坚持及时、多样、因地制宜、长短期相结合以及总体和局部结合的原则。结合本建设区域的具体情况在施工中可以采取以下对策：</w:t>
            </w:r>
          </w:p>
          <w:p w14:paraId="2B6AA718">
            <w:pPr>
              <w:autoSpaceDE w:val="0"/>
              <w:autoSpaceDN w:val="0"/>
              <w:adjustRightInd w:val="0"/>
              <w:spacing w:line="360" w:lineRule="auto"/>
              <w:ind w:firstLine="480" w:firstLineChars="200"/>
              <w:rPr>
                <w:kern w:val="0"/>
                <w:sz w:val="24"/>
              </w:rPr>
            </w:pPr>
            <w:r>
              <w:rPr>
                <w:rFonts w:hint="eastAsia" w:ascii="宋体" w:hAnsi="宋体"/>
                <w:kern w:val="0"/>
                <w:sz w:val="24"/>
              </w:rPr>
              <w:t>①建设单位在动工前应在必要地段完成拦土堤及护坡垒砌工程，在整体上形成完整的档土墙体系。同时，开边沟，边坡要用石块铺砌，填土场的上游要设置导流沟，防止上游的径流冲刷填土场</w:t>
            </w:r>
            <w:r>
              <w:rPr>
                <w:rFonts w:ascii="宋体" w:hAnsi="宋体"/>
                <w:kern w:val="0"/>
                <w:sz w:val="24"/>
              </w:rPr>
              <w:t>。</w:t>
            </w:r>
          </w:p>
          <w:p w14:paraId="2BA821D8">
            <w:pPr>
              <w:autoSpaceDE w:val="0"/>
              <w:autoSpaceDN w:val="0"/>
              <w:adjustRightInd w:val="0"/>
              <w:spacing w:line="360" w:lineRule="auto"/>
              <w:ind w:firstLine="480" w:firstLineChars="200"/>
              <w:rPr>
                <w:kern w:val="0"/>
                <w:sz w:val="24"/>
              </w:rPr>
            </w:pPr>
            <w:r>
              <w:rPr>
                <w:rFonts w:hint="eastAsia" w:ascii="宋体" w:hAnsi="宋体"/>
                <w:kern w:val="0"/>
                <w:sz w:val="24"/>
              </w:rPr>
              <w:t>②开发区周围设置防洪墙或淤泥幕，防止对水体的淤积影响。</w:t>
            </w:r>
          </w:p>
          <w:p w14:paraId="54CA5B21">
            <w:pPr>
              <w:autoSpaceDE w:val="0"/>
              <w:autoSpaceDN w:val="0"/>
              <w:adjustRightInd w:val="0"/>
              <w:spacing w:line="360" w:lineRule="auto"/>
              <w:ind w:firstLine="480" w:firstLineChars="200"/>
              <w:rPr>
                <w:kern w:val="0"/>
                <w:sz w:val="24"/>
              </w:rPr>
            </w:pPr>
            <w:r>
              <w:rPr>
                <w:rFonts w:hint="eastAsia" w:ascii="宋体" w:hAnsi="宋体"/>
                <w:kern w:val="0"/>
                <w:sz w:val="24"/>
              </w:rPr>
              <w:t>③在推挖填土工程完成后，工地往往还要裸露一段时间才能完成建设或重新绿化，这就要及时在地面的径流汇集线上设置缓流泥砂阻隔带。阻隔带可以采用透水的高强</w:t>
            </w:r>
            <w:r>
              <w:rPr>
                <w:rFonts w:hint="eastAsia"/>
                <w:kern w:val="0"/>
                <w:sz w:val="24"/>
              </w:rPr>
              <w:t>PVC</w:t>
            </w:r>
            <w:r>
              <w:rPr>
                <w:rFonts w:hint="eastAsia" w:ascii="宋体" w:hAnsi="宋体"/>
                <w:kern w:val="0"/>
                <w:sz w:val="24"/>
              </w:rPr>
              <w:t>编织带，用角铁或木桩将编织袋固置于与汇流线相切的方向上，带高一般为</w:t>
            </w:r>
            <w:r>
              <w:rPr>
                <w:rFonts w:hint="eastAsia"/>
                <w:kern w:val="0"/>
                <w:sz w:val="24"/>
              </w:rPr>
              <w:t>50cm</w:t>
            </w:r>
            <w:r>
              <w:rPr>
                <w:rFonts w:hint="eastAsia" w:ascii="宋体" w:hAnsi="宋体"/>
                <w:kern w:val="0"/>
                <w:sz w:val="24"/>
              </w:rPr>
              <w:t>就已足够，带长可以视地形决定，一般为数米至数十米不等，可以有效地阻止泥沙随径流的初始流动，控制住施工期的水土流失</w:t>
            </w:r>
            <w:r>
              <w:rPr>
                <w:rFonts w:ascii="宋体" w:hAnsi="宋体"/>
                <w:kern w:val="0"/>
                <w:sz w:val="24"/>
              </w:rPr>
              <w:t>。</w:t>
            </w:r>
          </w:p>
          <w:p w14:paraId="1030F799">
            <w:pPr>
              <w:autoSpaceDE w:val="0"/>
              <w:autoSpaceDN w:val="0"/>
              <w:adjustRightInd w:val="0"/>
              <w:spacing w:line="360" w:lineRule="auto"/>
              <w:ind w:firstLine="480" w:firstLineChars="200"/>
              <w:rPr>
                <w:kern w:val="0"/>
                <w:sz w:val="24"/>
              </w:rPr>
            </w:pPr>
            <w:r>
              <w:rPr>
                <w:rFonts w:hint="eastAsia"/>
                <w:kern w:val="0"/>
                <w:sz w:val="24"/>
              </w:rPr>
              <w:t>④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14:paraId="64A955EA">
            <w:pPr>
              <w:pStyle w:val="2"/>
              <w:spacing w:line="360" w:lineRule="auto"/>
              <w:ind w:firstLine="480" w:firstLineChars="200"/>
              <w:jc w:val="both"/>
              <w:rPr>
                <w:color w:val="auto"/>
              </w:rPr>
            </w:pPr>
            <w:r>
              <w:rPr>
                <w:rFonts w:hint="eastAsia"/>
                <w:color w:val="auto"/>
                <w:kern w:val="0"/>
              </w:rPr>
              <w:t>⑤各个分项目建成以后，及时恢复被扰乱的地域，重新组织未利用的小块土地，种植人工植被，辟为花园或绿地；管理部门应组织人员对区内荒芜的地块栽种人工植被，减少自然的水土流失</w:t>
            </w:r>
            <w:r>
              <w:rPr>
                <w:rFonts w:hint="eastAsia"/>
                <w:color w:val="auto"/>
              </w:rPr>
              <w:t>。</w:t>
            </w:r>
          </w:p>
        </w:tc>
      </w:tr>
      <w:tr w14:paraId="255D5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0" w:type="pct"/>
            <w:tcMar>
              <w:left w:w="28" w:type="dxa"/>
              <w:right w:w="28" w:type="dxa"/>
            </w:tcMar>
            <w:vAlign w:val="center"/>
          </w:tcPr>
          <w:p w14:paraId="00CEDD2D">
            <w:pPr>
              <w:adjustRightInd w:val="0"/>
              <w:snapToGrid w:val="0"/>
              <w:jc w:val="center"/>
              <w:rPr>
                <w:rFonts w:ascii="宋体" w:hAnsi="宋体" w:cs="宋体"/>
                <w:b/>
                <w:bCs/>
                <w:sz w:val="24"/>
              </w:rPr>
            </w:pPr>
            <w:r>
              <w:rPr>
                <w:rFonts w:hint="eastAsia" w:ascii="宋体" w:hAnsi="宋体" w:cs="宋体"/>
                <w:b/>
                <w:bCs/>
                <w:sz w:val="24"/>
              </w:rPr>
              <w:t>运营</w:t>
            </w:r>
          </w:p>
          <w:p w14:paraId="60A96797">
            <w:pPr>
              <w:adjustRightInd w:val="0"/>
              <w:snapToGrid w:val="0"/>
              <w:jc w:val="center"/>
              <w:rPr>
                <w:rFonts w:ascii="宋体" w:hAnsi="宋体" w:cs="宋体"/>
                <w:b/>
                <w:bCs/>
                <w:sz w:val="24"/>
              </w:rPr>
            </w:pPr>
            <w:r>
              <w:rPr>
                <w:rFonts w:hint="eastAsia" w:ascii="宋体" w:hAnsi="宋体" w:cs="宋体"/>
                <w:b/>
                <w:bCs/>
                <w:sz w:val="24"/>
              </w:rPr>
              <w:t>期环</w:t>
            </w:r>
          </w:p>
          <w:p w14:paraId="09378BE6">
            <w:pPr>
              <w:adjustRightInd w:val="0"/>
              <w:snapToGrid w:val="0"/>
              <w:jc w:val="center"/>
              <w:rPr>
                <w:rFonts w:ascii="宋体" w:hAnsi="宋体" w:cs="宋体"/>
                <w:b/>
                <w:bCs/>
                <w:sz w:val="24"/>
              </w:rPr>
            </w:pPr>
            <w:r>
              <w:rPr>
                <w:rFonts w:hint="eastAsia" w:ascii="宋体" w:hAnsi="宋体" w:cs="宋体"/>
                <w:b/>
                <w:bCs/>
                <w:sz w:val="24"/>
              </w:rPr>
              <w:t>境影</w:t>
            </w:r>
          </w:p>
          <w:p w14:paraId="6C7B7343">
            <w:pPr>
              <w:adjustRightInd w:val="0"/>
              <w:snapToGrid w:val="0"/>
              <w:jc w:val="center"/>
              <w:rPr>
                <w:rFonts w:ascii="宋体" w:hAnsi="宋体" w:cs="宋体"/>
                <w:b/>
                <w:bCs/>
                <w:sz w:val="24"/>
              </w:rPr>
            </w:pPr>
            <w:r>
              <w:rPr>
                <w:rFonts w:hint="eastAsia" w:ascii="宋体" w:hAnsi="宋体" w:cs="宋体"/>
                <w:b/>
                <w:bCs/>
                <w:sz w:val="24"/>
              </w:rPr>
              <w:t>响和</w:t>
            </w:r>
          </w:p>
          <w:p w14:paraId="29CF3EEE">
            <w:pPr>
              <w:adjustRightInd w:val="0"/>
              <w:snapToGrid w:val="0"/>
              <w:jc w:val="center"/>
              <w:rPr>
                <w:rFonts w:ascii="宋体" w:hAnsi="宋体" w:cs="宋体"/>
                <w:b/>
                <w:bCs/>
                <w:sz w:val="24"/>
              </w:rPr>
            </w:pPr>
            <w:r>
              <w:rPr>
                <w:rFonts w:hint="eastAsia" w:ascii="宋体" w:hAnsi="宋体" w:cs="宋体"/>
                <w:b/>
                <w:bCs/>
                <w:sz w:val="24"/>
              </w:rPr>
              <w:t>保护</w:t>
            </w:r>
          </w:p>
          <w:p w14:paraId="4A01D932">
            <w:pPr>
              <w:adjustRightInd w:val="0"/>
              <w:snapToGrid w:val="0"/>
              <w:jc w:val="center"/>
              <w:rPr>
                <w:rFonts w:ascii="宋体" w:hAnsi="宋体" w:cs="宋体"/>
                <w:b/>
                <w:bCs/>
                <w:sz w:val="24"/>
              </w:rPr>
            </w:pPr>
            <w:r>
              <w:rPr>
                <w:rFonts w:hint="eastAsia" w:ascii="宋体" w:hAnsi="宋体" w:cs="宋体"/>
                <w:b/>
                <w:bCs/>
                <w:sz w:val="24"/>
              </w:rPr>
              <w:t>措施</w:t>
            </w:r>
          </w:p>
        </w:tc>
        <w:tc>
          <w:tcPr>
            <w:tcW w:w="4720" w:type="pct"/>
            <w:vAlign w:val="center"/>
          </w:tcPr>
          <w:p w14:paraId="31C358AF">
            <w:pPr>
              <w:adjustRightInd w:val="0"/>
              <w:snapToGrid w:val="0"/>
              <w:spacing w:line="360" w:lineRule="auto"/>
              <w:ind w:firstLine="482" w:firstLineChars="200"/>
              <w:rPr>
                <w:b/>
                <w:sz w:val="24"/>
              </w:rPr>
            </w:pPr>
            <w:r>
              <w:rPr>
                <w:b/>
                <w:sz w:val="24"/>
              </w:rPr>
              <w:t>一、废气</w:t>
            </w:r>
          </w:p>
          <w:p w14:paraId="2E9B42BA">
            <w:pPr>
              <w:adjustRightInd w:val="0"/>
              <w:snapToGrid w:val="0"/>
              <w:spacing w:line="360" w:lineRule="auto"/>
              <w:ind w:firstLine="482" w:firstLineChars="200"/>
              <w:rPr>
                <w:b/>
                <w:sz w:val="24"/>
              </w:rPr>
            </w:pPr>
            <w:r>
              <w:rPr>
                <w:rFonts w:hint="eastAsia"/>
                <w:b/>
                <w:sz w:val="24"/>
              </w:rPr>
              <w:t>1、废气源强</w:t>
            </w:r>
          </w:p>
          <w:p w14:paraId="1BB4D618">
            <w:pPr>
              <w:pStyle w:val="2"/>
              <w:spacing w:line="360" w:lineRule="auto"/>
              <w:ind w:firstLine="480" w:firstLineChars="200"/>
              <w:jc w:val="both"/>
              <w:rPr>
                <w:rFonts w:ascii="Times New Roman" w:cs="Times New Roman"/>
                <w:color w:val="auto"/>
              </w:rPr>
            </w:pPr>
            <w:r>
              <w:rPr>
                <w:rFonts w:hint="eastAsia" w:ascii="Times New Roman" w:cs="Times New Roman"/>
                <w:color w:val="auto"/>
              </w:rPr>
              <w:t>项目运营期大气污染源主要为烘干车间生物质热风炉燃烧烟气，烘干、装卸、输送、清筛的无组织粉尘；平房仓装卸、输送、清筛的无组织粉尘以及熏蒸废气；浅圆仓群粉尘、道路运输扬尘、汽车尾气、备用柴油发电机废气。</w:t>
            </w:r>
          </w:p>
          <w:p w14:paraId="1B6A19C8">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（1）烘干车间废气源强</w:t>
            </w:r>
          </w:p>
          <w:p w14:paraId="5013FD71">
            <w:pPr>
              <w:pStyle w:val="2"/>
              <w:spacing w:line="360" w:lineRule="auto"/>
              <w:ind w:firstLine="480" w:firstLineChars="200"/>
              <w:jc w:val="both"/>
              <w:rPr>
                <w:rFonts w:ascii="Times New Roman" w:cs="Times New Roman"/>
                <w:color w:val="auto"/>
              </w:rPr>
            </w:pPr>
            <w:r>
              <w:rPr>
                <w:rFonts w:hint="eastAsia" w:ascii="Times New Roman" w:cs="Times New Roman"/>
                <w:color w:val="auto"/>
              </w:rPr>
              <w:t>①装卸粉尘</w:t>
            </w:r>
          </w:p>
          <w:p w14:paraId="10FC27F4">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装卸粮食过程中会产生粉尘。由于农用机械不断升级，粮食收割设备配备性能优良筛分装置，大部分杂质的已在耕地上被去除，因此原料卸料时粉尘的产生量较少，参考《逸散性工业粉尘控制技术（中国环境出版社，1989年）》中乡村谷物贮存“卡车卸料”的产尘系数为0.16kg/t、“卡车装料”的产尘系数为0.15kg/t。本工序装卸粉尘共计23.25t/a，其中卸车原料湿稻谷为7.5万t，则装车粉尘产生量为12t/a；装车烘干稻谷为7.5万t，则装车粉尘产生量为11.25t/a。本项目装卸在封闭的车间内进行操作，粮食装卸粉尘绝大多数将受到重力的作用回落到地面。</w:t>
            </w:r>
          </w:p>
          <w:p w14:paraId="58953E18">
            <w:pPr>
              <w:pStyle w:val="2"/>
              <w:spacing w:line="360" w:lineRule="auto"/>
              <w:ind w:firstLine="480" w:firstLineChars="200"/>
              <w:rPr>
                <w:rFonts w:ascii="Times New Roman" w:cs="Times New Roman"/>
                <w:color w:val="auto"/>
              </w:rPr>
            </w:pPr>
            <w:r>
              <w:rPr>
                <w:rFonts w:hint="eastAsia" w:ascii="Times New Roman" w:cs="Times New Roman"/>
                <w:color w:val="auto"/>
              </w:rPr>
              <w:t>本项目装卸工段采取车间密闭，减少装卸落差，禁止在大风天气进行装运作业，文明铲装卸车等措施后，降尘效果能达到90%以上，则装卸过程中无组织粉尘排放量为2.325t/a。</w:t>
            </w:r>
          </w:p>
          <w:p w14:paraId="06E36E16">
            <w:pPr>
              <w:pStyle w:val="2"/>
              <w:spacing w:line="360" w:lineRule="auto"/>
              <w:ind w:firstLine="480" w:firstLineChars="200"/>
              <w:rPr>
                <w:rFonts w:ascii="Times New Roman" w:cs="Times New Roman"/>
                <w:color w:val="auto"/>
              </w:rPr>
            </w:pPr>
            <w:r>
              <w:rPr>
                <w:rFonts w:hint="eastAsia" w:ascii="Times New Roman" w:cs="Times New Roman"/>
                <w:color w:val="auto"/>
              </w:rPr>
              <w:t>②输送粉尘</w:t>
            </w:r>
          </w:p>
          <w:p w14:paraId="3426D54B">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本项目烘干车间在粮坑、湿粮仓、圆筒筛、烘干塔、干粮仓之间设有提升机和传送带用于转移运输粮食，在受料、落料过程中会产生粉尘，通过</w:t>
            </w:r>
            <w:bookmarkStart w:id="76" w:name="OLE_LINK93"/>
            <w:bookmarkStart w:id="77" w:name="OLE_LINK94"/>
            <w:r>
              <w:rPr>
                <w:rFonts w:hint="eastAsia" w:ascii="Times New Roman" w:cs="Times New Roman"/>
                <w:color w:val="auto"/>
              </w:rPr>
              <w:t>控制输送机的皮带速度，使皮带匀速、缓慢地运行，并且输送皮带在全封闭的廊道内</w:t>
            </w:r>
            <w:bookmarkEnd w:id="76"/>
            <w:bookmarkEnd w:id="77"/>
            <w:r>
              <w:rPr>
                <w:rFonts w:hint="eastAsia" w:ascii="Times New Roman" w:cs="Times New Roman"/>
                <w:color w:val="auto"/>
              </w:rPr>
              <w:t>，粉尘产生量较少，可忽略不计。</w:t>
            </w:r>
          </w:p>
          <w:p w14:paraId="09867757">
            <w:pPr>
              <w:pStyle w:val="2"/>
              <w:spacing w:line="360" w:lineRule="auto"/>
              <w:ind w:firstLine="480" w:firstLineChars="200"/>
              <w:rPr>
                <w:rFonts w:ascii="Times New Roman" w:cs="Times New Roman"/>
                <w:color w:val="auto"/>
              </w:rPr>
            </w:pPr>
            <w:r>
              <w:rPr>
                <w:rFonts w:hint="eastAsia" w:ascii="Times New Roman" w:cs="Times New Roman"/>
                <w:color w:val="auto"/>
              </w:rPr>
              <w:t>③清筛粉尘</w:t>
            </w:r>
          </w:p>
          <w:p w14:paraId="44F1A9A5">
            <w:pPr>
              <w:pStyle w:val="2"/>
              <w:spacing w:line="360" w:lineRule="auto"/>
              <w:ind w:firstLine="480" w:firstLineChars="200"/>
              <w:rPr>
                <w:rFonts w:ascii="Times New Roman" w:cs="Times New Roman"/>
                <w:color w:val="auto"/>
              </w:rPr>
            </w:pPr>
            <w:r>
              <w:rPr>
                <w:rFonts w:hint="eastAsia" w:ascii="Times New Roman" w:cs="Times New Roman"/>
                <w:color w:val="auto"/>
              </w:rPr>
              <w:t>本项目烘干车间稻谷通过圆筒筛进行清理，筛分入料和出料时会产生一定量的粉尘，圆筒筛经筛分后筛下料为杂质，筛上料通过皮带输送机及提升机运送至湿粮仓。由于农用机械不断升级，粮食收割设备配备性能优良筛分装置，大部分杂质的已在耕地上被去除，因此粉尘的产生量较少。参考《逸散性工业粉尘控制技术（中国环境出版社，1989年）》中乡村谷物贮存“筛分和清理”的产尘系数为0.1kg/t，烘干车间清理粮食量为7.5万吨，则清筛粉尘产生量为7.5t/a。本项目采用封闭式圆筒筛，将已形成的粉尘控制在局部范围内并加以回收，回收效率不低于90%，则无组织排放量为0.75t/a。</w:t>
            </w:r>
          </w:p>
          <w:p w14:paraId="13B58538">
            <w:pPr>
              <w:pStyle w:val="2"/>
              <w:spacing w:line="360" w:lineRule="auto"/>
              <w:ind w:firstLine="480" w:firstLineChars="200"/>
              <w:jc w:val="both"/>
              <w:rPr>
                <w:rFonts w:ascii="Times New Roman" w:cs="Times New Roman"/>
                <w:color w:val="auto"/>
              </w:rPr>
            </w:pPr>
            <w:r>
              <w:rPr>
                <w:rFonts w:hint="eastAsia" w:ascii="Times New Roman" w:cs="Times New Roman"/>
                <w:color w:val="auto"/>
              </w:rPr>
              <w:t>④生物质热风炉燃烧烟气</w:t>
            </w:r>
          </w:p>
          <w:p w14:paraId="269028E6">
            <w:pPr>
              <w:adjustRightInd w:val="0"/>
              <w:snapToGrid w:val="0"/>
              <w:spacing w:line="360" w:lineRule="auto"/>
              <w:ind w:firstLine="480" w:firstLineChars="200"/>
              <w:rPr>
                <w:rFonts w:hAnsi="宋体"/>
                <w:sz w:val="24"/>
              </w:rPr>
            </w:pPr>
            <w:r>
              <w:rPr>
                <w:rFonts w:hint="eastAsia" w:hAnsi="宋体"/>
                <w:sz w:val="24"/>
              </w:rPr>
              <w:t>项目烘干机所需热量由生物质热风炉提供，共设置3台生物质热风炉，根据前文分析，成型生物质燃料年用量约1163.25吨，年运行5000h，</w:t>
            </w:r>
            <w:bookmarkStart w:id="78" w:name="OLE_LINK142"/>
            <w:bookmarkStart w:id="79" w:name="OLE_LINK141"/>
            <w:r>
              <w:rPr>
                <w:rFonts w:hint="eastAsia" w:hAnsi="宋体"/>
                <w:sz w:val="24"/>
              </w:rPr>
              <w:t>3台</w:t>
            </w:r>
            <w:bookmarkStart w:id="80" w:name="OLE_LINK73"/>
            <w:bookmarkStart w:id="81" w:name="OLE_LINK72"/>
            <w:r>
              <w:rPr>
                <w:rFonts w:hint="eastAsia" w:hAnsi="宋体"/>
                <w:sz w:val="24"/>
              </w:rPr>
              <w:t>生物质热风炉燃烧废气经各自的旋风+布袋除尘处理后通过一根20m高排气筒（DA001）排放</w:t>
            </w:r>
            <w:bookmarkEnd w:id="78"/>
            <w:bookmarkEnd w:id="79"/>
            <w:bookmarkEnd w:id="80"/>
            <w:bookmarkEnd w:id="81"/>
            <w:r>
              <w:rPr>
                <w:rFonts w:hint="eastAsia" w:hAnsi="宋体"/>
                <w:sz w:val="24"/>
              </w:rPr>
              <w:t>。</w:t>
            </w:r>
          </w:p>
          <w:p w14:paraId="726720BC">
            <w:pPr>
              <w:adjustRightInd w:val="0"/>
              <w:snapToGrid w:val="0"/>
              <w:spacing w:line="360" w:lineRule="auto"/>
              <w:ind w:firstLine="480" w:firstLineChars="200"/>
              <w:rPr>
                <w:sz w:val="24"/>
                <w:u w:val="wave"/>
              </w:rPr>
            </w:pPr>
            <w:r>
              <w:rPr>
                <w:rFonts w:hint="eastAsia" w:hAnsi="宋体"/>
                <w:sz w:val="24"/>
              </w:rPr>
              <w:t>根据</w:t>
            </w:r>
            <w:r>
              <w:rPr>
                <w:rFonts w:hAnsi="宋体"/>
                <w:sz w:val="24"/>
              </w:rPr>
              <w:t>《排放源统计调查产排污核算方法和系数手册》（公告2021年第24号）</w:t>
            </w:r>
            <w:r>
              <w:rPr>
                <w:rFonts w:hint="eastAsia" w:hAnsi="宋体"/>
                <w:sz w:val="24"/>
              </w:rPr>
              <w:t>中的“4430工业锅炉（热力供应）行业系数手册-生物质工业锅炉”确定的系数进行热风炉燃烧烟气的排放核算。项目</w:t>
            </w:r>
            <w:r>
              <w:rPr>
                <w:rFonts w:hint="eastAsia"/>
                <w:sz w:val="24"/>
              </w:rPr>
              <w:t>热风炉燃烧烟气产生情况见下表。</w:t>
            </w:r>
          </w:p>
          <w:p w14:paraId="6236C002">
            <w:pPr>
              <w:adjustRightInd w:val="0"/>
              <w:snapToGrid w:val="0"/>
              <w:spacing w:before="120" w:beforeLines="50"/>
              <w:jc w:val="center"/>
              <w:rPr>
                <w:b/>
                <w:szCs w:val="21"/>
              </w:rPr>
            </w:pPr>
            <w:r>
              <w:rPr>
                <w:rFonts w:hint="eastAsia"/>
                <w:b/>
                <w:szCs w:val="21"/>
              </w:rPr>
              <w:t>表4-1  生物质燃料烟气产生情况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9"/>
              <w:gridCol w:w="2011"/>
              <w:gridCol w:w="3121"/>
              <w:gridCol w:w="2257"/>
            </w:tblGrid>
            <w:tr w14:paraId="2C8A6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00" w:type="pct"/>
                  <w:gridSpan w:val="4"/>
                  <w:vAlign w:val="center"/>
                </w:tcPr>
                <w:p w14:paraId="7998BEAE">
                  <w:pPr>
                    <w:autoSpaceDE w:val="0"/>
                    <w:autoSpaceDN w:val="0"/>
                    <w:adjustRightInd w:val="0"/>
                    <w:jc w:val="center"/>
                    <w:rPr>
                      <w:b/>
                    </w:rPr>
                  </w:pPr>
                  <w:r>
                    <w:rPr>
                      <w:rFonts w:hint="eastAsia"/>
                      <w:b/>
                      <w:szCs w:val="21"/>
                    </w:rPr>
                    <w:t>工业锅炉（热力供应）行业系数手册-生物质工业锅炉</w:t>
                  </w:r>
                </w:p>
              </w:tc>
            </w:tr>
            <w:tr w14:paraId="010AA1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Align w:val="center"/>
                </w:tcPr>
                <w:p w14:paraId="29227690">
                  <w:pPr>
                    <w:autoSpaceDE w:val="0"/>
                    <w:autoSpaceDN w:val="0"/>
                    <w:adjustRightInd w:val="0"/>
                    <w:jc w:val="center"/>
                    <w:rPr>
                      <w:b/>
                    </w:rPr>
                  </w:pPr>
                  <w:r>
                    <w:rPr>
                      <w:b/>
                    </w:rPr>
                    <w:t>原料种类</w:t>
                  </w:r>
                </w:p>
              </w:tc>
              <w:tc>
                <w:tcPr>
                  <w:tcW w:w="1071" w:type="pct"/>
                  <w:vAlign w:val="center"/>
                </w:tcPr>
                <w:p w14:paraId="3550E75E">
                  <w:pPr>
                    <w:autoSpaceDE w:val="0"/>
                    <w:autoSpaceDN w:val="0"/>
                    <w:adjustRightInd w:val="0"/>
                    <w:jc w:val="center"/>
                    <w:rPr>
                      <w:b/>
                    </w:rPr>
                  </w:pPr>
                  <w:r>
                    <w:rPr>
                      <w:rFonts w:hint="eastAsia"/>
                      <w:b/>
                    </w:rPr>
                    <w:t>污染物</w:t>
                  </w:r>
                  <w:r>
                    <w:rPr>
                      <w:b/>
                    </w:rPr>
                    <w:t>指标</w:t>
                  </w:r>
                </w:p>
              </w:tc>
              <w:tc>
                <w:tcPr>
                  <w:tcW w:w="1662" w:type="pct"/>
                  <w:vAlign w:val="center"/>
                </w:tcPr>
                <w:p w14:paraId="3564CD6C">
                  <w:pPr>
                    <w:autoSpaceDE w:val="0"/>
                    <w:autoSpaceDN w:val="0"/>
                    <w:adjustRightInd w:val="0"/>
                    <w:jc w:val="center"/>
                    <w:rPr>
                      <w:b/>
                    </w:rPr>
                  </w:pPr>
                  <w:r>
                    <w:rPr>
                      <w:b/>
                    </w:rPr>
                    <w:t>单位</w:t>
                  </w:r>
                </w:p>
              </w:tc>
              <w:tc>
                <w:tcPr>
                  <w:tcW w:w="1201" w:type="pct"/>
                  <w:vAlign w:val="center"/>
                </w:tcPr>
                <w:p w14:paraId="6423186F">
                  <w:pPr>
                    <w:autoSpaceDE w:val="0"/>
                    <w:autoSpaceDN w:val="0"/>
                    <w:adjustRightInd w:val="0"/>
                    <w:jc w:val="center"/>
                    <w:rPr>
                      <w:b/>
                    </w:rPr>
                  </w:pPr>
                  <w:r>
                    <w:rPr>
                      <w:b/>
                    </w:rPr>
                    <w:t>产污系数</w:t>
                  </w:r>
                </w:p>
              </w:tc>
            </w:tr>
            <w:tr w14:paraId="2906C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restart"/>
                  <w:vAlign w:val="center"/>
                </w:tcPr>
                <w:p w14:paraId="033E0888">
                  <w:pPr>
                    <w:autoSpaceDE w:val="0"/>
                    <w:autoSpaceDN w:val="0"/>
                    <w:adjustRightInd w:val="0"/>
                    <w:jc w:val="center"/>
                  </w:pPr>
                  <w:r>
                    <w:t>生物质燃料</w:t>
                  </w:r>
                </w:p>
              </w:tc>
              <w:tc>
                <w:tcPr>
                  <w:tcW w:w="1071" w:type="pct"/>
                  <w:vAlign w:val="center"/>
                </w:tcPr>
                <w:p w14:paraId="46401089">
                  <w:pPr>
                    <w:autoSpaceDE w:val="0"/>
                    <w:autoSpaceDN w:val="0"/>
                    <w:adjustRightInd w:val="0"/>
                    <w:jc w:val="center"/>
                  </w:pPr>
                  <w:r>
                    <w:rPr>
                      <w:rFonts w:hint="eastAsia"/>
                    </w:rPr>
                    <w:t>工业废气量</w:t>
                  </w:r>
                </w:p>
              </w:tc>
              <w:tc>
                <w:tcPr>
                  <w:tcW w:w="1662" w:type="pct"/>
                  <w:vAlign w:val="center"/>
                </w:tcPr>
                <w:p w14:paraId="55EE13A2">
                  <w:pPr>
                    <w:autoSpaceDE w:val="0"/>
                    <w:autoSpaceDN w:val="0"/>
                    <w:adjustRightInd w:val="0"/>
                    <w:jc w:val="center"/>
                  </w:pPr>
                  <w:r>
                    <w:rPr>
                      <w:rFonts w:hint="eastAsia"/>
                    </w:rPr>
                    <w:t>立方米/吨－原料</w:t>
                  </w:r>
                </w:p>
              </w:tc>
              <w:tc>
                <w:tcPr>
                  <w:tcW w:w="1201" w:type="pct"/>
                  <w:vAlign w:val="center"/>
                </w:tcPr>
                <w:p w14:paraId="2270BFFA">
                  <w:pPr>
                    <w:autoSpaceDE w:val="0"/>
                    <w:autoSpaceDN w:val="0"/>
                    <w:adjustRightInd w:val="0"/>
                    <w:jc w:val="center"/>
                  </w:pPr>
                  <w:r>
                    <w:rPr>
                      <w:rFonts w:hint="eastAsia"/>
                    </w:rPr>
                    <w:t>6240</w:t>
                  </w:r>
                </w:p>
              </w:tc>
            </w:tr>
            <w:tr w14:paraId="2693B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487E92E1">
                  <w:pPr>
                    <w:autoSpaceDE w:val="0"/>
                    <w:autoSpaceDN w:val="0"/>
                    <w:adjustRightInd w:val="0"/>
                    <w:jc w:val="center"/>
                  </w:pPr>
                </w:p>
              </w:tc>
              <w:tc>
                <w:tcPr>
                  <w:tcW w:w="1071" w:type="pct"/>
                  <w:vAlign w:val="center"/>
                </w:tcPr>
                <w:p w14:paraId="1AF47C30">
                  <w:pPr>
                    <w:autoSpaceDE w:val="0"/>
                    <w:autoSpaceDN w:val="0"/>
                    <w:adjustRightInd w:val="0"/>
                    <w:jc w:val="center"/>
                  </w:pPr>
                  <w:r>
                    <w:rPr>
                      <w:rFonts w:hint="eastAsia"/>
                    </w:rPr>
                    <w:t>二氧化硫</w:t>
                  </w:r>
                </w:p>
              </w:tc>
              <w:tc>
                <w:tcPr>
                  <w:tcW w:w="1662" w:type="pct"/>
                  <w:vAlign w:val="center"/>
                </w:tcPr>
                <w:p w14:paraId="095156DE">
                  <w:pPr>
                    <w:autoSpaceDE w:val="0"/>
                    <w:autoSpaceDN w:val="0"/>
                    <w:adjustRightInd w:val="0"/>
                    <w:jc w:val="center"/>
                  </w:pPr>
                  <w:r>
                    <w:t>kg/</w:t>
                  </w:r>
                  <w:r>
                    <w:rPr>
                      <w:rFonts w:hint="eastAsia"/>
                    </w:rPr>
                    <w:t>t-</w:t>
                  </w:r>
                  <w:r>
                    <w:t>原料</w:t>
                  </w:r>
                </w:p>
              </w:tc>
              <w:tc>
                <w:tcPr>
                  <w:tcW w:w="1201" w:type="pct"/>
                  <w:vAlign w:val="center"/>
                </w:tcPr>
                <w:p w14:paraId="53A7724C">
                  <w:pPr>
                    <w:autoSpaceDE w:val="0"/>
                    <w:autoSpaceDN w:val="0"/>
                    <w:adjustRightInd w:val="0"/>
                    <w:jc w:val="center"/>
                  </w:pPr>
                  <w:r>
                    <w:rPr>
                      <w:rFonts w:hint="eastAsia"/>
                    </w:rPr>
                    <w:t>17S</w:t>
                  </w:r>
                </w:p>
              </w:tc>
            </w:tr>
            <w:tr w14:paraId="733EB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35EF776D">
                  <w:pPr>
                    <w:autoSpaceDE w:val="0"/>
                    <w:autoSpaceDN w:val="0"/>
                    <w:adjustRightInd w:val="0"/>
                    <w:jc w:val="center"/>
                  </w:pPr>
                </w:p>
              </w:tc>
              <w:tc>
                <w:tcPr>
                  <w:tcW w:w="1071" w:type="pct"/>
                  <w:vAlign w:val="center"/>
                </w:tcPr>
                <w:p w14:paraId="257ED174">
                  <w:pPr>
                    <w:autoSpaceDE w:val="0"/>
                    <w:autoSpaceDN w:val="0"/>
                    <w:adjustRightInd w:val="0"/>
                    <w:jc w:val="center"/>
                  </w:pPr>
                  <w:r>
                    <w:t>氮氧化物</w:t>
                  </w:r>
                </w:p>
              </w:tc>
              <w:tc>
                <w:tcPr>
                  <w:tcW w:w="1662" w:type="pct"/>
                  <w:vAlign w:val="center"/>
                </w:tcPr>
                <w:p w14:paraId="2E76220A">
                  <w:pPr>
                    <w:autoSpaceDE w:val="0"/>
                    <w:autoSpaceDN w:val="0"/>
                    <w:adjustRightInd w:val="0"/>
                    <w:jc w:val="center"/>
                  </w:pPr>
                  <w:r>
                    <w:t>kg/</w:t>
                  </w:r>
                  <w:r>
                    <w:rPr>
                      <w:rFonts w:hint="eastAsia"/>
                    </w:rPr>
                    <w:t>t-</w:t>
                  </w:r>
                  <w:r>
                    <w:t>原料</w:t>
                  </w:r>
                </w:p>
              </w:tc>
              <w:tc>
                <w:tcPr>
                  <w:tcW w:w="1201" w:type="pct"/>
                  <w:vAlign w:val="center"/>
                </w:tcPr>
                <w:p w14:paraId="5C1AB9D5">
                  <w:pPr>
                    <w:autoSpaceDE w:val="0"/>
                    <w:autoSpaceDN w:val="0"/>
                    <w:adjustRightInd w:val="0"/>
                    <w:jc w:val="center"/>
                  </w:pPr>
                  <w:r>
                    <w:rPr>
                      <w:rFonts w:hint="eastAsia"/>
                    </w:rPr>
                    <w:t>1.02</w:t>
                  </w:r>
                </w:p>
              </w:tc>
            </w:tr>
            <w:tr w14:paraId="54819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5" w:type="pct"/>
                  <w:vMerge w:val="continue"/>
                  <w:vAlign w:val="center"/>
                </w:tcPr>
                <w:p w14:paraId="16E7B521">
                  <w:pPr>
                    <w:autoSpaceDE w:val="0"/>
                    <w:autoSpaceDN w:val="0"/>
                    <w:adjustRightInd w:val="0"/>
                    <w:jc w:val="center"/>
                  </w:pPr>
                </w:p>
              </w:tc>
              <w:tc>
                <w:tcPr>
                  <w:tcW w:w="1071" w:type="pct"/>
                  <w:vAlign w:val="center"/>
                </w:tcPr>
                <w:p w14:paraId="6F8BB67F">
                  <w:pPr>
                    <w:autoSpaceDE w:val="0"/>
                    <w:autoSpaceDN w:val="0"/>
                    <w:adjustRightInd w:val="0"/>
                    <w:jc w:val="center"/>
                  </w:pPr>
                  <w:r>
                    <w:t>烟尘</w:t>
                  </w:r>
                </w:p>
              </w:tc>
              <w:tc>
                <w:tcPr>
                  <w:tcW w:w="1662" w:type="pct"/>
                  <w:vAlign w:val="center"/>
                </w:tcPr>
                <w:p w14:paraId="4DF2835B">
                  <w:pPr>
                    <w:autoSpaceDE w:val="0"/>
                    <w:autoSpaceDN w:val="0"/>
                    <w:adjustRightInd w:val="0"/>
                    <w:jc w:val="center"/>
                  </w:pPr>
                  <w:r>
                    <w:t>kg/</w:t>
                  </w:r>
                  <w:r>
                    <w:rPr>
                      <w:rFonts w:hint="eastAsia"/>
                    </w:rPr>
                    <w:t>t-</w:t>
                  </w:r>
                  <w:r>
                    <w:t>原料</w:t>
                  </w:r>
                </w:p>
              </w:tc>
              <w:tc>
                <w:tcPr>
                  <w:tcW w:w="1201" w:type="pct"/>
                  <w:vAlign w:val="center"/>
                </w:tcPr>
                <w:p w14:paraId="5DCA1980">
                  <w:pPr>
                    <w:autoSpaceDE w:val="0"/>
                    <w:autoSpaceDN w:val="0"/>
                    <w:adjustRightInd w:val="0"/>
                    <w:jc w:val="center"/>
                  </w:pPr>
                  <w:r>
                    <w:rPr>
                      <w:rFonts w:hint="eastAsia"/>
                    </w:rPr>
                    <w:t>0.5</w:t>
                  </w:r>
                </w:p>
              </w:tc>
            </w:tr>
          </w:tbl>
          <w:p w14:paraId="6884D77C">
            <w:pPr>
              <w:adjustRightInd w:val="0"/>
              <w:snapToGrid w:val="0"/>
              <w:spacing w:line="360" w:lineRule="auto"/>
              <w:ind w:firstLine="420" w:firstLineChars="200"/>
              <w:rPr>
                <w:sz w:val="24"/>
                <w:u w:val="wave"/>
              </w:rPr>
            </w:pPr>
            <w:r>
              <w:t>注：</w:t>
            </w:r>
            <w:r>
              <w:rPr>
                <w:rFonts w:hint="eastAsia" w:ascii="宋体" w:hAnsi="宋体" w:cs="宋体"/>
              </w:rPr>
              <w:t>①</w:t>
            </w:r>
            <w:r>
              <w:t>二氧化硫的产排污系数是以含硫量（S%）的形式表示的，其中含硫量（S%）是指生物质收到基硫分含量，以质量百分数的形式表示。例如生物质中含硫量（S%）为0.02%，则S=0.02。根据建设单位提供的</w:t>
            </w:r>
            <w:r>
              <w:rPr>
                <w:rFonts w:hint="eastAsia"/>
              </w:rPr>
              <w:t>资料</w:t>
            </w:r>
            <w:r>
              <w:t>，项目生物质燃料含硫量（S%）</w:t>
            </w:r>
            <w:r>
              <w:rPr>
                <w:rFonts w:hint="eastAsia"/>
              </w:rPr>
              <w:t>为</w:t>
            </w:r>
            <w:r>
              <w:t>0.0</w:t>
            </w:r>
            <w:r>
              <w:rPr>
                <w:rFonts w:hint="eastAsia"/>
              </w:rPr>
              <w:t>33</w:t>
            </w:r>
            <w:r>
              <w:t>%，则S=0.0</w:t>
            </w:r>
            <w:r>
              <w:rPr>
                <w:rFonts w:hint="eastAsia"/>
              </w:rPr>
              <w:t>33</w:t>
            </w:r>
          </w:p>
          <w:p w14:paraId="1CABFE79">
            <w:pPr>
              <w:adjustRightInd w:val="0"/>
              <w:snapToGrid w:val="0"/>
              <w:spacing w:line="360" w:lineRule="auto"/>
              <w:ind w:firstLine="480" w:firstLineChars="200"/>
              <w:rPr>
                <w:sz w:val="24"/>
              </w:rPr>
            </w:pPr>
            <w:r>
              <w:rPr>
                <w:rFonts w:hint="eastAsia"/>
                <w:sz w:val="24"/>
              </w:rPr>
              <w:t>本项目热风炉烟气产生及排放情况见下表。</w:t>
            </w:r>
          </w:p>
          <w:p w14:paraId="76F95034">
            <w:pPr>
              <w:adjustRightInd w:val="0"/>
              <w:snapToGrid w:val="0"/>
              <w:spacing w:before="120" w:beforeLines="50"/>
              <w:jc w:val="center"/>
              <w:rPr>
                <w:b/>
                <w:szCs w:val="21"/>
              </w:rPr>
            </w:pPr>
            <w:r>
              <w:rPr>
                <w:rFonts w:hint="eastAsia"/>
                <w:b/>
                <w:szCs w:val="21"/>
              </w:rPr>
              <w:t>表4-2  项目热风炉烟气产生及排放情况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7"/>
              <w:gridCol w:w="1260"/>
              <w:gridCol w:w="1262"/>
              <w:gridCol w:w="1181"/>
              <w:gridCol w:w="963"/>
              <w:gridCol w:w="1162"/>
              <w:gridCol w:w="1132"/>
              <w:gridCol w:w="1181"/>
            </w:tblGrid>
            <w:tr w14:paraId="00918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Merge w:val="restart"/>
                  <w:vAlign w:val="center"/>
                </w:tcPr>
                <w:p w14:paraId="6266BB63">
                  <w:pPr>
                    <w:autoSpaceDE w:val="0"/>
                    <w:autoSpaceDN w:val="0"/>
                    <w:adjustRightInd w:val="0"/>
                    <w:jc w:val="center"/>
                    <w:rPr>
                      <w:b/>
                      <w:szCs w:val="21"/>
                    </w:rPr>
                  </w:pPr>
                  <w:r>
                    <w:rPr>
                      <w:b/>
                      <w:szCs w:val="21"/>
                    </w:rPr>
                    <w:t>污染物名称</w:t>
                  </w:r>
                </w:p>
              </w:tc>
              <w:tc>
                <w:tcPr>
                  <w:tcW w:w="1972" w:type="pct"/>
                  <w:gridSpan w:val="3"/>
                  <w:vAlign w:val="center"/>
                </w:tcPr>
                <w:p w14:paraId="3A19D6F7">
                  <w:pPr>
                    <w:autoSpaceDE w:val="0"/>
                    <w:autoSpaceDN w:val="0"/>
                    <w:adjustRightInd w:val="0"/>
                    <w:jc w:val="center"/>
                    <w:rPr>
                      <w:b/>
                      <w:szCs w:val="21"/>
                    </w:rPr>
                  </w:pPr>
                  <w:r>
                    <w:rPr>
                      <w:b/>
                      <w:szCs w:val="21"/>
                    </w:rPr>
                    <w:t>产生情况</w:t>
                  </w:r>
                </w:p>
              </w:tc>
              <w:tc>
                <w:tcPr>
                  <w:tcW w:w="513" w:type="pct"/>
                  <w:vMerge w:val="restart"/>
                  <w:vAlign w:val="center"/>
                </w:tcPr>
                <w:p w14:paraId="7E1F0513">
                  <w:pPr>
                    <w:autoSpaceDE w:val="0"/>
                    <w:autoSpaceDN w:val="0"/>
                    <w:adjustRightInd w:val="0"/>
                    <w:jc w:val="center"/>
                    <w:rPr>
                      <w:b/>
                      <w:szCs w:val="21"/>
                    </w:rPr>
                  </w:pPr>
                  <w:r>
                    <w:rPr>
                      <w:b/>
                      <w:szCs w:val="21"/>
                    </w:rPr>
                    <w:t>污染物防治措施</w:t>
                  </w:r>
                </w:p>
              </w:tc>
              <w:tc>
                <w:tcPr>
                  <w:tcW w:w="1852" w:type="pct"/>
                  <w:gridSpan w:val="3"/>
                  <w:vAlign w:val="center"/>
                </w:tcPr>
                <w:p w14:paraId="3EDE7A4C">
                  <w:pPr>
                    <w:autoSpaceDE w:val="0"/>
                    <w:autoSpaceDN w:val="0"/>
                    <w:adjustRightInd w:val="0"/>
                    <w:jc w:val="center"/>
                    <w:rPr>
                      <w:b/>
                      <w:szCs w:val="21"/>
                    </w:rPr>
                  </w:pPr>
                  <w:r>
                    <w:rPr>
                      <w:b/>
                      <w:szCs w:val="21"/>
                    </w:rPr>
                    <w:t>排放情况</w:t>
                  </w:r>
                </w:p>
              </w:tc>
            </w:tr>
            <w:tr w14:paraId="22938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Merge w:val="continue"/>
                  <w:vAlign w:val="center"/>
                </w:tcPr>
                <w:p w14:paraId="678939DB">
                  <w:pPr>
                    <w:autoSpaceDE w:val="0"/>
                    <w:autoSpaceDN w:val="0"/>
                    <w:adjustRightInd w:val="0"/>
                    <w:jc w:val="center"/>
                    <w:rPr>
                      <w:b/>
                      <w:szCs w:val="21"/>
                    </w:rPr>
                  </w:pPr>
                </w:p>
              </w:tc>
              <w:tc>
                <w:tcPr>
                  <w:tcW w:w="671" w:type="pct"/>
                  <w:vAlign w:val="center"/>
                </w:tcPr>
                <w:p w14:paraId="4936A395">
                  <w:pPr>
                    <w:autoSpaceDE w:val="0"/>
                    <w:autoSpaceDN w:val="0"/>
                    <w:adjustRightInd w:val="0"/>
                    <w:jc w:val="center"/>
                    <w:rPr>
                      <w:b/>
                      <w:szCs w:val="21"/>
                    </w:rPr>
                  </w:pPr>
                  <w:r>
                    <w:rPr>
                      <w:b/>
                      <w:szCs w:val="21"/>
                    </w:rPr>
                    <w:t>产生速率</w:t>
                  </w:r>
                  <w:bookmarkStart w:id="82" w:name="OLE_LINK61"/>
                  <w:r>
                    <w:rPr>
                      <w:b/>
                      <w:szCs w:val="21"/>
                    </w:rPr>
                    <w:t>（kg/h）</w:t>
                  </w:r>
                  <w:bookmarkEnd w:id="82"/>
                </w:p>
              </w:tc>
              <w:tc>
                <w:tcPr>
                  <w:tcW w:w="672" w:type="pct"/>
                  <w:vAlign w:val="center"/>
                </w:tcPr>
                <w:p w14:paraId="73965A1E">
                  <w:pPr>
                    <w:autoSpaceDE w:val="0"/>
                    <w:autoSpaceDN w:val="0"/>
                    <w:adjustRightInd w:val="0"/>
                    <w:jc w:val="center"/>
                    <w:rPr>
                      <w:b/>
                      <w:szCs w:val="21"/>
                    </w:rPr>
                  </w:pPr>
                  <w:r>
                    <w:rPr>
                      <w:b/>
                      <w:szCs w:val="21"/>
                    </w:rPr>
                    <w:t>产生量</w:t>
                  </w:r>
                  <w:r>
                    <w:rPr>
                      <w:b/>
                      <w:bCs/>
                      <w:spacing w:val="-10"/>
                      <w:szCs w:val="21"/>
                    </w:rPr>
                    <w:t>（t/a）</w:t>
                  </w:r>
                </w:p>
              </w:tc>
              <w:tc>
                <w:tcPr>
                  <w:tcW w:w="629" w:type="pct"/>
                  <w:vAlign w:val="center"/>
                </w:tcPr>
                <w:p w14:paraId="27524B19">
                  <w:pPr>
                    <w:autoSpaceDE w:val="0"/>
                    <w:autoSpaceDN w:val="0"/>
                    <w:adjustRightInd w:val="0"/>
                    <w:jc w:val="center"/>
                    <w:rPr>
                      <w:b/>
                      <w:szCs w:val="21"/>
                    </w:rPr>
                  </w:pPr>
                  <w:r>
                    <w:rPr>
                      <w:b/>
                      <w:szCs w:val="21"/>
                    </w:rPr>
                    <w:t>产生浓度</w:t>
                  </w:r>
                  <w:bookmarkStart w:id="83" w:name="OLE_LINK60"/>
                  <w:bookmarkStart w:id="84" w:name="OLE_LINK59"/>
                  <w:r>
                    <w:rPr>
                      <w:b/>
                      <w:bCs/>
                      <w:spacing w:val="-10"/>
                      <w:szCs w:val="21"/>
                    </w:rPr>
                    <w:t>（</w:t>
                  </w:r>
                  <w:r>
                    <w:rPr>
                      <w:b/>
                      <w:szCs w:val="21"/>
                    </w:rPr>
                    <w:t>mg/m</w:t>
                  </w:r>
                  <w:r>
                    <w:rPr>
                      <w:b/>
                      <w:szCs w:val="21"/>
                      <w:vertAlign w:val="superscript"/>
                    </w:rPr>
                    <w:t>3</w:t>
                  </w:r>
                  <w:r>
                    <w:rPr>
                      <w:b/>
                      <w:bCs/>
                      <w:spacing w:val="-10"/>
                      <w:szCs w:val="21"/>
                    </w:rPr>
                    <w:t>）</w:t>
                  </w:r>
                  <w:bookmarkEnd w:id="83"/>
                  <w:bookmarkEnd w:id="84"/>
                </w:p>
              </w:tc>
              <w:tc>
                <w:tcPr>
                  <w:tcW w:w="513" w:type="pct"/>
                  <w:vMerge w:val="continue"/>
                  <w:vAlign w:val="center"/>
                </w:tcPr>
                <w:p w14:paraId="481FFF7E">
                  <w:pPr>
                    <w:autoSpaceDE w:val="0"/>
                    <w:autoSpaceDN w:val="0"/>
                    <w:adjustRightInd w:val="0"/>
                    <w:jc w:val="center"/>
                    <w:rPr>
                      <w:b/>
                      <w:szCs w:val="21"/>
                    </w:rPr>
                  </w:pPr>
                </w:p>
              </w:tc>
              <w:tc>
                <w:tcPr>
                  <w:tcW w:w="619" w:type="pct"/>
                  <w:vAlign w:val="center"/>
                </w:tcPr>
                <w:p w14:paraId="5B31CE9E">
                  <w:pPr>
                    <w:autoSpaceDE w:val="0"/>
                    <w:autoSpaceDN w:val="0"/>
                    <w:adjustRightInd w:val="0"/>
                    <w:jc w:val="center"/>
                    <w:rPr>
                      <w:b/>
                      <w:szCs w:val="21"/>
                    </w:rPr>
                  </w:pPr>
                  <w:r>
                    <w:rPr>
                      <w:b/>
                      <w:szCs w:val="21"/>
                    </w:rPr>
                    <w:t>排放速率（kg/h）</w:t>
                  </w:r>
                </w:p>
              </w:tc>
              <w:tc>
                <w:tcPr>
                  <w:tcW w:w="603" w:type="pct"/>
                  <w:vAlign w:val="center"/>
                </w:tcPr>
                <w:p w14:paraId="5822F6E8">
                  <w:pPr>
                    <w:autoSpaceDE w:val="0"/>
                    <w:autoSpaceDN w:val="0"/>
                    <w:adjustRightInd w:val="0"/>
                    <w:jc w:val="center"/>
                    <w:rPr>
                      <w:b/>
                      <w:szCs w:val="21"/>
                    </w:rPr>
                  </w:pPr>
                  <w:r>
                    <w:rPr>
                      <w:b/>
                      <w:szCs w:val="21"/>
                    </w:rPr>
                    <w:t>排放量</w:t>
                  </w:r>
                </w:p>
                <w:p w14:paraId="2996E1CC">
                  <w:pPr>
                    <w:autoSpaceDE w:val="0"/>
                    <w:autoSpaceDN w:val="0"/>
                    <w:adjustRightInd w:val="0"/>
                    <w:jc w:val="center"/>
                    <w:rPr>
                      <w:b/>
                      <w:szCs w:val="21"/>
                    </w:rPr>
                  </w:pPr>
                  <w:r>
                    <w:rPr>
                      <w:b/>
                      <w:bCs/>
                      <w:spacing w:val="-10"/>
                      <w:szCs w:val="21"/>
                    </w:rPr>
                    <w:t>（t/a）</w:t>
                  </w:r>
                </w:p>
              </w:tc>
              <w:tc>
                <w:tcPr>
                  <w:tcW w:w="629" w:type="pct"/>
                  <w:vAlign w:val="center"/>
                </w:tcPr>
                <w:p w14:paraId="6BC5FFE9">
                  <w:pPr>
                    <w:autoSpaceDE w:val="0"/>
                    <w:autoSpaceDN w:val="0"/>
                    <w:adjustRightInd w:val="0"/>
                    <w:jc w:val="center"/>
                    <w:rPr>
                      <w:b/>
                      <w:szCs w:val="21"/>
                    </w:rPr>
                  </w:pPr>
                  <w:r>
                    <w:rPr>
                      <w:b/>
                      <w:szCs w:val="21"/>
                    </w:rPr>
                    <w:t>排放浓度</w:t>
                  </w:r>
                  <w:r>
                    <w:rPr>
                      <w:b/>
                      <w:bCs/>
                      <w:spacing w:val="-10"/>
                      <w:szCs w:val="21"/>
                    </w:rPr>
                    <w:t>（</w:t>
                  </w:r>
                  <w:r>
                    <w:rPr>
                      <w:b/>
                      <w:szCs w:val="21"/>
                    </w:rPr>
                    <w:t>mg/m</w:t>
                  </w:r>
                  <w:r>
                    <w:rPr>
                      <w:b/>
                      <w:szCs w:val="21"/>
                      <w:vertAlign w:val="superscript"/>
                    </w:rPr>
                    <w:t>3</w:t>
                  </w:r>
                  <w:r>
                    <w:rPr>
                      <w:b/>
                      <w:bCs/>
                      <w:spacing w:val="-10"/>
                      <w:szCs w:val="21"/>
                    </w:rPr>
                    <w:t>）</w:t>
                  </w:r>
                </w:p>
              </w:tc>
            </w:tr>
            <w:tr w14:paraId="30F06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3DBD1FE4">
                  <w:pPr>
                    <w:autoSpaceDE w:val="0"/>
                    <w:autoSpaceDN w:val="0"/>
                    <w:adjustRightInd w:val="0"/>
                    <w:jc w:val="center"/>
                    <w:rPr>
                      <w:szCs w:val="21"/>
                    </w:rPr>
                  </w:pPr>
                  <w:r>
                    <w:rPr>
                      <w:szCs w:val="21"/>
                    </w:rPr>
                    <w:t>废气量</w:t>
                  </w:r>
                </w:p>
              </w:tc>
              <w:tc>
                <w:tcPr>
                  <w:tcW w:w="671" w:type="pct"/>
                  <w:vAlign w:val="center"/>
                </w:tcPr>
                <w:p w14:paraId="1C3600F3">
                  <w:pPr>
                    <w:autoSpaceDE w:val="0"/>
                    <w:autoSpaceDN w:val="0"/>
                    <w:adjustRightInd w:val="0"/>
                    <w:jc w:val="center"/>
                    <w:rPr>
                      <w:szCs w:val="21"/>
                    </w:rPr>
                  </w:pPr>
                  <w:r>
                    <w:rPr>
                      <w:rFonts w:hint="eastAsia"/>
                      <w:szCs w:val="21"/>
                    </w:rPr>
                    <w:t>1451.736</w:t>
                  </w:r>
                </w:p>
                <w:p w14:paraId="4A9083C9">
                  <w:pPr>
                    <w:autoSpaceDE w:val="0"/>
                    <w:autoSpaceDN w:val="0"/>
                    <w:adjustRightInd w:val="0"/>
                    <w:jc w:val="center"/>
                    <w:rPr>
                      <w:szCs w:val="21"/>
                    </w:rPr>
                  </w:pPr>
                  <w:r>
                    <w:rPr>
                      <w:szCs w:val="21"/>
                    </w:rPr>
                    <w:t>Nm</w:t>
                  </w:r>
                  <w:r>
                    <w:rPr>
                      <w:szCs w:val="21"/>
                      <w:vertAlign w:val="superscript"/>
                    </w:rPr>
                    <w:t>3</w:t>
                  </w:r>
                  <w:r>
                    <w:rPr>
                      <w:szCs w:val="21"/>
                    </w:rPr>
                    <w:t>/h</w:t>
                  </w:r>
                </w:p>
              </w:tc>
              <w:tc>
                <w:tcPr>
                  <w:tcW w:w="672" w:type="pct"/>
                  <w:vAlign w:val="center"/>
                </w:tcPr>
                <w:p w14:paraId="67844817">
                  <w:pPr>
                    <w:autoSpaceDE w:val="0"/>
                    <w:autoSpaceDN w:val="0"/>
                    <w:adjustRightInd w:val="0"/>
                    <w:jc w:val="center"/>
                    <w:rPr>
                      <w:szCs w:val="21"/>
                    </w:rPr>
                  </w:pPr>
                  <w:r>
                    <w:rPr>
                      <w:rFonts w:hint="eastAsia"/>
                      <w:szCs w:val="21"/>
                    </w:rPr>
                    <w:t>7258680</w:t>
                  </w:r>
                </w:p>
                <w:p w14:paraId="4D4B4980">
                  <w:pPr>
                    <w:autoSpaceDE w:val="0"/>
                    <w:autoSpaceDN w:val="0"/>
                    <w:adjustRightInd w:val="0"/>
                    <w:jc w:val="center"/>
                    <w:rPr>
                      <w:szCs w:val="21"/>
                    </w:rPr>
                  </w:pPr>
                  <w:r>
                    <w:rPr>
                      <w:szCs w:val="21"/>
                    </w:rPr>
                    <w:t>Nm</w:t>
                  </w:r>
                  <w:r>
                    <w:rPr>
                      <w:szCs w:val="21"/>
                      <w:vertAlign w:val="superscript"/>
                    </w:rPr>
                    <w:t>3</w:t>
                  </w:r>
                  <w:r>
                    <w:rPr>
                      <w:szCs w:val="21"/>
                    </w:rPr>
                    <w:t>/a</w:t>
                  </w:r>
                </w:p>
              </w:tc>
              <w:tc>
                <w:tcPr>
                  <w:tcW w:w="629" w:type="pct"/>
                  <w:vAlign w:val="center"/>
                </w:tcPr>
                <w:p w14:paraId="37ED2693">
                  <w:pPr>
                    <w:autoSpaceDE w:val="0"/>
                    <w:autoSpaceDN w:val="0"/>
                    <w:adjustRightInd w:val="0"/>
                    <w:jc w:val="center"/>
                    <w:rPr>
                      <w:szCs w:val="21"/>
                    </w:rPr>
                  </w:pPr>
                  <w:r>
                    <w:rPr>
                      <w:szCs w:val="21"/>
                    </w:rPr>
                    <w:t>/</w:t>
                  </w:r>
                </w:p>
              </w:tc>
              <w:tc>
                <w:tcPr>
                  <w:tcW w:w="513" w:type="pct"/>
                  <w:vMerge w:val="restart"/>
                  <w:vAlign w:val="center"/>
                </w:tcPr>
                <w:p w14:paraId="61E4FBC2">
                  <w:pPr>
                    <w:autoSpaceDE w:val="0"/>
                    <w:autoSpaceDN w:val="0"/>
                    <w:adjustRightInd w:val="0"/>
                    <w:jc w:val="center"/>
                    <w:rPr>
                      <w:szCs w:val="21"/>
                    </w:rPr>
                  </w:pPr>
                  <w:bookmarkStart w:id="85" w:name="OLE_LINK77"/>
                  <w:r>
                    <w:rPr>
                      <w:rFonts w:hint="eastAsia"/>
                      <w:szCs w:val="21"/>
                    </w:rPr>
                    <w:t>旋风+布袋除尘</w:t>
                  </w:r>
                  <w:bookmarkEnd w:id="85"/>
                  <w:r>
                    <w:rPr>
                      <w:rFonts w:hint="eastAsia"/>
                      <w:szCs w:val="21"/>
                    </w:rPr>
                    <w:t>（除尘效率98%）</w:t>
                  </w:r>
                </w:p>
              </w:tc>
              <w:tc>
                <w:tcPr>
                  <w:tcW w:w="619" w:type="pct"/>
                  <w:vAlign w:val="center"/>
                </w:tcPr>
                <w:p w14:paraId="48CF7D48">
                  <w:pPr>
                    <w:autoSpaceDE w:val="0"/>
                    <w:autoSpaceDN w:val="0"/>
                    <w:adjustRightInd w:val="0"/>
                    <w:jc w:val="center"/>
                    <w:rPr>
                      <w:szCs w:val="21"/>
                    </w:rPr>
                  </w:pPr>
                  <w:r>
                    <w:rPr>
                      <w:rFonts w:hint="eastAsia"/>
                      <w:szCs w:val="21"/>
                    </w:rPr>
                    <w:t>1451.736</w:t>
                  </w:r>
                </w:p>
                <w:p w14:paraId="59DFC22E">
                  <w:pPr>
                    <w:autoSpaceDE w:val="0"/>
                    <w:autoSpaceDN w:val="0"/>
                    <w:adjustRightInd w:val="0"/>
                    <w:jc w:val="center"/>
                    <w:rPr>
                      <w:szCs w:val="21"/>
                    </w:rPr>
                  </w:pPr>
                  <w:r>
                    <w:rPr>
                      <w:szCs w:val="21"/>
                    </w:rPr>
                    <w:t>Nm</w:t>
                  </w:r>
                  <w:r>
                    <w:rPr>
                      <w:szCs w:val="21"/>
                      <w:vertAlign w:val="superscript"/>
                    </w:rPr>
                    <w:t>3</w:t>
                  </w:r>
                  <w:r>
                    <w:rPr>
                      <w:szCs w:val="21"/>
                    </w:rPr>
                    <w:t>/h</w:t>
                  </w:r>
                </w:p>
              </w:tc>
              <w:tc>
                <w:tcPr>
                  <w:tcW w:w="603" w:type="pct"/>
                  <w:vAlign w:val="center"/>
                </w:tcPr>
                <w:p w14:paraId="7A651D94">
                  <w:pPr>
                    <w:autoSpaceDE w:val="0"/>
                    <w:autoSpaceDN w:val="0"/>
                    <w:adjustRightInd w:val="0"/>
                    <w:jc w:val="center"/>
                    <w:rPr>
                      <w:szCs w:val="21"/>
                    </w:rPr>
                  </w:pPr>
                  <w:r>
                    <w:rPr>
                      <w:rFonts w:hint="eastAsia"/>
                      <w:szCs w:val="21"/>
                    </w:rPr>
                    <w:t>7258680</w:t>
                  </w:r>
                </w:p>
                <w:p w14:paraId="4684646F">
                  <w:pPr>
                    <w:autoSpaceDE w:val="0"/>
                    <w:autoSpaceDN w:val="0"/>
                    <w:adjustRightInd w:val="0"/>
                    <w:jc w:val="center"/>
                    <w:rPr>
                      <w:szCs w:val="21"/>
                    </w:rPr>
                  </w:pPr>
                  <w:r>
                    <w:rPr>
                      <w:szCs w:val="21"/>
                    </w:rPr>
                    <w:t>Nm</w:t>
                  </w:r>
                  <w:r>
                    <w:rPr>
                      <w:szCs w:val="21"/>
                      <w:vertAlign w:val="superscript"/>
                    </w:rPr>
                    <w:t>3</w:t>
                  </w:r>
                  <w:r>
                    <w:rPr>
                      <w:szCs w:val="21"/>
                    </w:rPr>
                    <w:t>/a</w:t>
                  </w:r>
                </w:p>
              </w:tc>
              <w:tc>
                <w:tcPr>
                  <w:tcW w:w="629" w:type="pct"/>
                  <w:vAlign w:val="center"/>
                </w:tcPr>
                <w:p w14:paraId="1AA20999">
                  <w:pPr>
                    <w:autoSpaceDE w:val="0"/>
                    <w:autoSpaceDN w:val="0"/>
                    <w:adjustRightInd w:val="0"/>
                    <w:jc w:val="center"/>
                    <w:rPr>
                      <w:szCs w:val="21"/>
                    </w:rPr>
                  </w:pPr>
                  <w:r>
                    <w:rPr>
                      <w:szCs w:val="21"/>
                    </w:rPr>
                    <w:t>/</w:t>
                  </w:r>
                </w:p>
              </w:tc>
            </w:tr>
            <w:tr w14:paraId="02D73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6C597E20">
                  <w:pPr>
                    <w:autoSpaceDE w:val="0"/>
                    <w:autoSpaceDN w:val="0"/>
                    <w:adjustRightInd w:val="0"/>
                    <w:jc w:val="center"/>
                    <w:rPr>
                      <w:szCs w:val="21"/>
                    </w:rPr>
                  </w:pPr>
                  <w:bookmarkStart w:id="86" w:name="_Hlk223450020"/>
                  <w:r>
                    <w:rPr>
                      <w:szCs w:val="21"/>
                    </w:rPr>
                    <w:t>SO</w:t>
                  </w:r>
                  <w:r>
                    <w:rPr>
                      <w:szCs w:val="21"/>
                      <w:vertAlign w:val="subscript"/>
                    </w:rPr>
                    <w:t>2</w:t>
                  </w:r>
                </w:p>
              </w:tc>
              <w:tc>
                <w:tcPr>
                  <w:tcW w:w="671" w:type="pct"/>
                  <w:vAlign w:val="center"/>
                </w:tcPr>
                <w:p w14:paraId="353A10D6">
                  <w:pPr>
                    <w:autoSpaceDE w:val="0"/>
                    <w:autoSpaceDN w:val="0"/>
                    <w:adjustRightInd w:val="0"/>
                    <w:jc w:val="center"/>
                    <w:rPr>
                      <w:szCs w:val="21"/>
                    </w:rPr>
                  </w:pPr>
                  <w:r>
                    <w:rPr>
                      <w:rFonts w:hint="eastAsia"/>
                      <w:szCs w:val="21"/>
                    </w:rPr>
                    <w:t>0.131</w:t>
                  </w:r>
                </w:p>
              </w:tc>
              <w:tc>
                <w:tcPr>
                  <w:tcW w:w="672" w:type="pct"/>
                  <w:vAlign w:val="center"/>
                </w:tcPr>
                <w:p w14:paraId="3768DA4F">
                  <w:pPr>
                    <w:autoSpaceDE w:val="0"/>
                    <w:autoSpaceDN w:val="0"/>
                    <w:adjustRightInd w:val="0"/>
                    <w:jc w:val="center"/>
                    <w:rPr>
                      <w:szCs w:val="21"/>
                    </w:rPr>
                  </w:pPr>
                  <w:r>
                    <w:rPr>
                      <w:rFonts w:hint="eastAsia"/>
                      <w:szCs w:val="21"/>
                    </w:rPr>
                    <w:t>0.653</w:t>
                  </w:r>
                </w:p>
              </w:tc>
              <w:tc>
                <w:tcPr>
                  <w:tcW w:w="629" w:type="pct"/>
                  <w:vAlign w:val="center"/>
                </w:tcPr>
                <w:p w14:paraId="47812B34">
                  <w:pPr>
                    <w:autoSpaceDE w:val="0"/>
                    <w:autoSpaceDN w:val="0"/>
                    <w:adjustRightInd w:val="0"/>
                    <w:jc w:val="center"/>
                    <w:rPr>
                      <w:szCs w:val="21"/>
                    </w:rPr>
                  </w:pPr>
                  <w:r>
                    <w:rPr>
                      <w:rFonts w:hint="eastAsia"/>
                      <w:szCs w:val="21"/>
                    </w:rPr>
                    <w:t>89.904</w:t>
                  </w:r>
                </w:p>
              </w:tc>
              <w:tc>
                <w:tcPr>
                  <w:tcW w:w="513" w:type="pct"/>
                  <w:vMerge w:val="continue"/>
                  <w:vAlign w:val="center"/>
                </w:tcPr>
                <w:p w14:paraId="6CCBC80B">
                  <w:pPr>
                    <w:autoSpaceDE w:val="0"/>
                    <w:autoSpaceDN w:val="0"/>
                    <w:adjustRightInd w:val="0"/>
                    <w:jc w:val="center"/>
                    <w:rPr>
                      <w:szCs w:val="21"/>
                    </w:rPr>
                  </w:pPr>
                </w:p>
              </w:tc>
              <w:tc>
                <w:tcPr>
                  <w:tcW w:w="619" w:type="pct"/>
                  <w:vAlign w:val="center"/>
                </w:tcPr>
                <w:p w14:paraId="3E9593A5">
                  <w:pPr>
                    <w:autoSpaceDE w:val="0"/>
                    <w:autoSpaceDN w:val="0"/>
                    <w:adjustRightInd w:val="0"/>
                    <w:jc w:val="center"/>
                    <w:rPr>
                      <w:szCs w:val="21"/>
                    </w:rPr>
                  </w:pPr>
                  <w:r>
                    <w:rPr>
                      <w:rFonts w:hint="eastAsia"/>
                      <w:szCs w:val="21"/>
                    </w:rPr>
                    <w:t>0.131</w:t>
                  </w:r>
                </w:p>
              </w:tc>
              <w:tc>
                <w:tcPr>
                  <w:tcW w:w="603" w:type="pct"/>
                  <w:vAlign w:val="center"/>
                </w:tcPr>
                <w:p w14:paraId="768A5C12">
                  <w:pPr>
                    <w:autoSpaceDE w:val="0"/>
                    <w:autoSpaceDN w:val="0"/>
                    <w:adjustRightInd w:val="0"/>
                    <w:jc w:val="center"/>
                    <w:rPr>
                      <w:szCs w:val="21"/>
                    </w:rPr>
                  </w:pPr>
                  <w:r>
                    <w:rPr>
                      <w:rFonts w:hint="eastAsia"/>
                      <w:szCs w:val="21"/>
                    </w:rPr>
                    <w:t>0.653</w:t>
                  </w:r>
                </w:p>
              </w:tc>
              <w:tc>
                <w:tcPr>
                  <w:tcW w:w="629" w:type="pct"/>
                  <w:vAlign w:val="center"/>
                </w:tcPr>
                <w:p w14:paraId="1F91A61A">
                  <w:pPr>
                    <w:autoSpaceDE w:val="0"/>
                    <w:autoSpaceDN w:val="0"/>
                    <w:adjustRightInd w:val="0"/>
                    <w:jc w:val="center"/>
                    <w:rPr>
                      <w:szCs w:val="21"/>
                    </w:rPr>
                  </w:pPr>
                  <w:r>
                    <w:rPr>
                      <w:rFonts w:hint="eastAsia"/>
                      <w:szCs w:val="21"/>
                    </w:rPr>
                    <w:t>89.904</w:t>
                  </w:r>
                </w:p>
              </w:tc>
            </w:tr>
            <w:tr w14:paraId="7BE37F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5BDEF960">
                  <w:pPr>
                    <w:autoSpaceDE w:val="0"/>
                    <w:autoSpaceDN w:val="0"/>
                    <w:adjustRightInd w:val="0"/>
                    <w:jc w:val="center"/>
                    <w:rPr>
                      <w:szCs w:val="21"/>
                    </w:rPr>
                  </w:pPr>
                  <w:r>
                    <w:rPr>
                      <w:szCs w:val="21"/>
                    </w:rPr>
                    <w:t>氮氧化物</w:t>
                  </w:r>
                </w:p>
              </w:tc>
              <w:tc>
                <w:tcPr>
                  <w:tcW w:w="671" w:type="pct"/>
                  <w:vAlign w:val="center"/>
                </w:tcPr>
                <w:p w14:paraId="001F257C">
                  <w:pPr>
                    <w:widowControl/>
                    <w:jc w:val="center"/>
                    <w:textAlignment w:val="center"/>
                    <w:rPr>
                      <w:szCs w:val="21"/>
                    </w:rPr>
                  </w:pPr>
                  <w:r>
                    <w:rPr>
                      <w:rFonts w:hint="eastAsia"/>
                      <w:szCs w:val="21"/>
                    </w:rPr>
                    <w:t>0.237</w:t>
                  </w:r>
                </w:p>
              </w:tc>
              <w:tc>
                <w:tcPr>
                  <w:tcW w:w="672" w:type="pct"/>
                  <w:vAlign w:val="center"/>
                </w:tcPr>
                <w:p w14:paraId="4B00ED97">
                  <w:pPr>
                    <w:widowControl/>
                    <w:jc w:val="center"/>
                    <w:textAlignment w:val="center"/>
                    <w:rPr>
                      <w:szCs w:val="21"/>
                    </w:rPr>
                  </w:pPr>
                  <w:r>
                    <w:rPr>
                      <w:rFonts w:hint="eastAsia"/>
                      <w:szCs w:val="21"/>
                    </w:rPr>
                    <w:t>1.187</w:t>
                  </w:r>
                </w:p>
              </w:tc>
              <w:tc>
                <w:tcPr>
                  <w:tcW w:w="629" w:type="pct"/>
                  <w:vAlign w:val="center"/>
                </w:tcPr>
                <w:p w14:paraId="709B8924">
                  <w:pPr>
                    <w:widowControl/>
                    <w:jc w:val="center"/>
                    <w:textAlignment w:val="center"/>
                    <w:rPr>
                      <w:szCs w:val="21"/>
                    </w:rPr>
                  </w:pPr>
                  <w:r>
                    <w:rPr>
                      <w:rFonts w:hint="eastAsia"/>
                      <w:szCs w:val="21"/>
                    </w:rPr>
                    <w:t>163.462</w:t>
                  </w:r>
                </w:p>
              </w:tc>
              <w:tc>
                <w:tcPr>
                  <w:tcW w:w="513" w:type="pct"/>
                  <w:vMerge w:val="continue"/>
                  <w:vAlign w:val="center"/>
                </w:tcPr>
                <w:p w14:paraId="7475DE62">
                  <w:pPr>
                    <w:autoSpaceDE w:val="0"/>
                    <w:autoSpaceDN w:val="0"/>
                    <w:adjustRightInd w:val="0"/>
                    <w:jc w:val="center"/>
                    <w:rPr>
                      <w:szCs w:val="21"/>
                    </w:rPr>
                  </w:pPr>
                </w:p>
              </w:tc>
              <w:tc>
                <w:tcPr>
                  <w:tcW w:w="619" w:type="pct"/>
                  <w:vAlign w:val="center"/>
                </w:tcPr>
                <w:p w14:paraId="2AA8003E">
                  <w:pPr>
                    <w:widowControl/>
                    <w:jc w:val="center"/>
                    <w:textAlignment w:val="center"/>
                    <w:rPr>
                      <w:szCs w:val="21"/>
                    </w:rPr>
                  </w:pPr>
                  <w:r>
                    <w:rPr>
                      <w:rFonts w:hint="eastAsia"/>
                      <w:szCs w:val="21"/>
                    </w:rPr>
                    <w:t>0.237</w:t>
                  </w:r>
                </w:p>
              </w:tc>
              <w:tc>
                <w:tcPr>
                  <w:tcW w:w="603" w:type="pct"/>
                  <w:vAlign w:val="center"/>
                </w:tcPr>
                <w:p w14:paraId="4667885E">
                  <w:pPr>
                    <w:widowControl/>
                    <w:jc w:val="center"/>
                    <w:textAlignment w:val="center"/>
                    <w:rPr>
                      <w:szCs w:val="21"/>
                    </w:rPr>
                  </w:pPr>
                  <w:r>
                    <w:rPr>
                      <w:rFonts w:hint="eastAsia"/>
                      <w:szCs w:val="21"/>
                    </w:rPr>
                    <w:t>1.187</w:t>
                  </w:r>
                </w:p>
              </w:tc>
              <w:tc>
                <w:tcPr>
                  <w:tcW w:w="629" w:type="pct"/>
                  <w:vAlign w:val="center"/>
                </w:tcPr>
                <w:p w14:paraId="426F51D4">
                  <w:pPr>
                    <w:widowControl/>
                    <w:jc w:val="center"/>
                    <w:textAlignment w:val="center"/>
                    <w:rPr>
                      <w:szCs w:val="21"/>
                    </w:rPr>
                  </w:pPr>
                  <w:r>
                    <w:rPr>
                      <w:rFonts w:hint="eastAsia"/>
                      <w:szCs w:val="21"/>
                    </w:rPr>
                    <w:t>163.462</w:t>
                  </w:r>
                </w:p>
              </w:tc>
            </w:tr>
            <w:tr w14:paraId="3F6106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4" w:type="pct"/>
                  <w:vAlign w:val="center"/>
                </w:tcPr>
                <w:p w14:paraId="34D652AC">
                  <w:pPr>
                    <w:autoSpaceDE w:val="0"/>
                    <w:autoSpaceDN w:val="0"/>
                    <w:adjustRightInd w:val="0"/>
                    <w:jc w:val="center"/>
                    <w:rPr>
                      <w:szCs w:val="21"/>
                    </w:rPr>
                  </w:pPr>
                  <w:r>
                    <w:rPr>
                      <w:szCs w:val="21"/>
                    </w:rPr>
                    <w:t>烟尘</w:t>
                  </w:r>
                </w:p>
              </w:tc>
              <w:tc>
                <w:tcPr>
                  <w:tcW w:w="671" w:type="pct"/>
                  <w:vAlign w:val="center"/>
                </w:tcPr>
                <w:p w14:paraId="466420CE">
                  <w:pPr>
                    <w:widowControl/>
                    <w:jc w:val="center"/>
                    <w:textAlignment w:val="center"/>
                    <w:rPr>
                      <w:szCs w:val="21"/>
                    </w:rPr>
                  </w:pPr>
                  <w:r>
                    <w:rPr>
                      <w:rFonts w:hint="eastAsia"/>
                      <w:szCs w:val="21"/>
                    </w:rPr>
                    <w:t>0.116</w:t>
                  </w:r>
                </w:p>
              </w:tc>
              <w:tc>
                <w:tcPr>
                  <w:tcW w:w="672" w:type="pct"/>
                  <w:vAlign w:val="center"/>
                </w:tcPr>
                <w:p w14:paraId="131A9E31">
                  <w:pPr>
                    <w:widowControl/>
                    <w:jc w:val="center"/>
                    <w:textAlignment w:val="center"/>
                    <w:rPr>
                      <w:szCs w:val="21"/>
                    </w:rPr>
                  </w:pPr>
                  <w:r>
                    <w:rPr>
                      <w:rFonts w:hint="eastAsia"/>
                      <w:szCs w:val="21"/>
                    </w:rPr>
                    <w:t>0.582</w:t>
                  </w:r>
                </w:p>
              </w:tc>
              <w:tc>
                <w:tcPr>
                  <w:tcW w:w="629" w:type="pct"/>
                  <w:vAlign w:val="center"/>
                </w:tcPr>
                <w:p w14:paraId="741179FD">
                  <w:pPr>
                    <w:widowControl/>
                    <w:jc w:val="center"/>
                    <w:textAlignment w:val="center"/>
                    <w:rPr>
                      <w:szCs w:val="21"/>
                    </w:rPr>
                  </w:pPr>
                  <w:r>
                    <w:rPr>
                      <w:rFonts w:hint="eastAsia"/>
                      <w:szCs w:val="21"/>
                    </w:rPr>
                    <w:t>80.128</w:t>
                  </w:r>
                </w:p>
              </w:tc>
              <w:tc>
                <w:tcPr>
                  <w:tcW w:w="513" w:type="pct"/>
                  <w:vMerge w:val="continue"/>
                  <w:vAlign w:val="center"/>
                </w:tcPr>
                <w:p w14:paraId="79387DBF">
                  <w:pPr>
                    <w:autoSpaceDE w:val="0"/>
                    <w:autoSpaceDN w:val="0"/>
                    <w:adjustRightInd w:val="0"/>
                    <w:jc w:val="center"/>
                    <w:rPr>
                      <w:szCs w:val="21"/>
                    </w:rPr>
                  </w:pPr>
                </w:p>
              </w:tc>
              <w:tc>
                <w:tcPr>
                  <w:tcW w:w="619" w:type="pct"/>
                  <w:vAlign w:val="center"/>
                </w:tcPr>
                <w:p w14:paraId="528C632B">
                  <w:pPr>
                    <w:autoSpaceDE w:val="0"/>
                    <w:autoSpaceDN w:val="0"/>
                    <w:adjustRightInd w:val="0"/>
                    <w:jc w:val="center"/>
                    <w:rPr>
                      <w:szCs w:val="21"/>
                    </w:rPr>
                  </w:pPr>
                  <w:r>
                    <w:rPr>
                      <w:rFonts w:hint="eastAsia"/>
                      <w:szCs w:val="21"/>
                    </w:rPr>
                    <w:t>0.0024</w:t>
                  </w:r>
                </w:p>
              </w:tc>
              <w:tc>
                <w:tcPr>
                  <w:tcW w:w="603" w:type="pct"/>
                  <w:vAlign w:val="center"/>
                </w:tcPr>
                <w:p w14:paraId="36CDCA45">
                  <w:pPr>
                    <w:autoSpaceDE w:val="0"/>
                    <w:autoSpaceDN w:val="0"/>
                    <w:adjustRightInd w:val="0"/>
                    <w:jc w:val="center"/>
                    <w:rPr>
                      <w:szCs w:val="21"/>
                    </w:rPr>
                  </w:pPr>
                  <w:r>
                    <w:rPr>
                      <w:rFonts w:hint="eastAsia"/>
                      <w:szCs w:val="21"/>
                    </w:rPr>
                    <w:t>0.0116</w:t>
                  </w:r>
                </w:p>
              </w:tc>
              <w:tc>
                <w:tcPr>
                  <w:tcW w:w="629" w:type="pct"/>
                  <w:vAlign w:val="center"/>
                </w:tcPr>
                <w:p w14:paraId="26E13A11">
                  <w:pPr>
                    <w:autoSpaceDE w:val="0"/>
                    <w:autoSpaceDN w:val="0"/>
                    <w:adjustRightInd w:val="0"/>
                    <w:jc w:val="center"/>
                    <w:rPr>
                      <w:szCs w:val="21"/>
                    </w:rPr>
                  </w:pPr>
                  <w:r>
                    <w:rPr>
                      <w:rFonts w:hint="eastAsia"/>
                      <w:szCs w:val="21"/>
                    </w:rPr>
                    <w:t>1.603</w:t>
                  </w:r>
                </w:p>
              </w:tc>
            </w:tr>
            <w:bookmarkEnd w:id="86"/>
          </w:tbl>
          <w:p w14:paraId="3DBD8D14">
            <w:pPr>
              <w:pStyle w:val="2"/>
              <w:spacing w:line="360" w:lineRule="auto"/>
              <w:ind w:firstLine="480" w:firstLineChars="200"/>
              <w:jc w:val="both"/>
              <w:rPr>
                <w:rFonts w:ascii="Times New Roman" w:cs="Times New Roman"/>
                <w:color w:val="auto"/>
              </w:rPr>
            </w:pPr>
            <w:r>
              <w:rPr>
                <w:rFonts w:hint="eastAsia" w:ascii="Times New Roman" w:cs="Times New Roman"/>
                <w:color w:val="auto"/>
              </w:rPr>
              <w:t>⑤烘干废气</w:t>
            </w:r>
          </w:p>
          <w:p w14:paraId="4869A8AC">
            <w:pPr>
              <w:pStyle w:val="2"/>
              <w:spacing w:line="360" w:lineRule="auto"/>
              <w:ind w:firstLine="480" w:firstLineChars="200"/>
              <w:rPr>
                <w:rFonts w:ascii="Times New Roman" w:cs="Times New Roman"/>
                <w:color w:val="auto"/>
              </w:rPr>
            </w:pPr>
            <w:r>
              <w:rPr>
                <w:rFonts w:hint="eastAsia" w:ascii="Times New Roman" w:cs="Times New Roman"/>
                <w:color w:val="auto"/>
              </w:rPr>
              <w:t>粮食经烘干塔烘干过程中会产生粉尘。参考《逸散性工业粉尘控制技术（中国环境出版社，1989年）》中乡村谷物贮存“柱式谷物干燥”的产尘系数为0.25kg/t，本项目烘干的湿稻谷总量为75000t/a，则产生粉尘量为18.75t/a，成分是颗粒比较小的原料、粉尘。</w:t>
            </w:r>
            <w:r>
              <w:rPr>
                <w:color w:val="auto"/>
              </w:rPr>
              <w:t>烘干过程中，在引风机风力作用下，</w:t>
            </w:r>
            <w:r>
              <w:rPr>
                <w:rFonts w:hint="eastAsia"/>
                <w:color w:val="auto"/>
              </w:rPr>
              <w:t>热风炉加热干净空气</w:t>
            </w:r>
            <w:r>
              <w:rPr>
                <w:color w:val="auto"/>
              </w:rPr>
              <w:t>，空气经加热后进入烘干机与粮食混合，烘干后含有粉尘的尾气经设备自带除尘风网处理后进入项目自然降尘室沉降后经过布袋除尘器处理后</w:t>
            </w:r>
            <w:bookmarkStart w:id="87" w:name="OLE_LINK83"/>
            <w:bookmarkStart w:id="88" w:name="OLE_LINK82"/>
            <w:r>
              <w:rPr>
                <w:rFonts w:hint="eastAsia" w:ascii="Times New Roman" w:cs="Times New Roman"/>
                <w:color w:val="auto"/>
              </w:rPr>
              <w:t>无组织排放</w:t>
            </w:r>
            <w:bookmarkEnd w:id="87"/>
            <w:bookmarkEnd w:id="88"/>
            <w:r>
              <w:rPr>
                <w:rFonts w:hint="eastAsia" w:ascii="Times New Roman" w:cs="Times New Roman"/>
                <w:color w:val="auto"/>
              </w:rPr>
              <w:t>。项目设有6台烘干塔，总最大烘干规模为300t/d，年工作时间为5000h，设有沉降室一间容积约为100m</w:t>
            </w:r>
            <w:r>
              <w:rPr>
                <w:rFonts w:hint="eastAsia" w:ascii="Times New Roman" w:cs="Times New Roman"/>
                <w:color w:val="auto"/>
                <w:vertAlign w:val="superscript"/>
              </w:rPr>
              <w:t>3</w:t>
            </w:r>
            <w:r>
              <w:rPr>
                <w:rFonts w:hint="eastAsia" w:ascii="Times New Roman" w:cs="Times New Roman"/>
                <w:color w:val="auto"/>
              </w:rPr>
              <w:t>，内设置布袋除尘器1台，本项目</w:t>
            </w:r>
            <w:r>
              <w:rPr>
                <w:rFonts w:hint="eastAsia"/>
                <w:color w:val="auto"/>
              </w:rPr>
              <w:t>沉降室为密闭空间，废气收集率</w:t>
            </w:r>
            <w:r>
              <w:rPr>
                <w:rFonts w:hint="eastAsia" w:ascii="Times New Roman" w:cs="Times New Roman"/>
                <w:color w:val="auto"/>
              </w:rPr>
              <w:t>约为95%，处理效率按99%计算，则无组织排放粉尘为1.116t/a。</w:t>
            </w:r>
          </w:p>
          <w:p w14:paraId="371590D3">
            <w:pPr>
              <w:pStyle w:val="2"/>
              <w:spacing w:line="360" w:lineRule="auto"/>
              <w:ind w:firstLine="482" w:firstLineChars="200"/>
              <w:jc w:val="both"/>
              <w:rPr>
                <w:rFonts w:ascii="Times New Roman" w:cs="Times New Roman"/>
                <w:b/>
                <w:color w:val="auto"/>
              </w:rPr>
            </w:pPr>
            <w:r>
              <w:rPr>
                <w:rFonts w:hint="eastAsia" w:ascii="Times New Roman" w:cs="Times New Roman"/>
                <w:b/>
                <w:color w:val="auto"/>
              </w:rPr>
              <w:t>（2）平房仓废气源强</w:t>
            </w:r>
          </w:p>
          <w:p w14:paraId="00D4B3F7">
            <w:pPr>
              <w:pStyle w:val="2"/>
              <w:spacing w:line="360" w:lineRule="auto"/>
              <w:ind w:firstLine="480" w:firstLineChars="200"/>
              <w:rPr>
                <w:rFonts w:ascii="Times New Roman" w:cs="Times New Roman"/>
                <w:color w:val="auto"/>
              </w:rPr>
            </w:pPr>
            <w:r>
              <w:rPr>
                <w:rFonts w:hint="eastAsia" w:ascii="Times New Roman" w:cs="Times New Roman"/>
                <w:color w:val="auto"/>
              </w:rPr>
              <w:t>①装卸粉尘</w:t>
            </w:r>
          </w:p>
          <w:p w14:paraId="0055969F">
            <w:pPr>
              <w:pStyle w:val="2"/>
              <w:spacing w:line="360" w:lineRule="auto"/>
              <w:ind w:firstLine="480" w:firstLineChars="200"/>
              <w:rPr>
                <w:rFonts w:ascii="Times New Roman" w:cs="Times New Roman"/>
                <w:color w:val="auto"/>
              </w:rPr>
            </w:pPr>
            <w:r>
              <w:rPr>
                <w:rFonts w:hint="eastAsia" w:ascii="Times New Roman" w:cs="Times New Roman"/>
                <w:color w:val="auto"/>
              </w:rPr>
              <w:t>本项目平房仓装卸粮食过程中会产生粉尘。由于农用机械不断升级，粮食收割设备配备性能优良筛分装置，大部分杂质的已在耕地上被去除，因此原料卸料时粉尘的产生量较少，参考《逸散性工业粉尘控制技术（中国环境出版社，1989年）》中乡村谷物贮存“卡车卸料”的产尘系数为0.16kg/t、“卡车装料”的产尘系数为0.15kg/t。本工序装卸粉尘共计5.208t/a，其中卸车原料干稻谷为1.68万t，则装车粉尘产生量为2.688t/a；装车外售稻谷为1.68万t，则装车粉尘产生量为2.52t/a。本项目装卸在封闭的车间内进行操作，粮食装卸粉尘绝大多数将受到重力的作用回落到地面。</w:t>
            </w:r>
          </w:p>
          <w:p w14:paraId="551B876E">
            <w:pPr>
              <w:pStyle w:val="2"/>
              <w:spacing w:line="360" w:lineRule="auto"/>
              <w:ind w:firstLine="480" w:firstLineChars="200"/>
              <w:rPr>
                <w:rFonts w:ascii="Times New Roman" w:cs="Times New Roman"/>
                <w:color w:val="auto"/>
              </w:rPr>
            </w:pPr>
            <w:r>
              <w:rPr>
                <w:rFonts w:hint="eastAsia" w:ascii="Times New Roman" w:cs="Times New Roman"/>
                <w:color w:val="auto"/>
              </w:rPr>
              <w:t>本项目装卸工段采取车间密闭，减少装卸落差，禁止在大风天气进行装运作业，文明铲装卸车等措施后，降尘效果能达到90%以上，则装卸过程中无组织粉尘排放量为0.521t/a。</w:t>
            </w:r>
          </w:p>
          <w:p w14:paraId="5DF16EFF">
            <w:pPr>
              <w:spacing w:line="360" w:lineRule="auto"/>
              <w:ind w:firstLine="480" w:firstLineChars="200"/>
              <w:rPr>
                <w:sz w:val="24"/>
              </w:rPr>
            </w:pPr>
            <w:r>
              <w:rPr>
                <w:rFonts w:hint="eastAsia"/>
                <w:sz w:val="24"/>
              </w:rPr>
              <w:t>②输送粉尘</w:t>
            </w:r>
          </w:p>
          <w:p w14:paraId="678AE801">
            <w:pPr>
              <w:spacing w:line="360" w:lineRule="auto"/>
              <w:ind w:firstLine="480" w:firstLineChars="200"/>
              <w:rPr>
                <w:sz w:val="24"/>
              </w:rPr>
            </w:pPr>
            <w:r>
              <w:rPr>
                <w:rFonts w:hint="eastAsia"/>
                <w:sz w:val="24"/>
              </w:rPr>
              <w:t>本项目平房仓清理筛分、入仓过程中设有传送带用于转移运输粮食，在受料、落料过程中会产生粉尘，通过控制输送机的皮带速度，使皮带匀速、缓慢地运行，并且输送皮带在全封闭的廊道内，粉尘产生量较少，可忽略不计。</w:t>
            </w:r>
          </w:p>
          <w:p w14:paraId="637998C2">
            <w:pPr>
              <w:spacing w:line="360" w:lineRule="auto"/>
              <w:ind w:firstLine="480" w:firstLineChars="200"/>
              <w:rPr>
                <w:sz w:val="24"/>
              </w:rPr>
            </w:pPr>
            <w:r>
              <w:rPr>
                <w:rFonts w:hint="eastAsia"/>
                <w:sz w:val="24"/>
              </w:rPr>
              <w:t>③清筛粉尘</w:t>
            </w:r>
          </w:p>
          <w:p w14:paraId="2F5553F6">
            <w:pPr>
              <w:pStyle w:val="2"/>
              <w:spacing w:line="360" w:lineRule="auto"/>
              <w:ind w:firstLine="480" w:firstLineChars="200"/>
              <w:jc w:val="both"/>
              <w:rPr>
                <w:rFonts w:ascii="Times New Roman" w:cs="Times New Roman"/>
                <w:color w:val="auto"/>
              </w:rPr>
            </w:pPr>
            <w:r>
              <w:rPr>
                <w:color w:val="auto"/>
              </w:rPr>
              <w:t>平房仓粮食通过</w:t>
            </w:r>
            <w:r>
              <w:rPr>
                <w:rFonts w:hint="eastAsia"/>
                <w:color w:val="auto"/>
              </w:rPr>
              <w:t>多功能</w:t>
            </w:r>
            <w:r>
              <w:rPr>
                <w:color w:val="auto"/>
              </w:rPr>
              <w:t>振动筛、移动式清理机等进行清理，清理过程，稻谷中夹杂的轻杂质会散逸形成粉尘。</w:t>
            </w:r>
            <w:r>
              <w:rPr>
                <w:rFonts w:hint="eastAsia" w:ascii="Times New Roman" w:cs="Times New Roman"/>
                <w:color w:val="auto"/>
              </w:rPr>
              <w:t>由于农用机械不断升级，粮食收割设备配备性能优良筛分装置，大部分杂质的已在耕地上被去除，因此粉尘的产生量较少。参考《逸散性工业粉尘控制技术（中国环境出版社，1989年）》中乡村谷物贮存“筛分和清理”的产尘系数为0.1kg/t，平房仓清理粮食量为1.68万吨，则清筛粉尘产生量为1.68t/a。通过采用封闭清理筛进行筛分，筛分机自带纤维过滤袋，同时在下泄口四周设立不低于1米围挡的方式抑制粉尘的扩散，并且定期清理收集，处理效率为90%，则无组织排放量为0.168t/a</w:t>
            </w:r>
            <w:r>
              <w:rPr>
                <w:rFonts w:ascii="Times New Roman" w:cs="Times New Roman"/>
                <w:color w:val="auto"/>
              </w:rPr>
              <w:t>。</w:t>
            </w:r>
          </w:p>
          <w:p w14:paraId="738963FC">
            <w:pPr>
              <w:pStyle w:val="2"/>
              <w:spacing w:line="360" w:lineRule="auto"/>
              <w:ind w:firstLine="480" w:firstLineChars="200"/>
              <w:jc w:val="both"/>
              <w:rPr>
                <w:rFonts w:ascii="Times New Roman" w:cs="Times New Roman"/>
                <w:color w:val="auto"/>
              </w:rPr>
            </w:pPr>
            <w:r>
              <w:rPr>
                <w:rFonts w:hint="eastAsia" w:ascii="Times New Roman" w:cs="Times New Roman"/>
                <w:color w:val="auto"/>
              </w:rPr>
              <w:t>④熏蒸废气</w:t>
            </w:r>
          </w:p>
          <w:p w14:paraId="01913FDE">
            <w:pPr>
              <w:spacing w:line="360" w:lineRule="auto"/>
              <w:ind w:firstLine="480" w:firstLineChars="200"/>
              <w:rPr>
                <w:sz w:val="24"/>
              </w:rPr>
            </w:pPr>
            <w:r>
              <w:rPr>
                <w:sz w:val="24"/>
              </w:rPr>
              <w:t>项目入库时进行熏蒸，由《粮油熏蒸安全操作规程》可知，熏蒸结束后，当仓内磷化氢浓度低于50ppm时即可开仓散气，自然通风散气时间为5-7天，当仓内浓度</w:t>
            </w:r>
            <w:r>
              <w:rPr>
                <w:rFonts w:hint="eastAsia"/>
                <w:sz w:val="24"/>
              </w:rPr>
              <w:t>降</w:t>
            </w:r>
            <w:r>
              <w:rPr>
                <w:sz w:val="24"/>
              </w:rPr>
              <w:t>至0.2ppm以下时，人员方可进仓，待充分散气后，安排人员处理残渣，并进行熏蒸效果检查，产生量较少，且熏蒸时间较短，熏蒸工艺处于密闭舱内，对周围环境影响较小，仅进行定性分析，主要成分为PH</w:t>
            </w:r>
            <w:r>
              <w:rPr>
                <w:sz w:val="24"/>
                <w:vertAlign w:val="subscript"/>
              </w:rPr>
              <w:t>3</w:t>
            </w:r>
            <w:r>
              <w:rPr>
                <w:sz w:val="24"/>
              </w:rPr>
              <w:t>，无色气体，有蒜臭味。磷化氢对人体的毒性影响见下表。</w:t>
            </w:r>
          </w:p>
          <w:p w14:paraId="00D09B54">
            <w:pPr>
              <w:adjustRightInd w:val="0"/>
              <w:snapToGrid w:val="0"/>
              <w:spacing w:before="120" w:beforeLines="50"/>
              <w:jc w:val="center"/>
              <w:rPr>
                <w:b/>
                <w:bCs/>
                <w:szCs w:val="21"/>
              </w:rPr>
            </w:pPr>
            <w:r>
              <w:rPr>
                <w:b/>
                <w:bCs/>
                <w:szCs w:val="21"/>
              </w:rPr>
              <w:t>表4-</w:t>
            </w:r>
            <w:r>
              <w:rPr>
                <w:rFonts w:hint="eastAsia"/>
                <w:b/>
                <w:bCs/>
                <w:szCs w:val="21"/>
              </w:rPr>
              <w:t>3</w:t>
            </w:r>
            <w:r>
              <w:rPr>
                <w:b/>
                <w:bCs/>
                <w:szCs w:val="21"/>
              </w:rPr>
              <w:t xml:space="preserve"> </w:t>
            </w:r>
            <w:r>
              <w:rPr>
                <w:rFonts w:hint="eastAsia"/>
                <w:b/>
                <w:bCs/>
                <w:szCs w:val="21"/>
              </w:rPr>
              <w:t xml:space="preserve"> </w:t>
            </w:r>
            <w:r>
              <w:rPr>
                <w:b/>
                <w:bCs/>
                <w:szCs w:val="21"/>
              </w:rPr>
              <w:t>磷化氢对人体的毒性影响</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95"/>
              <w:gridCol w:w="2535"/>
              <w:gridCol w:w="4358"/>
            </w:tblGrid>
            <w:tr w14:paraId="52E9B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679" w:type="pct"/>
                  <w:gridSpan w:val="2"/>
                  <w:vAlign w:val="center"/>
                </w:tcPr>
                <w:p w14:paraId="3A3B6B07">
                  <w:pPr>
                    <w:jc w:val="center"/>
                    <w:rPr>
                      <w:b/>
                    </w:rPr>
                  </w:pPr>
                  <w:r>
                    <w:rPr>
                      <w:b/>
                    </w:rPr>
                    <w:t>空气中浓度</w:t>
                  </w:r>
                </w:p>
              </w:tc>
              <w:tc>
                <w:tcPr>
                  <w:tcW w:w="2321" w:type="pct"/>
                  <w:vMerge w:val="restart"/>
                  <w:vAlign w:val="center"/>
                </w:tcPr>
                <w:p w14:paraId="4B84F0B7">
                  <w:pPr>
                    <w:jc w:val="center"/>
                    <w:rPr>
                      <w:b/>
                    </w:rPr>
                  </w:pPr>
                  <w:r>
                    <w:rPr>
                      <w:b/>
                    </w:rPr>
                    <w:t>影响</w:t>
                  </w:r>
                </w:p>
              </w:tc>
            </w:tr>
            <w:tr w14:paraId="79C4D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500AA972">
                  <w:pPr>
                    <w:jc w:val="center"/>
                    <w:rPr>
                      <w:b/>
                    </w:rPr>
                  </w:pPr>
                  <w:r>
                    <w:rPr>
                      <w:b/>
                    </w:rPr>
                    <w:t>mg/m</w:t>
                  </w:r>
                  <w:r>
                    <w:rPr>
                      <w:b/>
                      <w:vertAlign w:val="superscript"/>
                    </w:rPr>
                    <w:t>3</w:t>
                  </w:r>
                </w:p>
              </w:tc>
              <w:tc>
                <w:tcPr>
                  <w:tcW w:w="1350" w:type="pct"/>
                  <w:vAlign w:val="center"/>
                </w:tcPr>
                <w:p w14:paraId="4F544928">
                  <w:pPr>
                    <w:jc w:val="center"/>
                    <w:rPr>
                      <w:b/>
                    </w:rPr>
                  </w:pPr>
                  <w:r>
                    <w:rPr>
                      <w:b/>
                    </w:rPr>
                    <w:t>ppm</w:t>
                  </w:r>
                </w:p>
              </w:tc>
              <w:tc>
                <w:tcPr>
                  <w:tcW w:w="2321" w:type="pct"/>
                  <w:vMerge w:val="continue"/>
                  <w:vAlign w:val="center"/>
                </w:tcPr>
                <w:p w14:paraId="4DA4D4F7">
                  <w:pPr>
                    <w:jc w:val="center"/>
                  </w:pPr>
                </w:p>
              </w:tc>
            </w:tr>
            <w:tr w14:paraId="7364B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329" w:type="pct"/>
                  <w:vAlign w:val="center"/>
                </w:tcPr>
                <w:p w14:paraId="644AE1B7">
                  <w:pPr>
                    <w:jc w:val="center"/>
                  </w:pPr>
                  <w:r>
                    <w:t>2780</w:t>
                  </w:r>
                </w:p>
              </w:tc>
              <w:tc>
                <w:tcPr>
                  <w:tcW w:w="1350" w:type="pct"/>
                  <w:vAlign w:val="center"/>
                </w:tcPr>
                <w:p w14:paraId="5129382A">
                  <w:pPr>
                    <w:jc w:val="center"/>
                  </w:pPr>
                  <w:r>
                    <w:t>2000</w:t>
                  </w:r>
                </w:p>
              </w:tc>
              <w:tc>
                <w:tcPr>
                  <w:tcW w:w="2321" w:type="pct"/>
                  <w:vAlign w:val="center"/>
                </w:tcPr>
                <w:p w14:paraId="03688007">
                  <w:pPr>
                    <w:jc w:val="center"/>
                  </w:pPr>
                  <w:r>
                    <w:t>迅即致命</w:t>
                  </w:r>
                </w:p>
              </w:tc>
            </w:tr>
            <w:tr w14:paraId="353DD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44FA99EF">
                  <w:pPr>
                    <w:jc w:val="center"/>
                  </w:pPr>
                  <w:r>
                    <w:t>550~830</w:t>
                  </w:r>
                </w:p>
              </w:tc>
              <w:tc>
                <w:tcPr>
                  <w:tcW w:w="1350" w:type="pct"/>
                  <w:vAlign w:val="center"/>
                </w:tcPr>
                <w:p w14:paraId="1277F10F">
                  <w:pPr>
                    <w:jc w:val="center"/>
                  </w:pPr>
                  <w:r>
                    <w:t>400~600</w:t>
                  </w:r>
                </w:p>
              </w:tc>
              <w:tc>
                <w:tcPr>
                  <w:tcW w:w="2321" w:type="pct"/>
                  <w:vAlign w:val="center"/>
                </w:tcPr>
                <w:p w14:paraId="4F37B089">
                  <w:pPr>
                    <w:jc w:val="center"/>
                  </w:pPr>
                  <w:r>
                    <w:t>暴露半至一小时后死亡</w:t>
                  </w:r>
                </w:p>
              </w:tc>
            </w:tr>
            <w:tr w14:paraId="73E21B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4D099B2B">
                  <w:pPr>
                    <w:jc w:val="center"/>
                  </w:pPr>
                  <w:r>
                    <w:t>400~590</w:t>
                  </w:r>
                </w:p>
              </w:tc>
              <w:tc>
                <w:tcPr>
                  <w:tcW w:w="1350" w:type="pct"/>
                  <w:vAlign w:val="center"/>
                </w:tcPr>
                <w:p w14:paraId="00EE5592">
                  <w:pPr>
                    <w:jc w:val="center"/>
                  </w:pPr>
                  <w:r>
                    <w:t>290~430</w:t>
                  </w:r>
                </w:p>
              </w:tc>
              <w:tc>
                <w:tcPr>
                  <w:tcW w:w="2321" w:type="pct"/>
                  <w:vAlign w:val="center"/>
                </w:tcPr>
                <w:p w14:paraId="14877AAE">
                  <w:pPr>
                    <w:jc w:val="center"/>
                  </w:pPr>
                  <w:r>
                    <w:t>暴露半至一小时内有中毒迹象</w:t>
                  </w:r>
                </w:p>
              </w:tc>
            </w:tr>
            <w:tr w14:paraId="357B5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785756F2">
                  <w:pPr>
                    <w:jc w:val="center"/>
                  </w:pPr>
                  <w:r>
                    <w:t>140~270</w:t>
                  </w:r>
                </w:p>
              </w:tc>
              <w:tc>
                <w:tcPr>
                  <w:tcW w:w="1350" w:type="pct"/>
                  <w:vAlign w:val="center"/>
                </w:tcPr>
                <w:p w14:paraId="2C1EB656">
                  <w:pPr>
                    <w:jc w:val="center"/>
                  </w:pPr>
                  <w:r>
                    <w:t>100~200</w:t>
                  </w:r>
                </w:p>
              </w:tc>
              <w:tc>
                <w:tcPr>
                  <w:tcW w:w="2321" w:type="pct"/>
                  <w:vAlign w:val="center"/>
                </w:tcPr>
                <w:p w14:paraId="1B9BF3DA">
                  <w:pPr>
                    <w:jc w:val="center"/>
                  </w:pPr>
                  <w:r>
                    <w:t>暴露半至一小时内有中毒迹象</w:t>
                  </w:r>
                </w:p>
              </w:tc>
            </w:tr>
            <w:tr w14:paraId="38E82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234BEE4F">
                  <w:pPr>
                    <w:jc w:val="center"/>
                  </w:pPr>
                  <w:r>
                    <w:t>9.7</w:t>
                  </w:r>
                </w:p>
              </w:tc>
              <w:tc>
                <w:tcPr>
                  <w:tcW w:w="1350" w:type="pct"/>
                  <w:vAlign w:val="center"/>
                </w:tcPr>
                <w:p w14:paraId="72C6AB84">
                  <w:pPr>
                    <w:jc w:val="center"/>
                  </w:pPr>
                  <w:r>
                    <w:t>7</w:t>
                  </w:r>
                </w:p>
              </w:tc>
              <w:tc>
                <w:tcPr>
                  <w:tcW w:w="2321" w:type="pct"/>
                  <w:vAlign w:val="center"/>
                </w:tcPr>
                <w:p w14:paraId="486504F1">
                  <w:pPr>
                    <w:jc w:val="center"/>
                  </w:pPr>
                  <w:r>
                    <w:t>暴露数小时后有严重影响</w:t>
                  </w:r>
                </w:p>
              </w:tc>
            </w:tr>
            <w:tr w14:paraId="616BD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29" w:type="pct"/>
                  <w:vAlign w:val="center"/>
                </w:tcPr>
                <w:p w14:paraId="34FEFBBB">
                  <w:pPr>
                    <w:jc w:val="center"/>
                  </w:pPr>
                  <w:r>
                    <w:t>2~4</w:t>
                  </w:r>
                </w:p>
              </w:tc>
              <w:tc>
                <w:tcPr>
                  <w:tcW w:w="1350" w:type="pct"/>
                  <w:vAlign w:val="center"/>
                </w:tcPr>
                <w:p w14:paraId="34E526A2">
                  <w:pPr>
                    <w:jc w:val="center"/>
                  </w:pPr>
                  <w:r>
                    <w:t>1.5~3</w:t>
                  </w:r>
                </w:p>
              </w:tc>
              <w:tc>
                <w:tcPr>
                  <w:tcW w:w="2321" w:type="pct"/>
                  <w:vAlign w:val="center"/>
                </w:tcPr>
                <w:p w14:paraId="5C7FDBD6">
                  <w:pPr>
                    <w:jc w:val="center"/>
                  </w:pPr>
                  <w:r>
                    <w:t>可以嗅到特殊的气味</w:t>
                  </w:r>
                </w:p>
              </w:tc>
            </w:tr>
          </w:tbl>
          <w:p w14:paraId="40E87791">
            <w:pPr>
              <w:spacing w:line="360" w:lineRule="auto"/>
              <w:ind w:firstLine="480" w:firstLineChars="200"/>
              <w:rPr>
                <w:sz w:val="24"/>
                <w:szCs w:val="32"/>
              </w:rPr>
            </w:pPr>
            <w:r>
              <w:rPr>
                <w:sz w:val="24"/>
                <w:szCs w:val="32"/>
              </w:rPr>
              <w:t>根据我国《工作场所有害因素职业接触限值第1部分：化学有害因素》（GB.Z2.1-2019）表1中磷化氢最高容许浓度限值为0.3mg/m</w:t>
            </w:r>
            <w:r>
              <w:rPr>
                <w:sz w:val="24"/>
                <w:szCs w:val="32"/>
                <w:vertAlign w:val="superscript"/>
              </w:rPr>
              <w:t>3</w:t>
            </w:r>
            <w:r>
              <w:rPr>
                <w:sz w:val="24"/>
                <w:szCs w:val="32"/>
              </w:rPr>
              <w:t>。由于熏蒸结束后或需要开仓时，要打开地槽通风系统，通过空气循环排出废气，完全可以使库内空气中有害物质磷化氢的浓度小于0.3mg/m³。环评要求建设单位在熏蒸期间应标出该区的危险标志，同时划出安全距离，所有进行充气操作的熏蒸人员必须穿戴防护服；各粮仓以及熏蒸管道均应有良好的密闭性能。同时要严格遵守粮食行业的有关规章制度和企业管理制度进行熏蒸剂的操作与使用。</w:t>
            </w:r>
          </w:p>
          <w:p w14:paraId="4B08016C">
            <w:pPr>
              <w:spacing w:line="360" w:lineRule="auto"/>
              <w:ind w:firstLine="480" w:firstLineChars="200"/>
              <w:rPr>
                <w:sz w:val="24"/>
                <w:szCs w:val="32"/>
              </w:rPr>
            </w:pPr>
            <w:r>
              <w:rPr>
                <w:sz w:val="24"/>
                <w:szCs w:val="32"/>
              </w:rPr>
              <w:t>根据《粮食熏蒸安全操作规程》：凡熏蒸的仓库、加工厂等都必须与住人的建筑物有一定距离（磷化氢20m）。据调查，项目熏蒸的仓库20m防护距离范围内无居民等敏感保护目标。建设单位应注意加强与政府相关职能部门的协调，将以厂界为边界作为规划控制条件，不得再新建居民区、学校、医院等敏感点。环评要求建设单位在熏蒸期间应标出该区的危险标志，所有进行充气操作的熏蒸人员必须穿戴防护服；粮仓以及熏蒸管道均应有良好的密闭性能。同时要严格遵守粮食行业的有关规章制度和企业管理制度进行熏蒸剂的操作与使用。此外尽可能减少每次熏蒸的药量，熏蒸必须在密闭的粮仓内进行，严禁露天熏蒸。</w:t>
            </w:r>
          </w:p>
          <w:p w14:paraId="4CF73696">
            <w:pPr>
              <w:pStyle w:val="2"/>
              <w:spacing w:line="360" w:lineRule="auto"/>
              <w:ind w:firstLine="480" w:firstLineChars="200"/>
              <w:jc w:val="both"/>
              <w:rPr>
                <w:color w:val="auto"/>
                <w:szCs w:val="32"/>
              </w:rPr>
            </w:pPr>
            <w:r>
              <w:rPr>
                <w:color w:val="auto"/>
                <w:szCs w:val="32"/>
              </w:rPr>
              <w:t>经采取以上措施，熏蒸废气对环境影响较小。</w:t>
            </w:r>
          </w:p>
          <w:p w14:paraId="64568D29">
            <w:pPr>
              <w:pStyle w:val="104"/>
              <w:ind w:firstLine="482"/>
              <w:rPr>
                <w:b/>
              </w:rPr>
            </w:pPr>
            <w:r>
              <w:rPr>
                <w:rFonts w:hint="eastAsia"/>
                <w:b/>
              </w:rPr>
              <w:t>（3）浅圆仓粉尘</w:t>
            </w:r>
          </w:p>
          <w:p w14:paraId="3D84CEEA">
            <w:pPr>
              <w:spacing w:line="360" w:lineRule="auto"/>
              <w:ind w:firstLine="480" w:firstLineChars="200"/>
              <w:rPr>
                <w:sz w:val="24"/>
                <w:szCs w:val="32"/>
              </w:rPr>
            </w:pPr>
            <w:r>
              <w:rPr>
                <w:rFonts w:hint="eastAsia"/>
                <w:sz w:val="24"/>
                <w:szCs w:val="32"/>
              </w:rPr>
              <w:t>项目浅圆仓仓顶输送设备选用多点卸料皮带输送机，输送过程密闭不考虑粉尘产生。</w:t>
            </w:r>
            <w:bookmarkStart w:id="89" w:name="OLE_LINK14"/>
            <w:r>
              <w:rPr>
                <w:rFonts w:hint="eastAsia"/>
                <w:sz w:val="24"/>
                <w:szCs w:val="32"/>
              </w:rPr>
              <w:t>浅圆仓粉尘产生量根据《排污许可证申请与核发技术规范 码头》（HJ1107-2020）附录E颗粒物无组织实际排放量核算参考方法计算</w:t>
            </w:r>
            <w:bookmarkEnd w:id="89"/>
            <w:r>
              <w:rPr>
                <w:rFonts w:hint="eastAsia"/>
                <w:sz w:val="24"/>
                <w:szCs w:val="32"/>
              </w:rPr>
              <w:t>：</w:t>
            </w:r>
          </w:p>
          <w:p w14:paraId="6284B967">
            <w:pPr>
              <w:spacing w:line="360" w:lineRule="auto"/>
              <w:ind w:firstLine="480" w:firstLineChars="200"/>
              <w:rPr>
                <w:sz w:val="24"/>
                <w:szCs w:val="32"/>
              </w:rPr>
            </w:pPr>
            <w:r>
              <w:rPr>
                <w:rFonts w:hint="eastAsia"/>
                <w:sz w:val="24"/>
                <w:szCs w:val="32"/>
              </w:rPr>
              <w:t>E（堆场i）=30000×0.19365×0.1×10</w:t>
            </w:r>
            <w:r>
              <w:rPr>
                <w:rFonts w:hint="eastAsia"/>
                <w:sz w:val="24"/>
                <w:szCs w:val="32"/>
                <w:vertAlign w:val="superscript"/>
              </w:rPr>
              <w:t>-3</w:t>
            </w:r>
            <w:r>
              <w:rPr>
                <w:rFonts w:hint="eastAsia"/>
                <w:sz w:val="24"/>
                <w:szCs w:val="32"/>
              </w:rPr>
              <w:t>×2=1.162t/a。</w:t>
            </w:r>
          </w:p>
          <w:p w14:paraId="0E34E7C4">
            <w:pPr>
              <w:spacing w:line="360" w:lineRule="auto"/>
              <w:ind w:firstLine="480" w:firstLineChars="200"/>
              <w:rPr>
                <w:sz w:val="24"/>
                <w:szCs w:val="32"/>
              </w:rPr>
            </w:pPr>
            <w:r>
              <w:rPr>
                <w:rFonts w:hint="eastAsia"/>
                <w:sz w:val="24"/>
                <w:szCs w:val="32"/>
              </w:rPr>
              <w:t>项目在浅圆仓顶设置高压脉冲除尘器，减少粉尘逸散，收集效率约95%，收集后经脉冲除尘器处理，处理效率按95%计，浅圆仓粉尘经处理后尾气无组织排放，排放量为0.113t/a。浅圆仓平常储存期间封闭，仓内无风，不易起尘。</w:t>
            </w:r>
          </w:p>
          <w:p w14:paraId="68B237D7">
            <w:pPr>
              <w:pStyle w:val="104"/>
              <w:ind w:firstLine="482"/>
              <w:rPr>
                <w:b/>
              </w:rPr>
            </w:pPr>
            <w:r>
              <w:rPr>
                <w:rFonts w:hint="eastAsia"/>
                <w:b/>
              </w:rPr>
              <w:t>（4）道路运输扬尘</w:t>
            </w:r>
          </w:p>
          <w:p w14:paraId="18CFF420">
            <w:pPr>
              <w:adjustRightInd w:val="0"/>
              <w:snapToGrid w:val="0"/>
              <w:spacing w:line="360" w:lineRule="auto"/>
              <w:ind w:firstLine="480" w:firstLineChars="200"/>
              <w:rPr>
                <w:sz w:val="24"/>
              </w:rPr>
            </w:pPr>
            <w:r>
              <w:rPr>
                <w:sz w:val="24"/>
              </w:rPr>
              <w:t>项目运营期间，</w:t>
            </w:r>
            <w:r>
              <w:rPr>
                <w:rFonts w:hint="eastAsia"/>
                <w:sz w:val="24"/>
              </w:rPr>
              <w:t>厂区道路运输扬尘与车辆行驶速度、道路长度、空气湿度、道路情况、风速等有关，此类污染物产生量较小，通过厂区路面硬化、控制车速、及时清扫、定期洒水等抑尘措施，可将影响</w:t>
            </w:r>
            <w:r>
              <w:rPr>
                <w:rFonts w:hint="eastAsia"/>
                <w:sz w:val="24"/>
                <w:lang w:val="en-US" w:eastAsia="zh-CN"/>
              </w:rPr>
              <w:t>降</w:t>
            </w:r>
            <w:r>
              <w:rPr>
                <w:rFonts w:hint="eastAsia"/>
                <w:sz w:val="24"/>
              </w:rPr>
              <w:t>至最低</w:t>
            </w:r>
            <w:r>
              <w:rPr>
                <w:sz w:val="24"/>
              </w:rPr>
              <w:t>。</w:t>
            </w:r>
          </w:p>
          <w:p w14:paraId="242A5D27">
            <w:pPr>
              <w:pStyle w:val="104"/>
              <w:ind w:firstLine="482"/>
              <w:rPr>
                <w:b/>
              </w:rPr>
            </w:pPr>
            <w:r>
              <w:rPr>
                <w:rFonts w:hint="eastAsia"/>
                <w:b/>
              </w:rPr>
              <w:t>（5）</w:t>
            </w:r>
            <w:r>
              <w:rPr>
                <w:b/>
              </w:rPr>
              <w:t>汽车尾气</w:t>
            </w:r>
          </w:p>
          <w:p w14:paraId="750711CE">
            <w:pPr>
              <w:pStyle w:val="2"/>
              <w:spacing w:line="360" w:lineRule="auto"/>
              <w:ind w:firstLine="480" w:firstLineChars="200"/>
              <w:jc w:val="both"/>
              <w:rPr>
                <w:rFonts w:ascii="Times New Roman" w:cs="Times New Roman"/>
                <w:color w:val="auto"/>
              </w:rPr>
            </w:pPr>
            <w:r>
              <w:rPr>
                <w:rFonts w:ascii="Times New Roman" w:cs="Times New Roman"/>
                <w:color w:val="auto"/>
              </w:rPr>
              <w:t>汽车进厂中会产生少量的汽车尾气。根据《环境保护使用手册》和《大气污染物分析》等资料，其污染物主要为CO、NOx、烃类等。汽车尾气产生量小，加之项目所在区域地形开阔，易于扩散，因此运行期间汽车尾气不会对周边环境产生明显影响。</w:t>
            </w:r>
          </w:p>
          <w:p w14:paraId="4EA27BB3">
            <w:pPr>
              <w:spacing w:line="360" w:lineRule="auto"/>
              <w:ind w:firstLine="482" w:firstLineChars="200"/>
              <w:rPr>
                <w:b/>
                <w:bCs/>
                <w:sz w:val="24"/>
              </w:rPr>
            </w:pPr>
            <w:r>
              <w:rPr>
                <w:rFonts w:hint="eastAsia"/>
                <w:b/>
                <w:sz w:val="24"/>
              </w:rPr>
              <w:t>（6）</w:t>
            </w:r>
            <w:r>
              <w:rPr>
                <w:b/>
                <w:bCs/>
                <w:sz w:val="24"/>
              </w:rPr>
              <w:t>备用柴油发电机废气</w:t>
            </w:r>
          </w:p>
          <w:p w14:paraId="0AC6F094">
            <w:pPr>
              <w:pStyle w:val="2"/>
              <w:spacing w:line="360" w:lineRule="auto"/>
              <w:ind w:firstLine="480" w:firstLineChars="200"/>
              <w:jc w:val="both"/>
              <w:rPr>
                <w:rFonts w:ascii="Times New Roman" w:cs="Times New Roman"/>
                <w:color w:val="auto"/>
              </w:rPr>
            </w:pPr>
            <w:r>
              <w:rPr>
                <w:color w:val="auto"/>
                <w:szCs w:val="32"/>
              </w:rPr>
              <w:t>项目拟设置一台小型备用柴油发电机，仅在停电时使用，使用频率较小，影响较小</w:t>
            </w:r>
            <w:r>
              <w:rPr>
                <w:color w:val="auto"/>
              </w:rPr>
              <w:t>，仅做定性分析</w:t>
            </w:r>
            <w:r>
              <w:rPr>
                <w:color w:val="auto"/>
                <w:szCs w:val="32"/>
              </w:rPr>
              <w:t>。柴油发电机产生的废气主</w:t>
            </w:r>
            <w:r>
              <w:rPr>
                <w:rFonts w:ascii="Times New Roman" w:cs="Times New Roman"/>
                <w:color w:val="auto"/>
              </w:rPr>
              <w:t>要是CH、CO、NOx等</w:t>
            </w:r>
            <w:r>
              <w:rPr>
                <w:color w:val="auto"/>
                <w:szCs w:val="32"/>
              </w:rPr>
              <w:t>，通过发电机自带的烟气净化处理装置处理后排放。</w:t>
            </w:r>
          </w:p>
          <w:p w14:paraId="72A7B60E">
            <w:pPr>
              <w:pStyle w:val="2"/>
              <w:spacing w:line="360" w:lineRule="auto"/>
              <w:ind w:firstLine="482" w:firstLineChars="200"/>
              <w:jc w:val="both"/>
              <w:rPr>
                <w:rFonts w:ascii="Times New Roman" w:cs="Times New Roman"/>
                <w:b/>
                <w:color w:val="auto"/>
              </w:rPr>
            </w:pPr>
            <w:r>
              <w:rPr>
                <w:rFonts w:ascii="Times New Roman" w:cs="Times New Roman"/>
                <w:b/>
                <w:color w:val="auto"/>
              </w:rPr>
              <w:t>（</w:t>
            </w:r>
            <w:r>
              <w:rPr>
                <w:rFonts w:hint="eastAsia" w:ascii="Times New Roman" w:cs="Times New Roman"/>
                <w:b/>
                <w:color w:val="auto"/>
              </w:rPr>
              <w:t>7</w:t>
            </w:r>
            <w:r>
              <w:rPr>
                <w:rFonts w:ascii="Times New Roman" w:cs="Times New Roman"/>
                <w:b/>
                <w:color w:val="auto"/>
              </w:rPr>
              <w:t>）汇总</w:t>
            </w:r>
          </w:p>
          <w:p w14:paraId="304E1AE5">
            <w:pPr>
              <w:pStyle w:val="2"/>
              <w:spacing w:line="360" w:lineRule="auto"/>
              <w:ind w:firstLine="480" w:firstLineChars="200"/>
              <w:jc w:val="both"/>
              <w:rPr>
                <w:rFonts w:ascii="Times New Roman" w:cs="Times New Roman"/>
                <w:color w:val="auto"/>
              </w:rPr>
            </w:pPr>
            <w:r>
              <w:rPr>
                <w:rFonts w:ascii="Times New Roman" w:cs="Times New Roman"/>
                <w:color w:val="auto"/>
              </w:rPr>
              <w:t>本项目废气污染物有组织排放情况见表4-</w:t>
            </w:r>
            <w:r>
              <w:rPr>
                <w:rFonts w:hint="eastAsia" w:ascii="Times New Roman" w:cs="Times New Roman"/>
                <w:color w:val="auto"/>
              </w:rPr>
              <w:t>4</w:t>
            </w:r>
            <w:r>
              <w:rPr>
                <w:rFonts w:ascii="Times New Roman" w:cs="Times New Roman"/>
                <w:color w:val="auto"/>
              </w:rPr>
              <w:t>，废气污染物无组织排放情况见表4-</w:t>
            </w:r>
            <w:r>
              <w:rPr>
                <w:rFonts w:hint="eastAsia" w:ascii="Times New Roman" w:cs="Times New Roman"/>
                <w:color w:val="auto"/>
              </w:rPr>
              <w:t>5</w:t>
            </w:r>
            <w:r>
              <w:rPr>
                <w:rFonts w:ascii="Times New Roman" w:cs="Times New Roman"/>
                <w:color w:val="auto"/>
              </w:rPr>
              <w:t>，废气排放总量情况见表4-</w:t>
            </w:r>
            <w:r>
              <w:rPr>
                <w:rFonts w:hint="eastAsia" w:ascii="Times New Roman" w:cs="Times New Roman"/>
                <w:color w:val="auto"/>
              </w:rPr>
              <w:t>6</w:t>
            </w:r>
            <w:r>
              <w:rPr>
                <w:rFonts w:ascii="Times New Roman" w:cs="Times New Roman"/>
                <w:color w:val="auto"/>
              </w:rPr>
              <w:t>。</w:t>
            </w:r>
          </w:p>
          <w:p w14:paraId="23988C16">
            <w:pPr>
              <w:adjustRightInd w:val="0"/>
              <w:snapToGrid w:val="0"/>
              <w:spacing w:before="120" w:beforeLines="50"/>
              <w:jc w:val="center"/>
              <w:rPr>
                <w:b/>
                <w:bCs/>
                <w:szCs w:val="21"/>
              </w:rPr>
            </w:pPr>
            <w:r>
              <w:rPr>
                <w:b/>
                <w:bCs/>
                <w:szCs w:val="21"/>
              </w:rPr>
              <w:t>表4-</w:t>
            </w:r>
            <w:r>
              <w:rPr>
                <w:rFonts w:hint="eastAsia"/>
                <w:b/>
                <w:bCs/>
                <w:szCs w:val="21"/>
              </w:rPr>
              <w:t>4</w:t>
            </w:r>
            <w:r>
              <w:rPr>
                <w:b/>
                <w:bCs/>
                <w:szCs w:val="21"/>
              </w:rPr>
              <w:t xml:space="preserve">  废气污染物有组织排放情况一览表</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2"/>
              <w:gridCol w:w="1932"/>
              <w:gridCol w:w="1529"/>
              <w:gridCol w:w="1651"/>
              <w:gridCol w:w="1624"/>
              <w:gridCol w:w="1611"/>
            </w:tblGrid>
            <w:tr w14:paraId="22559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Align w:val="center"/>
                </w:tcPr>
                <w:p w14:paraId="7FAC7B40">
                  <w:pPr>
                    <w:pStyle w:val="2"/>
                    <w:jc w:val="center"/>
                    <w:rPr>
                      <w:rFonts w:ascii="Times New Roman" w:cs="Times New Roman"/>
                      <w:b/>
                      <w:bCs/>
                      <w:color w:val="auto"/>
                      <w:sz w:val="21"/>
                      <w:szCs w:val="21"/>
                    </w:rPr>
                  </w:pPr>
                  <w:r>
                    <w:rPr>
                      <w:rFonts w:ascii="Times New Roman" w:cs="Times New Roman"/>
                      <w:b/>
                      <w:bCs/>
                      <w:color w:val="auto"/>
                      <w:sz w:val="21"/>
                      <w:szCs w:val="21"/>
                    </w:rPr>
                    <w:t>序号</w:t>
                  </w:r>
                </w:p>
              </w:tc>
              <w:tc>
                <w:tcPr>
                  <w:tcW w:w="1030" w:type="pct"/>
                  <w:vAlign w:val="center"/>
                </w:tcPr>
                <w:p w14:paraId="7E7F1F85">
                  <w:pPr>
                    <w:pStyle w:val="2"/>
                    <w:jc w:val="center"/>
                    <w:rPr>
                      <w:rFonts w:ascii="Times New Roman" w:cs="Times New Roman"/>
                      <w:b/>
                      <w:bCs/>
                      <w:color w:val="auto"/>
                      <w:sz w:val="21"/>
                      <w:szCs w:val="21"/>
                    </w:rPr>
                  </w:pPr>
                  <w:r>
                    <w:rPr>
                      <w:rFonts w:ascii="Times New Roman" w:cs="Times New Roman"/>
                      <w:b/>
                      <w:bCs/>
                      <w:color w:val="auto"/>
                      <w:sz w:val="21"/>
                      <w:szCs w:val="21"/>
                    </w:rPr>
                    <w:t>排放口编号</w:t>
                  </w:r>
                </w:p>
              </w:tc>
              <w:tc>
                <w:tcPr>
                  <w:tcW w:w="815" w:type="pct"/>
                  <w:vAlign w:val="center"/>
                </w:tcPr>
                <w:p w14:paraId="4BC2FFC0">
                  <w:pPr>
                    <w:pStyle w:val="2"/>
                    <w:jc w:val="center"/>
                    <w:rPr>
                      <w:rFonts w:ascii="Times New Roman" w:cs="Times New Roman"/>
                      <w:b/>
                      <w:bCs/>
                      <w:color w:val="auto"/>
                      <w:sz w:val="21"/>
                      <w:szCs w:val="21"/>
                    </w:rPr>
                  </w:pPr>
                  <w:r>
                    <w:rPr>
                      <w:rFonts w:ascii="Times New Roman" w:cs="Times New Roman"/>
                      <w:b/>
                      <w:bCs/>
                      <w:color w:val="auto"/>
                      <w:sz w:val="21"/>
                      <w:szCs w:val="21"/>
                    </w:rPr>
                    <w:t>污染物</w:t>
                  </w:r>
                </w:p>
              </w:tc>
              <w:tc>
                <w:tcPr>
                  <w:tcW w:w="880" w:type="pct"/>
                  <w:vAlign w:val="center"/>
                </w:tcPr>
                <w:p w14:paraId="653F82B4">
                  <w:pPr>
                    <w:pStyle w:val="2"/>
                    <w:jc w:val="center"/>
                    <w:rPr>
                      <w:rFonts w:ascii="Times New Roman" w:cs="Times New Roman"/>
                      <w:b/>
                      <w:bCs/>
                      <w:color w:val="auto"/>
                      <w:sz w:val="21"/>
                      <w:szCs w:val="21"/>
                    </w:rPr>
                  </w:pPr>
                  <w:r>
                    <w:rPr>
                      <w:rFonts w:ascii="Times New Roman" w:cs="Times New Roman"/>
                      <w:b/>
                      <w:bCs/>
                      <w:color w:val="auto"/>
                      <w:sz w:val="21"/>
                      <w:szCs w:val="21"/>
                    </w:rPr>
                    <w:t>核算排放浓度（mg/m</w:t>
                  </w:r>
                  <w:r>
                    <w:rPr>
                      <w:rFonts w:ascii="Times New Roman" w:cs="Times New Roman"/>
                      <w:b/>
                      <w:bCs/>
                      <w:color w:val="auto"/>
                      <w:sz w:val="21"/>
                      <w:szCs w:val="21"/>
                      <w:vertAlign w:val="superscript"/>
                    </w:rPr>
                    <w:t>3</w:t>
                  </w:r>
                  <w:r>
                    <w:rPr>
                      <w:rFonts w:ascii="Times New Roman" w:cs="Times New Roman"/>
                      <w:b/>
                      <w:bCs/>
                      <w:color w:val="auto"/>
                      <w:sz w:val="21"/>
                      <w:szCs w:val="21"/>
                    </w:rPr>
                    <w:t>）</w:t>
                  </w:r>
                </w:p>
              </w:tc>
              <w:tc>
                <w:tcPr>
                  <w:tcW w:w="866" w:type="pct"/>
                  <w:vAlign w:val="center"/>
                </w:tcPr>
                <w:p w14:paraId="0CF276CE">
                  <w:pPr>
                    <w:pStyle w:val="2"/>
                    <w:jc w:val="center"/>
                    <w:rPr>
                      <w:rFonts w:ascii="Times New Roman" w:cs="Times New Roman"/>
                      <w:b/>
                      <w:bCs/>
                      <w:color w:val="auto"/>
                      <w:sz w:val="21"/>
                      <w:szCs w:val="21"/>
                    </w:rPr>
                  </w:pPr>
                  <w:r>
                    <w:rPr>
                      <w:rFonts w:ascii="Times New Roman" w:cs="Times New Roman"/>
                      <w:b/>
                      <w:bCs/>
                      <w:color w:val="auto"/>
                      <w:sz w:val="21"/>
                      <w:szCs w:val="21"/>
                    </w:rPr>
                    <w:t>核算排放速率（kg/h）</w:t>
                  </w:r>
                </w:p>
              </w:tc>
              <w:tc>
                <w:tcPr>
                  <w:tcW w:w="859" w:type="pct"/>
                  <w:vAlign w:val="center"/>
                </w:tcPr>
                <w:p w14:paraId="73569389">
                  <w:pPr>
                    <w:pStyle w:val="2"/>
                    <w:jc w:val="center"/>
                    <w:rPr>
                      <w:rFonts w:ascii="Times New Roman" w:cs="Times New Roman"/>
                      <w:b/>
                      <w:bCs/>
                      <w:color w:val="auto"/>
                      <w:sz w:val="21"/>
                      <w:szCs w:val="21"/>
                    </w:rPr>
                  </w:pPr>
                  <w:r>
                    <w:rPr>
                      <w:rFonts w:ascii="Times New Roman" w:cs="Times New Roman"/>
                      <w:b/>
                      <w:bCs/>
                      <w:color w:val="auto"/>
                      <w:sz w:val="21"/>
                      <w:szCs w:val="21"/>
                    </w:rPr>
                    <w:t>核算年排放量（t/a）</w:t>
                  </w:r>
                </w:p>
              </w:tc>
            </w:tr>
            <w:tr w14:paraId="058BC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restart"/>
                  <w:vAlign w:val="center"/>
                </w:tcPr>
                <w:p w14:paraId="4BBCB289">
                  <w:pPr>
                    <w:pStyle w:val="2"/>
                    <w:jc w:val="center"/>
                    <w:rPr>
                      <w:rFonts w:ascii="Times New Roman" w:cs="Times New Roman"/>
                      <w:color w:val="auto"/>
                      <w:sz w:val="21"/>
                      <w:szCs w:val="21"/>
                    </w:rPr>
                  </w:pPr>
                  <w:bookmarkStart w:id="90" w:name="_Hlk223450026"/>
                  <w:r>
                    <w:rPr>
                      <w:rFonts w:hint="eastAsia" w:ascii="Times New Roman" w:cs="Times New Roman"/>
                      <w:color w:val="auto"/>
                      <w:sz w:val="21"/>
                      <w:szCs w:val="21"/>
                    </w:rPr>
                    <w:t>1</w:t>
                  </w:r>
                </w:p>
              </w:tc>
              <w:tc>
                <w:tcPr>
                  <w:tcW w:w="1030" w:type="pct"/>
                  <w:vMerge w:val="restart"/>
                  <w:vAlign w:val="center"/>
                </w:tcPr>
                <w:p w14:paraId="4EC6A5BD">
                  <w:pPr>
                    <w:pStyle w:val="2"/>
                    <w:jc w:val="center"/>
                    <w:rPr>
                      <w:rFonts w:ascii="Times New Roman" w:cs="Times New Roman"/>
                      <w:color w:val="auto"/>
                      <w:sz w:val="21"/>
                      <w:szCs w:val="21"/>
                    </w:rPr>
                  </w:pPr>
                  <w:r>
                    <w:rPr>
                      <w:rFonts w:hint="eastAsia" w:ascii="Times New Roman" w:cs="Times New Roman"/>
                      <w:color w:val="auto"/>
                      <w:sz w:val="21"/>
                      <w:szCs w:val="21"/>
                    </w:rPr>
                    <w:t>热风炉烟气排放口</w:t>
                  </w:r>
                </w:p>
              </w:tc>
              <w:tc>
                <w:tcPr>
                  <w:tcW w:w="815" w:type="pct"/>
                  <w:vAlign w:val="center"/>
                </w:tcPr>
                <w:p w14:paraId="60F40230">
                  <w:pPr>
                    <w:pStyle w:val="2"/>
                    <w:jc w:val="center"/>
                    <w:rPr>
                      <w:rFonts w:ascii="Times New Roman" w:cs="Times New Roman"/>
                      <w:color w:val="auto"/>
                      <w:sz w:val="21"/>
                      <w:szCs w:val="21"/>
                    </w:rPr>
                  </w:pPr>
                  <w:r>
                    <w:rPr>
                      <w:rFonts w:ascii="Times New Roman" w:cs="Times New Roman"/>
                      <w:color w:val="auto"/>
                      <w:sz w:val="21"/>
                      <w:szCs w:val="21"/>
                    </w:rPr>
                    <w:t>SO</w:t>
                  </w:r>
                  <w:r>
                    <w:rPr>
                      <w:rFonts w:ascii="Times New Roman" w:cs="Times New Roman"/>
                      <w:color w:val="auto"/>
                      <w:sz w:val="21"/>
                      <w:szCs w:val="21"/>
                      <w:vertAlign w:val="subscript"/>
                    </w:rPr>
                    <w:t>2</w:t>
                  </w:r>
                </w:p>
              </w:tc>
              <w:tc>
                <w:tcPr>
                  <w:tcW w:w="880" w:type="pct"/>
                  <w:vAlign w:val="center"/>
                </w:tcPr>
                <w:p w14:paraId="50C444FC">
                  <w:pPr>
                    <w:autoSpaceDE w:val="0"/>
                    <w:autoSpaceDN w:val="0"/>
                    <w:adjustRightInd w:val="0"/>
                    <w:jc w:val="center"/>
                    <w:rPr>
                      <w:szCs w:val="21"/>
                    </w:rPr>
                  </w:pPr>
                  <w:r>
                    <w:rPr>
                      <w:szCs w:val="21"/>
                    </w:rPr>
                    <w:t>89.904</w:t>
                  </w:r>
                </w:p>
              </w:tc>
              <w:tc>
                <w:tcPr>
                  <w:tcW w:w="866" w:type="pct"/>
                  <w:vAlign w:val="center"/>
                </w:tcPr>
                <w:p w14:paraId="7DFC22BC">
                  <w:pPr>
                    <w:autoSpaceDE w:val="0"/>
                    <w:autoSpaceDN w:val="0"/>
                    <w:adjustRightInd w:val="0"/>
                    <w:jc w:val="center"/>
                    <w:rPr>
                      <w:szCs w:val="21"/>
                    </w:rPr>
                  </w:pPr>
                  <w:r>
                    <w:rPr>
                      <w:szCs w:val="21"/>
                    </w:rPr>
                    <w:t>0.131</w:t>
                  </w:r>
                </w:p>
              </w:tc>
              <w:tc>
                <w:tcPr>
                  <w:tcW w:w="859" w:type="pct"/>
                  <w:vAlign w:val="center"/>
                </w:tcPr>
                <w:p w14:paraId="155E3B6E">
                  <w:pPr>
                    <w:autoSpaceDE w:val="0"/>
                    <w:autoSpaceDN w:val="0"/>
                    <w:adjustRightInd w:val="0"/>
                    <w:jc w:val="center"/>
                    <w:rPr>
                      <w:szCs w:val="21"/>
                    </w:rPr>
                  </w:pPr>
                  <w:r>
                    <w:rPr>
                      <w:szCs w:val="21"/>
                    </w:rPr>
                    <w:t>0.653</w:t>
                  </w:r>
                </w:p>
              </w:tc>
            </w:tr>
            <w:tr w14:paraId="64842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vAlign w:val="center"/>
                </w:tcPr>
                <w:p w14:paraId="78A234B3">
                  <w:pPr>
                    <w:pStyle w:val="2"/>
                    <w:jc w:val="center"/>
                    <w:rPr>
                      <w:rFonts w:ascii="Times New Roman" w:cs="Times New Roman"/>
                      <w:color w:val="auto"/>
                      <w:sz w:val="21"/>
                      <w:szCs w:val="21"/>
                    </w:rPr>
                  </w:pPr>
                </w:p>
              </w:tc>
              <w:tc>
                <w:tcPr>
                  <w:tcW w:w="1030" w:type="pct"/>
                  <w:vMerge w:val="continue"/>
                  <w:vAlign w:val="center"/>
                </w:tcPr>
                <w:p w14:paraId="7376DB86">
                  <w:pPr>
                    <w:pStyle w:val="2"/>
                    <w:jc w:val="center"/>
                    <w:rPr>
                      <w:rFonts w:ascii="Times New Roman" w:cs="Times New Roman"/>
                      <w:color w:val="auto"/>
                      <w:sz w:val="21"/>
                      <w:szCs w:val="21"/>
                    </w:rPr>
                  </w:pPr>
                </w:p>
              </w:tc>
              <w:tc>
                <w:tcPr>
                  <w:tcW w:w="815" w:type="pct"/>
                  <w:vAlign w:val="center"/>
                </w:tcPr>
                <w:p w14:paraId="20AD2C10">
                  <w:pPr>
                    <w:pStyle w:val="2"/>
                    <w:jc w:val="center"/>
                    <w:rPr>
                      <w:rFonts w:ascii="Times New Roman" w:cs="Times New Roman"/>
                      <w:color w:val="auto"/>
                      <w:sz w:val="21"/>
                      <w:szCs w:val="21"/>
                    </w:rPr>
                  </w:pPr>
                  <w:r>
                    <w:rPr>
                      <w:rFonts w:ascii="Times New Roman" w:cs="Times New Roman"/>
                      <w:color w:val="auto"/>
                      <w:sz w:val="21"/>
                      <w:szCs w:val="21"/>
                    </w:rPr>
                    <w:t>氮氧化物</w:t>
                  </w:r>
                </w:p>
              </w:tc>
              <w:tc>
                <w:tcPr>
                  <w:tcW w:w="880" w:type="pct"/>
                  <w:vAlign w:val="center"/>
                </w:tcPr>
                <w:p w14:paraId="10426D95">
                  <w:pPr>
                    <w:widowControl/>
                    <w:jc w:val="center"/>
                    <w:textAlignment w:val="center"/>
                    <w:rPr>
                      <w:szCs w:val="21"/>
                    </w:rPr>
                  </w:pPr>
                  <w:r>
                    <w:rPr>
                      <w:szCs w:val="21"/>
                    </w:rPr>
                    <w:t>163.462</w:t>
                  </w:r>
                </w:p>
              </w:tc>
              <w:tc>
                <w:tcPr>
                  <w:tcW w:w="866" w:type="pct"/>
                  <w:vAlign w:val="center"/>
                </w:tcPr>
                <w:p w14:paraId="1F2D88D3">
                  <w:pPr>
                    <w:widowControl/>
                    <w:jc w:val="center"/>
                    <w:textAlignment w:val="center"/>
                    <w:rPr>
                      <w:szCs w:val="21"/>
                    </w:rPr>
                  </w:pPr>
                  <w:r>
                    <w:rPr>
                      <w:szCs w:val="21"/>
                    </w:rPr>
                    <w:t>0.237</w:t>
                  </w:r>
                </w:p>
              </w:tc>
              <w:tc>
                <w:tcPr>
                  <w:tcW w:w="859" w:type="pct"/>
                  <w:vAlign w:val="center"/>
                </w:tcPr>
                <w:p w14:paraId="71DD9D77">
                  <w:pPr>
                    <w:widowControl/>
                    <w:jc w:val="center"/>
                    <w:textAlignment w:val="center"/>
                    <w:rPr>
                      <w:szCs w:val="21"/>
                    </w:rPr>
                  </w:pPr>
                  <w:r>
                    <w:rPr>
                      <w:szCs w:val="21"/>
                    </w:rPr>
                    <w:t>1.187</w:t>
                  </w:r>
                </w:p>
              </w:tc>
            </w:tr>
            <w:tr w14:paraId="79DD6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50" w:type="pct"/>
                  <w:vMerge w:val="continue"/>
                  <w:vAlign w:val="center"/>
                </w:tcPr>
                <w:p w14:paraId="57163409">
                  <w:pPr>
                    <w:pStyle w:val="2"/>
                    <w:jc w:val="center"/>
                    <w:rPr>
                      <w:rFonts w:ascii="Times New Roman" w:cs="Times New Roman"/>
                      <w:color w:val="auto"/>
                      <w:sz w:val="21"/>
                      <w:szCs w:val="21"/>
                    </w:rPr>
                  </w:pPr>
                </w:p>
              </w:tc>
              <w:tc>
                <w:tcPr>
                  <w:tcW w:w="1030" w:type="pct"/>
                  <w:vMerge w:val="continue"/>
                  <w:vAlign w:val="center"/>
                </w:tcPr>
                <w:p w14:paraId="77CF8C27">
                  <w:pPr>
                    <w:pStyle w:val="2"/>
                    <w:jc w:val="center"/>
                    <w:rPr>
                      <w:rFonts w:ascii="Times New Roman" w:cs="Times New Roman"/>
                      <w:color w:val="auto"/>
                      <w:sz w:val="21"/>
                      <w:szCs w:val="21"/>
                    </w:rPr>
                  </w:pPr>
                </w:p>
              </w:tc>
              <w:tc>
                <w:tcPr>
                  <w:tcW w:w="815" w:type="pct"/>
                  <w:vAlign w:val="center"/>
                </w:tcPr>
                <w:p w14:paraId="2B70C3F2">
                  <w:pPr>
                    <w:pStyle w:val="2"/>
                    <w:jc w:val="center"/>
                    <w:rPr>
                      <w:rFonts w:ascii="Times New Roman" w:cs="Times New Roman"/>
                      <w:color w:val="auto"/>
                      <w:sz w:val="21"/>
                      <w:szCs w:val="21"/>
                    </w:rPr>
                  </w:pPr>
                  <w:r>
                    <w:rPr>
                      <w:rFonts w:ascii="Times New Roman" w:cs="Times New Roman"/>
                      <w:color w:val="auto"/>
                      <w:sz w:val="21"/>
                      <w:szCs w:val="21"/>
                    </w:rPr>
                    <w:t>烟尘</w:t>
                  </w:r>
                </w:p>
              </w:tc>
              <w:tc>
                <w:tcPr>
                  <w:tcW w:w="880" w:type="pct"/>
                  <w:vAlign w:val="center"/>
                </w:tcPr>
                <w:p w14:paraId="447FBAEC">
                  <w:pPr>
                    <w:autoSpaceDE w:val="0"/>
                    <w:autoSpaceDN w:val="0"/>
                    <w:adjustRightInd w:val="0"/>
                    <w:jc w:val="center"/>
                    <w:rPr>
                      <w:szCs w:val="21"/>
                    </w:rPr>
                  </w:pPr>
                  <w:r>
                    <w:rPr>
                      <w:rFonts w:hint="eastAsia"/>
                      <w:szCs w:val="21"/>
                    </w:rPr>
                    <w:t>1.603</w:t>
                  </w:r>
                </w:p>
              </w:tc>
              <w:tc>
                <w:tcPr>
                  <w:tcW w:w="866" w:type="pct"/>
                  <w:vAlign w:val="center"/>
                </w:tcPr>
                <w:p w14:paraId="56CA6B0F">
                  <w:pPr>
                    <w:autoSpaceDE w:val="0"/>
                    <w:autoSpaceDN w:val="0"/>
                    <w:adjustRightInd w:val="0"/>
                    <w:jc w:val="center"/>
                    <w:rPr>
                      <w:szCs w:val="21"/>
                    </w:rPr>
                  </w:pPr>
                  <w:r>
                    <w:rPr>
                      <w:szCs w:val="21"/>
                    </w:rPr>
                    <w:t>0.00</w:t>
                  </w:r>
                  <w:r>
                    <w:rPr>
                      <w:rFonts w:hint="eastAsia"/>
                      <w:szCs w:val="21"/>
                    </w:rPr>
                    <w:t>24</w:t>
                  </w:r>
                </w:p>
              </w:tc>
              <w:tc>
                <w:tcPr>
                  <w:tcW w:w="859" w:type="pct"/>
                  <w:vAlign w:val="center"/>
                </w:tcPr>
                <w:p w14:paraId="3C3648DD">
                  <w:pPr>
                    <w:autoSpaceDE w:val="0"/>
                    <w:autoSpaceDN w:val="0"/>
                    <w:adjustRightInd w:val="0"/>
                    <w:jc w:val="center"/>
                    <w:rPr>
                      <w:szCs w:val="21"/>
                    </w:rPr>
                  </w:pPr>
                  <w:r>
                    <w:rPr>
                      <w:szCs w:val="21"/>
                    </w:rPr>
                    <w:t>0.0</w:t>
                  </w:r>
                  <w:r>
                    <w:rPr>
                      <w:rFonts w:hint="eastAsia"/>
                      <w:szCs w:val="21"/>
                    </w:rPr>
                    <w:t>116</w:t>
                  </w:r>
                </w:p>
              </w:tc>
            </w:tr>
            <w:bookmarkEnd w:id="90"/>
            <w:tr w14:paraId="1E247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restart"/>
                  <w:vAlign w:val="center"/>
                </w:tcPr>
                <w:p w14:paraId="7358626B">
                  <w:pPr>
                    <w:pStyle w:val="2"/>
                    <w:jc w:val="center"/>
                    <w:rPr>
                      <w:rFonts w:ascii="Times New Roman" w:cs="Times New Roman"/>
                      <w:color w:val="auto"/>
                      <w:sz w:val="21"/>
                      <w:szCs w:val="21"/>
                    </w:rPr>
                  </w:pPr>
                  <w:bookmarkStart w:id="91" w:name="_Hlk226598883"/>
                  <w:r>
                    <w:rPr>
                      <w:rFonts w:ascii="Times New Roman" w:cs="Times New Roman"/>
                      <w:color w:val="auto"/>
                      <w:sz w:val="21"/>
                      <w:szCs w:val="21"/>
                    </w:rPr>
                    <w:t>合计</w:t>
                  </w:r>
                </w:p>
              </w:tc>
              <w:tc>
                <w:tcPr>
                  <w:tcW w:w="2561" w:type="pct"/>
                  <w:gridSpan w:val="3"/>
                  <w:vAlign w:val="center"/>
                </w:tcPr>
                <w:p w14:paraId="44B27A95">
                  <w:pPr>
                    <w:jc w:val="center"/>
                    <w:rPr>
                      <w:szCs w:val="21"/>
                    </w:rPr>
                  </w:pPr>
                  <w:r>
                    <w:rPr>
                      <w:szCs w:val="21"/>
                    </w:rPr>
                    <w:t>SO</w:t>
                  </w:r>
                  <w:r>
                    <w:rPr>
                      <w:szCs w:val="21"/>
                      <w:vertAlign w:val="subscript"/>
                    </w:rPr>
                    <w:t>2</w:t>
                  </w:r>
                </w:p>
              </w:tc>
              <w:tc>
                <w:tcPr>
                  <w:tcW w:w="859" w:type="pct"/>
                  <w:vAlign w:val="center"/>
                </w:tcPr>
                <w:p w14:paraId="0D264A83">
                  <w:pPr>
                    <w:autoSpaceDE w:val="0"/>
                    <w:autoSpaceDN w:val="0"/>
                    <w:adjustRightInd w:val="0"/>
                    <w:jc w:val="center"/>
                    <w:rPr>
                      <w:szCs w:val="21"/>
                    </w:rPr>
                  </w:pPr>
                  <w:r>
                    <w:rPr>
                      <w:szCs w:val="21"/>
                    </w:rPr>
                    <w:t>0.653</w:t>
                  </w:r>
                </w:p>
              </w:tc>
            </w:tr>
            <w:tr w14:paraId="24EC3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continue"/>
                  <w:vAlign w:val="center"/>
                </w:tcPr>
                <w:p w14:paraId="6303C913">
                  <w:pPr>
                    <w:pStyle w:val="2"/>
                    <w:jc w:val="center"/>
                    <w:rPr>
                      <w:rFonts w:ascii="Times New Roman" w:cs="Times New Roman"/>
                      <w:color w:val="auto"/>
                      <w:sz w:val="21"/>
                      <w:szCs w:val="21"/>
                    </w:rPr>
                  </w:pPr>
                </w:p>
              </w:tc>
              <w:tc>
                <w:tcPr>
                  <w:tcW w:w="2561" w:type="pct"/>
                  <w:gridSpan w:val="3"/>
                  <w:vAlign w:val="center"/>
                </w:tcPr>
                <w:p w14:paraId="54B370AE">
                  <w:pPr>
                    <w:jc w:val="center"/>
                    <w:rPr>
                      <w:szCs w:val="21"/>
                    </w:rPr>
                  </w:pPr>
                  <w:r>
                    <w:rPr>
                      <w:szCs w:val="21"/>
                    </w:rPr>
                    <w:t>氮氧化物</w:t>
                  </w:r>
                </w:p>
              </w:tc>
              <w:tc>
                <w:tcPr>
                  <w:tcW w:w="859" w:type="pct"/>
                  <w:vAlign w:val="center"/>
                </w:tcPr>
                <w:p w14:paraId="14CE415D">
                  <w:pPr>
                    <w:widowControl/>
                    <w:jc w:val="center"/>
                    <w:textAlignment w:val="center"/>
                    <w:rPr>
                      <w:szCs w:val="21"/>
                    </w:rPr>
                  </w:pPr>
                  <w:r>
                    <w:rPr>
                      <w:szCs w:val="21"/>
                    </w:rPr>
                    <w:t>1.187</w:t>
                  </w:r>
                </w:p>
              </w:tc>
            </w:tr>
            <w:bookmarkEnd w:id="91"/>
            <w:tr w14:paraId="6888D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80" w:type="pct"/>
                  <w:gridSpan w:val="2"/>
                  <w:vMerge w:val="continue"/>
                  <w:vAlign w:val="center"/>
                </w:tcPr>
                <w:p w14:paraId="47777741">
                  <w:pPr>
                    <w:pStyle w:val="2"/>
                    <w:jc w:val="center"/>
                    <w:rPr>
                      <w:rFonts w:ascii="Times New Roman" w:cs="Times New Roman"/>
                      <w:color w:val="auto"/>
                      <w:sz w:val="21"/>
                      <w:szCs w:val="21"/>
                    </w:rPr>
                  </w:pPr>
                </w:p>
              </w:tc>
              <w:tc>
                <w:tcPr>
                  <w:tcW w:w="2561" w:type="pct"/>
                  <w:gridSpan w:val="3"/>
                  <w:vAlign w:val="center"/>
                </w:tcPr>
                <w:p w14:paraId="49885F02">
                  <w:pPr>
                    <w:jc w:val="center"/>
                    <w:rPr>
                      <w:szCs w:val="21"/>
                    </w:rPr>
                  </w:pPr>
                  <w:r>
                    <w:rPr>
                      <w:szCs w:val="21"/>
                    </w:rPr>
                    <w:t>颗粒物</w:t>
                  </w:r>
                </w:p>
              </w:tc>
              <w:tc>
                <w:tcPr>
                  <w:tcW w:w="859" w:type="pct"/>
                  <w:vAlign w:val="center"/>
                </w:tcPr>
                <w:p w14:paraId="505AA7FB">
                  <w:pPr>
                    <w:autoSpaceDE w:val="0"/>
                    <w:autoSpaceDN w:val="0"/>
                    <w:adjustRightInd w:val="0"/>
                    <w:jc w:val="center"/>
                    <w:rPr>
                      <w:szCs w:val="21"/>
                    </w:rPr>
                  </w:pPr>
                  <w:r>
                    <w:rPr>
                      <w:szCs w:val="21"/>
                    </w:rPr>
                    <w:t>0.0</w:t>
                  </w:r>
                  <w:r>
                    <w:rPr>
                      <w:rFonts w:hint="eastAsia"/>
                      <w:szCs w:val="21"/>
                    </w:rPr>
                    <w:t>116</w:t>
                  </w:r>
                </w:p>
              </w:tc>
            </w:tr>
          </w:tbl>
          <w:p w14:paraId="2FADADC1">
            <w:pPr>
              <w:adjustRightInd w:val="0"/>
              <w:snapToGrid w:val="0"/>
              <w:spacing w:before="120" w:beforeLines="50"/>
              <w:jc w:val="center"/>
              <w:rPr>
                <w:b/>
                <w:bCs/>
                <w:szCs w:val="21"/>
              </w:rPr>
            </w:pPr>
            <w:r>
              <w:rPr>
                <w:b/>
                <w:bCs/>
                <w:szCs w:val="21"/>
              </w:rPr>
              <w:t>表4-</w:t>
            </w:r>
            <w:r>
              <w:rPr>
                <w:rFonts w:hint="eastAsia"/>
                <w:b/>
                <w:bCs/>
                <w:szCs w:val="21"/>
              </w:rPr>
              <w:t>5</w:t>
            </w:r>
            <w:r>
              <w:rPr>
                <w:b/>
                <w:bCs/>
                <w:szCs w:val="21"/>
              </w:rPr>
              <w:t xml:space="preserve">  废气污染物无组织排放情况一览表</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3286"/>
              <w:gridCol w:w="2347"/>
              <w:gridCol w:w="2347"/>
            </w:tblGrid>
            <w:tr w14:paraId="01D42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3229D536">
                  <w:pPr>
                    <w:pStyle w:val="2"/>
                    <w:jc w:val="center"/>
                    <w:rPr>
                      <w:rFonts w:ascii="Times New Roman" w:cs="Times New Roman"/>
                      <w:b/>
                      <w:bCs/>
                      <w:color w:val="auto"/>
                      <w:sz w:val="21"/>
                      <w:szCs w:val="21"/>
                    </w:rPr>
                  </w:pPr>
                  <w:r>
                    <w:rPr>
                      <w:rFonts w:ascii="Times New Roman" w:cs="Times New Roman"/>
                      <w:b/>
                      <w:bCs/>
                      <w:color w:val="auto"/>
                      <w:sz w:val="21"/>
                      <w:szCs w:val="21"/>
                    </w:rPr>
                    <w:t>序号</w:t>
                  </w:r>
                </w:p>
              </w:tc>
              <w:tc>
                <w:tcPr>
                  <w:tcW w:w="1752" w:type="pct"/>
                  <w:tcBorders>
                    <w:tl2br w:val="nil"/>
                    <w:tr2bl w:val="nil"/>
                  </w:tcBorders>
                  <w:vAlign w:val="center"/>
                </w:tcPr>
                <w:p w14:paraId="1FE4622D">
                  <w:pPr>
                    <w:pStyle w:val="2"/>
                    <w:jc w:val="center"/>
                    <w:rPr>
                      <w:rFonts w:ascii="Times New Roman" w:cs="Times New Roman"/>
                      <w:b/>
                      <w:bCs/>
                      <w:color w:val="auto"/>
                      <w:sz w:val="21"/>
                      <w:szCs w:val="21"/>
                    </w:rPr>
                  </w:pPr>
                  <w:r>
                    <w:rPr>
                      <w:rFonts w:ascii="Times New Roman" w:cs="Times New Roman"/>
                      <w:b/>
                      <w:bCs/>
                      <w:color w:val="auto"/>
                      <w:sz w:val="21"/>
                      <w:szCs w:val="21"/>
                    </w:rPr>
                    <w:t>污染源</w:t>
                  </w:r>
                </w:p>
              </w:tc>
              <w:tc>
                <w:tcPr>
                  <w:tcW w:w="1251" w:type="pct"/>
                  <w:tcBorders>
                    <w:tl2br w:val="nil"/>
                    <w:tr2bl w:val="nil"/>
                  </w:tcBorders>
                  <w:vAlign w:val="center"/>
                </w:tcPr>
                <w:p w14:paraId="2B38A872">
                  <w:pPr>
                    <w:pStyle w:val="2"/>
                    <w:jc w:val="center"/>
                    <w:rPr>
                      <w:rFonts w:ascii="Times New Roman" w:cs="Times New Roman"/>
                      <w:b/>
                      <w:bCs/>
                      <w:color w:val="auto"/>
                      <w:sz w:val="21"/>
                      <w:szCs w:val="21"/>
                    </w:rPr>
                  </w:pPr>
                  <w:r>
                    <w:rPr>
                      <w:rFonts w:ascii="Times New Roman" w:cs="Times New Roman"/>
                      <w:b/>
                      <w:bCs/>
                      <w:color w:val="auto"/>
                      <w:sz w:val="21"/>
                      <w:szCs w:val="21"/>
                    </w:rPr>
                    <w:t>污染物</w:t>
                  </w:r>
                </w:p>
              </w:tc>
              <w:tc>
                <w:tcPr>
                  <w:tcW w:w="1251" w:type="pct"/>
                  <w:tcBorders>
                    <w:tl2br w:val="nil"/>
                    <w:tr2bl w:val="nil"/>
                  </w:tcBorders>
                  <w:vAlign w:val="center"/>
                </w:tcPr>
                <w:p w14:paraId="4F8DD3D1">
                  <w:pPr>
                    <w:pStyle w:val="2"/>
                    <w:jc w:val="center"/>
                    <w:rPr>
                      <w:rFonts w:ascii="Times New Roman" w:cs="Times New Roman"/>
                      <w:b/>
                      <w:bCs/>
                      <w:color w:val="auto"/>
                      <w:sz w:val="21"/>
                      <w:szCs w:val="21"/>
                    </w:rPr>
                  </w:pPr>
                  <w:r>
                    <w:rPr>
                      <w:rFonts w:ascii="Times New Roman" w:cs="Times New Roman"/>
                      <w:b/>
                      <w:bCs/>
                      <w:color w:val="auto"/>
                      <w:sz w:val="21"/>
                      <w:szCs w:val="21"/>
                    </w:rPr>
                    <w:t>排放量（t/a）</w:t>
                  </w:r>
                </w:p>
              </w:tc>
            </w:tr>
            <w:tr w14:paraId="7C818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1F98C883">
                  <w:pPr>
                    <w:pStyle w:val="2"/>
                    <w:jc w:val="center"/>
                    <w:rPr>
                      <w:rFonts w:ascii="Times New Roman" w:cs="Times New Roman"/>
                      <w:color w:val="auto"/>
                      <w:sz w:val="21"/>
                      <w:szCs w:val="21"/>
                    </w:rPr>
                  </w:pPr>
                  <w:r>
                    <w:rPr>
                      <w:rFonts w:ascii="Times New Roman" w:cs="Times New Roman"/>
                      <w:color w:val="auto"/>
                      <w:sz w:val="21"/>
                      <w:szCs w:val="21"/>
                    </w:rPr>
                    <w:t>1</w:t>
                  </w:r>
                </w:p>
              </w:tc>
              <w:tc>
                <w:tcPr>
                  <w:tcW w:w="1752" w:type="pct"/>
                  <w:tcBorders>
                    <w:tl2br w:val="nil"/>
                    <w:tr2bl w:val="nil"/>
                  </w:tcBorders>
                  <w:vAlign w:val="center"/>
                </w:tcPr>
                <w:p w14:paraId="7980F9D9">
                  <w:pPr>
                    <w:pStyle w:val="2"/>
                    <w:jc w:val="center"/>
                    <w:rPr>
                      <w:rFonts w:ascii="Times New Roman" w:cs="Times New Roman"/>
                      <w:color w:val="auto"/>
                      <w:sz w:val="21"/>
                      <w:szCs w:val="21"/>
                    </w:rPr>
                  </w:pPr>
                  <w:bookmarkStart w:id="92" w:name="OLE_LINK45"/>
                  <w:bookmarkStart w:id="93" w:name="OLE_LINK46"/>
                  <w:r>
                    <w:rPr>
                      <w:rFonts w:hint="eastAsia" w:ascii="Times New Roman" w:cs="Times New Roman"/>
                      <w:color w:val="auto"/>
                      <w:sz w:val="21"/>
                      <w:szCs w:val="21"/>
                    </w:rPr>
                    <w:t>烘干车间装卸粉尘</w:t>
                  </w:r>
                  <w:bookmarkEnd w:id="92"/>
                  <w:bookmarkEnd w:id="93"/>
                </w:p>
              </w:tc>
              <w:tc>
                <w:tcPr>
                  <w:tcW w:w="1251" w:type="pct"/>
                  <w:tcBorders>
                    <w:tl2br w:val="nil"/>
                    <w:tr2bl w:val="nil"/>
                  </w:tcBorders>
                  <w:vAlign w:val="center"/>
                </w:tcPr>
                <w:p w14:paraId="7A7F348A">
                  <w:pPr>
                    <w:pStyle w:val="2"/>
                    <w:jc w:val="center"/>
                    <w:rPr>
                      <w:rFonts w:ascii="Times New Roman" w:cs="Times New Roman"/>
                      <w:color w:val="auto"/>
                      <w:sz w:val="21"/>
                      <w:szCs w:val="21"/>
                    </w:rPr>
                  </w:pPr>
                  <w:bookmarkStart w:id="94" w:name="OLE_LINK50"/>
                  <w:bookmarkStart w:id="95" w:name="OLE_LINK48"/>
                  <w:bookmarkStart w:id="96" w:name="OLE_LINK47"/>
                  <w:r>
                    <w:rPr>
                      <w:rFonts w:ascii="Times New Roman" w:cs="Times New Roman"/>
                      <w:color w:val="auto"/>
                      <w:sz w:val="21"/>
                      <w:szCs w:val="21"/>
                    </w:rPr>
                    <w:t>颗粒物</w:t>
                  </w:r>
                  <w:bookmarkEnd w:id="94"/>
                  <w:bookmarkEnd w:id="95"/>
                  <w:bookmarkEnd w:id="96"/>
                </w:p>
              </w:tc>
              <w:tc>
                <w:tcPr>
                  <w:tcW w:w="1251" w:type="pct"/>
                  <w:tcBorders>
                    <w:tl2br w:val="nil"/>
                    <w:tr2bl w:val="nil"/>
                  </w:tcBorders>
                  <w:vAlign w:val="center"/>
                </w:tcPr>
                <w:p w14:paraId="09246138">
                  <w:pPr>
                    <w:pStyle w:val="2"/>
                    <w:jc w:val="center"/>
                    <w:rPr>
                      <w:rFonts w:ascii="Times New Roman" w:cs="Times New Roman"/>
                      <w:color w:val="auto"/>
                      <w:sz w:val="21"/>
                      <w:szCs w:val="21"/>
                    </w:rPr>
                  </w:pPr>
                  <w:r>
                    <w:rPr>
                      <w:rFonts w:hint="eastAsia" w:ascii="Times New Roman" w:cs="Times New Roman"/>
                      <w:color w:val="auto"/>
                      <w:sz w:val="21"/>
                      <w:szCs w:val="21"/>
                    </w:rPr>
                    <w:t>2.325</w:t>
                  </w:r>
                </w:p>
              </w:tc>
            </w:tr>
            <w:tr w14:paraId="12F0D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3BD769F7">
                  <w:pPr>
                    <w:pStyle w:val="2"/>
                    <w:jc w:val="center"/>
                    <w:rPr>
                      <w:rFonts w:ascii="Times New Roman" w:cs="Times New Roman"/>
                      <w:color w:val="auto"/>
                      <w:sz w:val="21"/>
                      <w:szCs w:val="21"/>
                    </w:rPr>
                  </w:pPr>
                  <w:r>
                    <w:rPr>
                      <w:rFonts w:hint="eastAsia" w:ascii="Times New Roman" w:cs="Times New Roman"/>
                      <w:color w:val="auto"/>
                      <w:sz w:val="21"/>
                      <w:szCs w:val="21"/>
                    </w:rPr>
                    <w:t>2</w:t>
                  </w:r>
                </w:p>
              </w:tc>
              <w:tc>
                <w:tcPr>
                  <w:tcW w:w="1752" w:type="pct"/>
                  <w:tcBorders>
                    <w:tl2br w:val="nil"/>
                    <w:tr2bl w:val="nil"/>
                  </w:tcBorders>
                  <w:vAlign w:val="center"/>
                </w:tcPr>
                <w:p w14:paraId="23BD1DE0">
                  <w:pPr>
                    <w:pStyle w:val="2"/>
                    <w:jc w:val="center"/>
                    <w:rPr>
                      <w:rFonts w:ascii="Times New Roman" w:cs="Times New Roman"/>
                      <w:color w:val="auto"/>
                      <w:sz w:val="21"/>
                      <w:szCs w:val="21"/>
                    </w:rPr>
                  </w:pPr>
                  <w:bookmarkStart w:id="97" w:name="OLE_LINK49"/>
                  <w:r>
                    <w:rPr>
                      <w:rFonts w:hint="eastAsia" w:ascii="Times New Roman" w:cs="Times New Roman"/>
                      <w:color w:val="auto"/>
                      <w:sz w:val="21"/>
                      <w:szCs w:val="21"/>
                    </w:rPr>
                    <w:t>烘干车间清筛粉尘</w:t>
                  </w:r>
                  <w:bookmarkEnd w:id="97"/>
                </w:p>
              </w:tc>
              <w:tc>
                <w:tcPr>
                  <w:tcW w:w="1251" w:type="pct"/>
                  <w:tcBorders>
                    <w:tl2br w:val="nil"/>
                    <w:tr2bl w:val="nil"/>
                  </w:tcBorders>
                  <w:vAlign w:val="center"/>
                </w:tcPr>
                <w:p w14:paraId="61D470EF">
                  <w:pPr>
                    <w:pStyle w:val="2"/>
                    <w:jc w:val="center"/>
                    <w:rPr>
                      <w:rFonts w:ascii="Times New Roman" w:cs="Times New Roman"/>
                      <w:color w:val="auto"/>
                      <w:sz w:val="21"/>
                      <w:szCs w:val="21"/>
                    </w:rPr>
                  </w:pPr>
                  <w:r>
                    <w:rPr>
                      <w:rFonts w:hint="eastAsia"/>
                      <w:color w:val="auto"/>
                      <w:sz w:val="21"/>
                      <w:szCs w:val="21"/>
                    </w:rPr>
                    <w:t>颗粒物</w:t>
                  </w:r>
                </w:p>
              </w:tc>
              <w:tc>
                <w:tcPr>
                  <w:tcW w:w="1251" w:type="pct"/>
                  <w:tcBorders>
                    <w:tl2br w:val="nil"/>
                    <w:tr2bl w:val="nil"/>
                  </w:tcBorders>
                  <w:vAlign w:val="center"/>
                </w:tcPr>
                <w:p w14:paraId="49274C96">
                  <w:pPr>
                    <w:pStyle w:val="2"/>
                    <w:jc w:val="center"/>
                    <w:rPr>
                      <w:rFonts w:ascii="Times New Roman" w:cs="Times New Roman"/>
                      <w:color w:val="auto"/>
                      <w:sz w:val="21"/>
                      <w:szCs w:val="21"/>
                    </w:rPr>
                  </w:pPr>
                  <w:r>
                    <w:rPr>
                      <w:rFonts w:hint="eastAsia" w:ascii="Times New Roman" w:cs="Times New Roman"/>
                      <w:color w:val="auto"/>
                      <w:sz w:val="21"/>
                      <w:szCs w:val="21"/>
                    </w:rPr>
                    <w:t>0.750</w:t>
                  </w:r>
                </w:p>
              </w:tc>
            </w:tr>
            <w:tr w14:paraId="3299F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133E1DC7">
                  <w:pPr>
                    <w:pStyle w:val="2"/>
                    <w:jc w:val="center"/>
                    <w:rPr>
                      <w:rFonts w:ascii="Times New Roman" w:cs="Times New Roman"/>
                      <w:color w:val="auto"/>
                      <w:sz w:val="21"/>
                      <w:szCs w:val="21"/>
                    </w:rPr>
                  </w:pPr>
                  <w:r>
                    <w:rPr>
                      <w:rFonts w:hint="eastAsia" w:ascii="Times New Roman" w:cs="Times New Roman"/>
                      <w:color w:val="auto"/>
                      <w:sz w:val="21"/>
                      <w:szCs w:val="21"/>
                    </w:rPr>
                    <w:t>3</w:t>
                  </w:r>
                </w:p>
              </w:tc>
              <w:tc>
                <w:tcPr>
                  <w:tcW w:w="1752" w:type="pct"/>
                  <w:tcBorders>
                    <w:tl2br w:val="nil"/>
                    <w:tr2bl w:val="nil"/>
                  </w:tcBorders>
                  <w:vAlign w:val="center"/>
                </w:tcPr>
                <w:p w14:paraId="2BE0CCB4">
                  <w:pPr>
                    <w:pStyle w:val="2"/>
                    <w:jc w:val="center"/>
                    <w:rPr>
                      <w:rFonts w:ascii="Times New Roman" w:cs="Times New Roman"/>
                      <w:color w:val="auto"/>
                      <w:sz w:val="21"/>
                      <w:szCs w:val="21"/>
                    </w:rPr>
                  </w:pPr>
                  <w:r>
                    <w:rPr>
                      <w:rFonts w:hint="eastAsia" w:ascii="Times New Roman" w:cs="Times New Roman"/>
                      <w:color w:val="auto"/>
                      <w:sz w:val="21"/>
                      <w:szCs w:val="21"/>
                    </w:rPr>
                    <w:t>烘干车间烘干废气</w:t>
                  </w:r>
                </w:p>
              </w:tc>
              <w:tc>
                <w:tcPr>
                  <w:tcW w:w="1251" w:type="pct"/>
                  <w:tcBorders>
                    <w:tl2br w:val="nil"/>
                    <w:tr2bl w:val="nil"/>
                  </w:tcBorders>
                  <w:vAlign w:val="center"/>
                </w:tcPr>
                <w:p w14:paraId="1006AEC1">
                  <w:pPr>
                    <w:pStyle w:val="2"/>
                    <w:jc w:val="center"/>
                    <w:rPr>
                      <w:color w:val="auto"/>
                      <w:sz w:val="21"/>
                      <w:szCs w:val="21"/>
                    </w:rPr>
                  </w:pPr>
                  <w:bookmarkStart w:id="98" w:name="OLE_LINK52"/>
                  <w:bookmarkStart w:id="99" w:name="OLE_LINK51"/>
                  <w:r>
                    <w:rPr>
                      <w:rFonts w:hint="eastAsia"/>
                      <w:color w:val="auto"/>
                      <w:sz w:val="21"/>
                      <w:szCs w:val="21"/>
                    </w:rPr>
                    <w:t>颗粒物</w:t>
                  </w:r>
                  <w:bookmarkEnd w:id="98"/>
                  <w:bookmarkEnd w:id="99"/>
                </w:p>
              </w:tc>
              <w:tc>
                <w:tcPr>
                  <w:tcW w:w="1251" w:type="pct"/>
                  <w:tcBorders>
                    <w:tl2br w:val="nil"/>
                    <w:tr2bl w:val="nil"/>
                  </w:tcBorders>
                  <w:vAlign w:val="center"/>
                </w:tcPr>
                <w:p w14:paraId="72C04D5A">
                  <w:pPr>
                    <w:pStyle w:val="2"/>
                    <w:jc w:val="center"/>
                    <w:rPr>
                      <w:rFonts w:ascii="Times New Roman" w:cs="Times New Roman"/>
                      <w:color w:val="auto"/>
                      <w:sz w:val="21"/>
                      <w:szCs w:val="21"/>
                    </w:rPr>
                  </w:pPr>
                  <w:r>
                    <w:rPr>
                      <w:rFonts w:hint="eastAsia" w:ascii="Times New Roman" w:cs="Times New Roman"/>
                      <w:color w:val="auto"/>
                      <w:sz w:val="21"/>
                      <w:szCs w:val="21"/>
                    </w:rPr>
                    <w:t>1.116</w:t>
                  </w:r>
                </w:p>
              </w:tc>
            </w:tr>
            <w:tr w14:paraId="6DE62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354ABFAB">
                  <w:pPr>
                    <w:pStyle w:val="2"/>
                    <w:jc w:val="center"/>
                    <w:rPr>
                      <w:rFonts w:ascii="Times New Roman" w:cs="Times New Roman"/>
                      <w:color w:val="auto"/>
                      <w:sz w:val="21"/>
                      <w:szCs w:val="21"/>
                    </w:rPr>
                  </w:pPr>
                  <w:r>
                    <w:rPr>
                      <w:rFonts w:hint="eastAsia" w:ascii="Times New Roman" w:cs="Times New Roman"/>
                      <w:color w:val="auto"/>
                      <w:sz w:val="21"/>
                      <w:szCs w:val="21"/>
                    </w:rPr>
                    <w:t>4</w:t>
                  </w:r>
                </w:p>
              </w:tc>
              <w:tc>
                <w:tcPr>
                  <w:tcW w:w="1752" w:type="pct"/>
                  <w:tcBorders>
                    <w:tl2br w:val="nil"/>
                    <w:tr2bl w:val="nil"/>
                  </w:tcBorders>
                  <w:vAlign w:val="center"/>
                </w:tcPr>
                <w:p w14:paraId="71CA718A">
                  <w:pPr>
                    <w:pStyle w:val="2"/>
                    <w:jc w:val="center"/>
                    <w:rPr>
                      <w:rFonts w:ascii="Times New Roman" w:cs="Times New Roman"/>
                      <w:color w:val="auto"/>
                      <w:sz w:val="21"/>
                      <w:szCs w:val="21"/>
                    </w:rPr>
                  </w:pPr>
                  <w:bookmarkStart w:id="100" w:name="OLE_LINK54"/>
                  <w:bookmarkStart w:id="101" w:name="OLE_LINK53"/>
                  <w:r>
                    <w:rPr>
                      <w:rFonts w:hint="eastAsia" w:ascii="Times New Roman" w:cs="Times New Roman"/>
                      <w:color w:val="auto"/>
                      <w:sz w:val="21"/>
                      <w:szCs w:val="21"/>
                    </w:rPr>
                    <w:t>平房仓</w:t>
                  </w:r>
                  <w:bookmarkEnd w:id="100"/>
                  <w:bookmarkEnd w:id="101"/>
                  <w:r>
                    <w:rPr>
                      <w:rFonts w:hint="eastAsia" w:ascii="Times New Roman" w:cs="Times New Roman"/>
                      <w:color w:val="auto"/>
                      <w:sz w:val="21"/>
                      <w:szCs w:val="21"/>
                    </w:rPr>
                    <w:t>装卸粉尘</w:t>
                  </w:r>
                </w:p>
              </w:tc>
              <w:tc>
                <w:tcPr>
                  <w:tcW w:w="1251" w:type="pct"/>
                  <w:tcBorders>
                    <w:tl2br w:val="nil"/>
                    <w:tr2bl w:val="nil"/>
                  </w:tcBorders>
                  <w:vAlign w:val="center"/>
                </w:tcPr>
                <w:p w14:paraId="7905C1B6">
                  <w:pPr>
                    <w:pStyle w:val="2"/>
                    <w:jc w:val="center"/>
                    <w:rPr>
                      <w:color w:val="auto"/>
                      <w:sz w:val="21"/>
                      <w:szCs w:val="21"/>
                    </w:rPr>
                  </w:pPr>
                  <w:bookmarkStart w:id="102" w:name="OLE_LINK55"/>
                  <w:bookmarkStart w:id="103" w:name="OLE_LINK56"/>
                  <w:r>
                    <w:rPr>
                      <w:rFonts w:hint="eastAsia"/>
                      <w:color w:val="auto"/>
                      <w:sz w:val="21"/>
                      <w:szCs w:val="21"/>
                    </w:rPr>
                    <w:t>颗粒物</w:t>
                  </w:r>
                  <w:bookmarkEnd w:id="102"/>
                  <w:bookmarkEnd w:id="103"/>
                </w:p>
              </w:tc>
              <w:tc>
                <w:tcPr>
                  <w:tcW w:w="1251" w:type="pct"/>
                  <w:tcBorders>
                    <w:tl2br w:val="nil"/>
                    <w:tr2bl w:val="nil"/>
                  </w:tcBorders>
                  <w:vAlign w:val="center"/>
                </w:tcPr>
                <w:p w14:paraId="5D4A047B">
                  <w:pPr>
                    <w:pStyle w:val="2"/>
                    <w:jc w:val="center"/>
                    <w:rPr>
                      <w:rFonts w:ascii="Times New Roman" w:cs="Times New Roman"/>
                      <w:color w:val="auto"/>
                      <w:sz w:val="21"/>
                      <w:szCs w:val="21"/>
                    </w:rPr>
                  </w:pPr>
                  <w:r>
                    <w:rPr>
                      <w:rFonts w:hint="eastAsia" w:ascii="Times New Roman" w:cs="Times New Roman"/>
                      <w:color w:val="auto"/>
                      <w:sz w:val="21"/>
                      <w:szCs w:val="21"/>
                    </w:rPr>
                    <w:t>0.521</w:t>
                  </w:r>
                </w:p>
              </w:tc>
            </w:tr>
            <w:tr w14:paraId="721B2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7A4E9919">
                  <w:pPr>
                    <w:pStyle w:val="2"/>
                    <w:jc w:val="center"/>
                    <w:rPr>
                      <w:rFonts w:ascii="Times New Roman" w:cs="Times New Roman"/>
                      <w:color w:val="auto"/>
                      <w:sz w:val="21"/>
                      <w:szCs w:val="21"/>
                    </w:rPr>
                  </w:pPr>
                  <w:r>
                    <w:rPr>
                      <w:rFonts w:hint="eastAsia" w:ascii="Times New Roman" w:cs="Times New Roman"/>
                      <w:color w:val="auto"/>
                      <w:sz w:val="21"/>
                      <w:szCs w:val="21"/>
                    </w:rPr>
                    <w:t>5</w:t>
                  </w:r>
                </w:p>
              </w:tc>
              <w:tc>
                <w:tcPr>
                  <w:tcW w:w="1752" w:type="pct"/>
                  <w:tcBorders>
                    <w:tl2br w:val="nil"/>
                    <w:tr2bl w:val="nil"/>
                  </w:tcBorders>
                  <w:vAlign w:val="center"/>
                </w:tcPr>
                <w:p w14:paraId="3327917A">
                  <w:pPr>
                    <w:pStyle w:val="2"/>
                    <w:jc w:val="center"/>
                    <w:rPr>
                      <w:rFonts w:ascii="Times New Roman" w:cs="Times New Roman"/>
                      <w:color w:val="auto"/>
                      <w:sz w:val="21"/>
                      <w:szCs w:val="21"/>
                    </w:rPr>
                  </w:pPr>
                  <w:r>
                    <w:rPr>
                      <w:rFonts w:hint="eastAsia"/>
                      <w:color w:val="auto"/>
                      <w:sz w:val="21"/>
                      <w:szCs w:val="21"/>
                    </w:rPr>
                    <w:t>平房仓</w:t>
                  </w:r>
                  <w:r>
                    <w:rPr>
                      <w:rFonts w:hint="eastAsia" w:ascii="Times New Roman" w:cs="Times New Roman"/>
                      <w:color w:val="auto"/>
                      <w:sz w:val="21"/>
                      <w:szCs w:val="21"/>
                    </w:rPr>
                    <w:t>清筛粉尘</w:t>
                  </w:r>
                </w:p>
              </w:tc>
              <w:tc>
                <w:tcPr>
                  <w:tcW w:w="1251" w:type="pct"/>
                  <w:tcBorders>
                    <w:tl2br w:val="nil"/>
                    <w:tr2bl w:val="nil"/>
                  </w:tcBorders>
                  <w:vAlign w:val="center"/>
                </w:tcPr>
                <w:p w14:paraId="7B28D7F5">
                  <w:pPr>
                    <w:pStyle w:val="2"/>
                    <w:jc w:val="center"/>
                    <w:rPr>
                      <w:color w:val="auto"/>
                      <w:sz w:val="21"/>
                      <w:szCs w:val="21"/>
                    </w:rPr>
                  </w:pPr>
                  <w:r>
                    <w:rPr>
                      <w:rFonts w:hint="eastAsia"/>
                      <w:color w:val="auto"/>
                      <w:sz w:val="21"/>
                      <w:szCs w:val="21"/>
                    </w:rPr>
                    <w:t>颗粒物</w:t>
                  </w:r>
                </w:p>
              </w:tc>
              <w:tc>
                <w:tcPr>
                  <w:tcW w:w="1251" w:type="pct"/>
                  <w:tcBorders>
                    <w:tl2br w:val="nil"/>
                    <w:tr2bl w:val="nil"/>
                  </w:tcBorders>
                  <w:vAlign w:val="center"/>
                </w:tcPr>
                <w:p w14:paraId="31494CC5">
                  <w:pPr>
                    <w:pStyle w:val="2"/>
                    <w:jc w:val="center"/>
                    <w:rPr>
                      <w:rFonts w:ascii="Times New Roman" w:cs="Times New Roman"/>
                      <w:color w:val="auto"/>
                      <w:sz w:val="21"/>
                      <w:szCs w:val="21"/>
                    </w:rPr>
                  </w:pPr>
                  <w:r>
                    <w:rPr>
                      <w:rFonts w:hint="eastAsia" w:ascii="Times New Roman" w:cs="Times New Roman"/>
                      <w:color w:val="auto"/>
                      <w:sz w:val="21"/>
                      <w:szCs w:val="21"/>
                    </w:rPr>
                    <w:t>0.168</w:t>
                  </w:r>
                </w:p>
              </w:tc>
            </w:tr>
            <w:tr w14:paraId="6578B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6" w:type="pct"/>
                  <w:tcBorders>
                    <w:tl2br w:val="nil"/>
                    <w:tr2bl w:val="nil"/>
                  </w:tcBorders>
                  <w:vAlign w:val="center"/>
                </w:tcPr>
                <w:p w14:paraId="70FC5093">
                  <w:pPr>
                    <w:pStyle w:val="2"/>
                    <w:jc w:val="center"/>
                    <w:rPr>
                      <w:rFonts w:ascii="Times New Roman" w:cs="Times New Roman"/>
                      <w:color w:val="auto"/>
                      <w:sz w:val="21"/>
                      <w:szCs w:val="21"/>
                    </w:rPr>
                  </w:pPr>
                  <w:r>
                    <w:rPr>
                      <w:rFonts w:hint="eastAsia" w:ascii="Times New Roman" w:cs="Times New Roman"/>
                      <w:color w:val="auto"/>
                      <w:sz w:val="21"/>
                      <w:szCs w:val="21"/>
                    </w:rPr>
                    <w:t>6</w:t>
                  </w:r>
                </w:p>
              </w:tc>
              <w:tc>
                <w:tcPr>
                  <w:tcW w:w="1752" w:type="pct"/>
                  <w:tcBorders>
                    <w:tl2br w:val="nil"/>
                    <w:tr2bl w:val="nil"/>
                  </w:tcBorders>
                  <w:vAlign w:val="center"/>
                </w:tcPr>
                <w:p w14:paraId="3723F9A0">
                  <w:pPr>
                    <w:pStyle w:val="2"/>
                    <w:jc w:val="center"/>
                    <w:rPr>
                      <w:color w:val="auto"/>
                      <w:sz w:val="21"/>
                      <w:szCs w:val="21"/>
                    </w:rPr>
                  </w:pPr>
                  <w:r>
                    <w:rPr>
                      <w:rFonts w:hint="eastAsia"/>
                      <w:color w:val="auto"/>
                      <w:sz w:val="21"/>
                      <w:szCs w:val="21"/>
                    </w:rPr>
                    <w:t>浅圆仓粉尘</w:t>
                  </w:r>
                </w:p>
              </w:tc>
              <w:tc>
                <w:tcPr>
                  <w:tcW w:w="1251" w:type="pct"/>
                  <w:tcBorders>
                    <w:tl2br w:val="nil"/>
                    <w:tr2bl w:val="nil"/>
                  </w:tcBorders>
                  <w:vAlign w:val="center"/>
                </w:tcPr>
                <w:p w14:paraId="0196280E">
                  <w:pPr>
                    <w:pStyle w:val="2"/>
                    <w:jc w:val="center"/>
                    <w:rPr>
                      <w:color w:val="auto"/>
                      <w:sz w:val="21"/>
                      <w:szCs w:val="21"/>
                    </w:rPr>
                  </w:pPr>
                  <w:r>
                    <w:rPr>
                      <w:rFonts w:hint="eastAsia"/>
                      <w:color w:val="auto"/>
                      <w:sz w:val="21"/>
                      <w:szCs w:val="21"/>
                    </w:rPr>
                    <w:t>颗粒物</w:t>
                  </w:r>
                </w:p>
              </w:tc>
              <w:tc>
                <w:tcPr>
                  <w:tcW w:w="1251" w:type="pct"/>
                  <w:tcBorders>
                    <w:tl2br w:val="nil"/>
                    <w:tr2bl w:val="nil"/>
                  </w:tcBorders>
                  <w:vAlign w:val="center"/>
                </w:tcPr>
                <w:p w14:paraId="05386966">
                  <w:pPr>
                    <w:pStyle w:val="2"/>
                    <w:jc w:val="center"/>
                    <w:rPr>
                      <w:rFonts w:ascii="Times New Roman" w:cs="Times New Roman"/>
                      <w:color w:val="auto"/>
                      <w:sz w:val="21"/>
                      <w:szCs w:val="21"/>
                    </w:rPr>
                  </w:pPr>
                  <w:r>
                    <w:rPr>
                      <w:rFonts w:hint="eastAsia" w:ascii="Times New Roman" w:cs="Times New Roman"/>
                      <w:color w:val="auto"/>
                      <w:sz w:val="21"/>
                      <w:szCs w:val="21"/>
                    </w:rPr>
                    <w:t>0.113</w:t>
                  </w:r>
                </w:p>
              </w:tc>
            </w:tr>
            <w:tr w14:paraId="02E223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8" w:type="pct"/>
                  <w:gridSpan w:val="2"/>
                  <w:tcBorders>
                    <w:tl2br w:val="nil"/>
                    <w:tr2bl w:val="nil"/>
                  </w:tcBorders>
                  <w:vAlign w:val="center"/>
                </w:tcPr>
                <w:p w14:paraId="1BAD48FE">
                  <w:pPr>
                    <w:pStyle w:val="2"/>
                    <w:jc w:val="center"/>
                    <w:rPr>
                      <w:rFonts w:ascii="Times New Roman" w:cs="Times New Roman"/>
                      <w:color w:val="auto"/>
                      <w:sz w:val="21"/>
                      <w:szCs w:val="21"/>
                    </w:rPr>
                  </w:pPr>
                  <w:r>
                    <w:rPr>
                      <w:rFonts w:ascii="Times New Roman" w:cs="Times New Roman"/>
                      <w:color w:val="auto"/>
                      <w:sz w:val="21"/>
                      <w:szCs w:val="21"/>
                    </w:rPr>
                    <w:t>合计</w:t>
                  </w:r>
                </w:p>
              </w:tc>
              <w:tc>
                <w:tcPr>
                  <w:tcW w:w="1251" w:type="pct"/>
                  <w:tcBorders>
                    <w:tl2br w:val="nil"/>
                    <w:tr2bl w:val="nil"/>
                  </w:tcBorders>
                  <w:vAlign w:val="center"/>
                </w:tcPr>
                <w:p w14:paraId="3A02027C">
                  <w:pPr>
                    <w:pStyle w:val="2"/>
                    <w:jc w:val="center"/>
                    <w:rPr>
                      <w:rFonts w:ascii="Times New Roman" w:cs="Times New Roman"/>
                      <w:color w:val="auto"/>
                      <w:sz w:val="21"/>
                      <w:szCs w:val="21"/>
                    </w:rPr>
                  </w:pPr>
                  <w:r>
                    <w:rPr>
                      <w:rFonts w:hint="eastAsia"/>
                      <w:color w:val="auto"/>
                      <w:sz w:val="21"/>
                      <w:szCs w:val="21"/>
                    </w:rPr>
                    <w:t>颗粒物</w:t>
                  </w:r>
                </w:p>
              </w:tc>
              <w:tc>
                <w:tcPr>
                  <w:tcW w:w="1251" w:type="pct"/>
                  <w:tcBorders>
                    <w:tl2br w:val="nil"/>
                    <w:tr2bl w:val="nil"/>
                  </w:tcBorders>
                  <w:vAlign w:val="center"/>
                </w:tcPr>
                <w:p w14:paraId="3542F6ED">
                  <w:pPr>
                    <w:pStyle w:val="2"/>
                    <w:jc w:val="center"/>
                    <w:rPr>
                      <w:rFonts w:ascii="Times New Roman" w:cs="Times New Roman"/>
                      <w:color w:val="auto"/>
                      <w:sz w:val="21"/>
                      <w:szCs w:val="21"/>
                    </w:rPr>
                  </w:pPr>
                  <w:r>
                    <w:rPr>
                      <w:rFonts w:hint="eastAsia" w:ascii="Times New Roman" w:cs="Times New Roman"/>
                      <w:color w:val="auto"/>
                      <w:sz w:val="21"/>
                      <w:szCs w:val="21"/>
                    </w:rPr>
                    <w:t>4.993</w:t>
                  </w:r>
                </w:p>
              </w:tc>
            </w:tr>
          </w:tbl>
          <w:p w14:paraId="19DFFCF7">
            <w:pPr>
              <w:adjustRightInd w:val="0"/>
              <w:snapToGrid w:val="0"/>
              <w:spacing w:before="120" w:beforeLines="50"/>
              <w:jc w:val="center"/>
              <w:rPr>
                <w:b/>
                <w:bCs/>
                <w:szCs w:val="21"/>
              </w:rPr>
            </w:pPr>
            <w:bookmarkStart w:id="104" w:name="OLE_LINK57"/>
            <w:bookmarkStart w:id="105" w:name="OLE_LINK58"/>
            <w:r>
              <w:rPr>
                <w:b/>
                <w:bCs/>
                <w:szCs w:val="21"/>
              </w:rPr>
              <w:t>表4-</w:t>
            </w:r>
            <w:r>
              <w:rPr>
                <w:rFonts w:hint="eastAsia"/>
                <w:b/>
                <w:bCs/>
                <w:szCs w:val="21"/>
              </w:rPr>
              <w:t>6</w:t>
            </w:r>
            <w:r>
              <w:rPr>
                <w:b/>
                <w:bCs/>
                <w:szCs w:val="21"/>
              </w:rPr>
              <w:t xml:space="preserve">  大气污染物年排放量核算表（总量）</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6"/>
              <w:gridCol w:w="3132"/>
              <w:gridCol w:w="3130"/>
            </w:tblGrid>
            <w:tr w14:paraId="295E5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566ABD74">
                  <w:pPr>
                    <w:jc w:val="center"/>
                    <w:rPr>
                      <w:b/>
                      <w:bCs/>
                      <w:szCs w:val="21"/>
                    </w:rPr>
                  </w:pPr>
                  <w:r>
                    <w:rPr>
                      <w:b/>
                      <w:bCs/>
                      <w:szCs w:val="21"/>
                    </w:rPr>
                    <w:t>序号</w:t>
                  </w:r>
                </w:p>
              </w:tc>
              <w:tc>
                <w:tcPr>
                  <w:tcW w:w="1668" w:type="pct"/>
                  <w:vAlign w:val="center"/>
                </w:tcPr>
                <w:p w14:paraId="4D1107CC">
                  <w:pPr>
                    <w:jc w:val="center"/>
                    <w:rPr>
                      <w:b/>
                      <w:bCs/>
                      <w:szCs w:val="21"/>
                    </w:rPr>
                  </w:pPr>
                  <w:r>
                    <w:rPr>
                      <w:b/>
                      <w:bCs/>
                      <w:szCs w:val="21"/>
                    </w:rPr>
                    <w:t>污染物</w:t>
                  </w:r>
                </w:p>
              </w:tc>
              <w:tc>
                <w:tcPr>
                  <w:tcW w:w="1667" w:type="pct"/>
                  <w:vAlign w:val="center"/>
                </w:tcPr>
                <w:p w14:paraId="15A86895">
                  <w:pPr>
                    <w:jc w:val="center"/>
                    <w:rPr>
                      <w:b/>
                      <w:bCs/>
                      <w:szCs w:val="21"/>
                    </w:rPr>
                  </w:pPr>
                  <w:r>
                    <w:rPr>
                      <w:b/>
                      <w:bCs/>
                      <w:szCs w:val="21"/>
                    </w:rPr>
                    <w:t>年排放量（t/a）</w:t>
                  </w:r>
                </w:p>
              </w:tc>
            </w:tr>
            <w:tr w14:paraId="2DE220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76501A77">
                  <w:pPr>
                    <w:jc w:val="center"/>
                    <w:rPr>
                      <w:szCs w:val="21"/>
                    </w:rPr>
                  </w:pPr>
                  <w:r>
                    <w:rPr>
                      <w:szCs w:val="21"/>
                    </w:rPr>
                    <w:t>1</w:t>
                  </w:r>
                </w:p>
              </w:tc>
              <w:tc>
                <w:tcPr>
                  <w:tcW w:w="1668" w:type="pct"/>
                  <w:vAlign w:val="center"/>
                </w:tcPr>
                <w:p w14:paraId="384DB683">
                  <w:pPr>
                    <w:jc w:val="center"/>
                    <w:rPr>
                      <w:szCs w:val="21"/>
                    </w:rPr>
                  </w:pPr>
                  <w:r>
                    <w:rPr>
                      <w:szCs w:val="21"/>
                    </w:rPr>
                    <w:t>SO</w:t>
                  </w:r>
                  <w:r>
                    <w:rPr>
                      <w:szCs w:val="21"/>
                      <w:vertAlign w:val="subscript"/>
                    </w:rPr>
                    <w:t>2</w:t>
                  </w:r>
                </w:p>
              </w:tc>
              <w:tc>
                <w:tcPr>
                  <w:tcW w:w="1667" w:type="pct"/>
                  <w:vAlign w:val="center"/>
                </w:tcPr>
                <w:p w14:paraId="1B583202">
                  <w:pPr>
                    <w:autoSpaceDE w:val="0"/>
                    <w:autoSpaceDN w:val="0"/>
                    <w:adjustRightInd w:val="0"/>
                    <w:jc w:val="center"/>
                    <w:rPr>
                      <w:szCs w:val="21"/>
                    </w:rPr>
                  </w:pPr>
                  <w:r>
                    <w:rPr>
                      <w:szCs w:val="21"/>
                    </w:rPr>
                    <w:t>0.653</w:t>
                  </w:r>
                </w:p>
              </w:tc>
            </w:tr>
            <w:tr w14:paraId="415D24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6BCFFFF9">
                  <w:pPr>
                    <w:jc w:val="center"/>
                    <w:rPr>
                      <w:szCs w:val="21"/>
                    </w:rPr>
                  </w:pPr>
                  <w:r>
                    <w:rPr>
                      <w:szCs w:val="21"/>
                    </w:rPr>
                    <w:t>2</w:t>
                  </w:r>
                </w:p>
              </w:tc>
              <w:tc>
                <w:tcPr>
                  <w:tcW w:w="1668" w:type="pct"/>
                  <w:vAlign w:val="center"/>
                </w:tcPr>
                <w:p w14:paraId="53818662">
                  <w:pPr>
                    <w:jc w:val="center"/>
                    <w:rPr>
                      <w:szCs w:val="21"/>
                    </w:rPr>
                  </w:pPr>
                  <w:r>
                    <w:rPr>
                      <w:szCs w:val="21"/>
                    </w:rPr>
                    <w:t>氮氧化物</w:t>
                  </w:r>
                </w:p>
              </w:tc>
              <w:tc>
                <w:tcPr>
                  <w:tcW w:w="1667" w:type="pct"/>
                  <w:vAlign w:val="center"/>
                </w:tcPr>
                <w:p w14:paraId="75A9F50E">
                  <w:pPr>
                    <w:widowControl/>
                    <w:jc w:val="center"/>
                    <w:textAlignment w:val="center"/>
                    <w:rPr>
                      <w:szCs w:val="21"/>
                    </w:rPr>
                  </w:pPr>
                  <w:r>
                    <w:rPr>
                      <w:szCs w:val="21"/>
                    </w:rPr>
                    <w:t>1.187</w:t>
                  </w:r>
                </w:p>
              </w:tc>
            </w:tr>
            <w:tr w14:paraId="49D82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5" w:type="pct"/>
                  <w:vAlign w:val="center"/>
                </w:tcPr>
                <w:p w14:paraId="7592D7F7">
                  <w:pPr>
                    <w:jc w:val="center"/>
                    <w:rPr>
                      <w:szCs w:val="21"/>
                    </w:rPr>
                  </w:pPr>
                  <w:r>
                    <w:rPr>
                      <w:szCs w:val="21"/>
                    </w:rPr>
                    <w:t>3</w:t>
                  </w:r>
                </w:p>
              </w:tc>
              <w:tc>
                <w:tcPr>
                  <w:tcW w:w="1668" w:type="pct"/>
                  <w:vAlign w:val="center"/>
                </w:tcPr>
                <w:p w14:paraId="4E12B6E6">
                  <w:pPr>
                    <w:jc w:val="center"/>
                    <w:rPr>
                      <w:szCs w:val="21"/>
                    </w:rPr>
                  </w:pPr>
                  <w:r>
                    <w:rPr>
                      <w:szCs w:val="21"/>
                    </w:rPr>
                    <w:t>颗粒物</w:t>
                  </w:r>
                </w:p>
              </w:tc>
              <w:tc>
                <w:tcPr>
                  <w:tcW w:w="1667" w:type="pct"/>
                  <w:vAlign w:val="center"/>
                </w:tcPr>
                <w:p w14:paraId="6E2DFB58">
                  <w:pPr>
                    <w:jc w:val="center"/>
                    <w:rPr>
                      <w:szCs w:val="21"/>
                    </w:rPr>
                  </w:pPr>
                  <w:r>
                    <w:rPr>
                      <w:rFonts w:hint="eastAsia"/>
                      <w:szCs w:val="21"/>
                    </w:rPr>
                    <w:t>5.0046</w:t>
                  </w:r>
                </w:p>
              </w:tc>
            </w:tr>
            <w:bookmarkEnd w:id="104"/>
            <w:bookmarkEnd w:id="105"/>
          </w:tbl>
          <w:p w14:paraId="32C9ADA9">
            <w:pPr>
              <w:autoSpaceDE w:val="0"/>
              <w:autoSpaceDN w:val="0"/>
              <w:adjustRightInd w:val="0"/>
              <w:spacing w:line="360" w:lineRule="auto"/>
              <w:ind w:firstLine="482" w:firstLineChars="200"/>
              <w:rPr>
                <w:b/>
                <w:bCs/>
                <w:sz w:val="24"/>
              </w:rPr>
            </w:pPr>
            <w:r>
              <w:rPr>
                <w:rFonts w:hint="eastAsia"/>
                <w:b/>
                <w:bCs/>
                <w:sz w:val="24"/>
              </w:rPr>
              <w:t>2</w:t>
            </w:r>
            <w:r>
              <w:rPr>
                <w:b/>
                <w:bCs/>
                <w:sz w:val="24"/>
              </w:rPr>
              <w:t>、</w:t>
            </w:r>
            <w:r>
              <w:rPr>
                <w:rFonts w:hint="eastAsia"/>
                <w:b/>
                <w:sz w:val="24"/>
              </w:rPr>
              <w:t>大气环境影响和</w:t>
            </w:r>
            <w:r>
              <w:rPr>
                <w:rFonts w:hint="eastAsia" w:ascii="宋体" w:cs="宋体"/>
                <w:b/>
                <w:sz w:val="24"/>
              </w:rPr>
              <w:t>治理措施可行性分析</w:t>
            </w:r>
          </w:p>
          <w:p w14:paraId="7541E1BD">
            <w:pPr>
              <w:adjustRightInd w:val="0"/>
              <w:snapToGrid w:val="0"/>
              <w:spacing w:line="360" w:lineRule="auto"/>
              <w:ind w:firstLine="480" w:firstLineChars="200"/>
              <w:rPr>
                <w:sz w:val="24"/>
              </w:rPr>
            </w:pPr>
            <w:r>
              <w:rPr>
                <w:rFonts w:hint="eastAsia"/>
                <w:sz w:val="24"/>
              </w:rPr>
              <w:t>（1）</w:t>
            </w:r>
            <w:r>
              <w:rPr>
                <w:sz w:val="24"/>
              </w:rPr>
              <w:t>有组织废气处理设施可行性</w:t>
            </w:r>
          </w:p>
          <w:p w14:paraId="786ECDEF">
            <w:pPr>
              <w:adjustRightInd w:val="0"/>
              <w:snapToGrid w:val="0"/>
              <w:spacing w:line="360" w:lineRule="auto"/>
              <w:ind w:firstLine="480" w:firstLineChars="200"/>
              <w:rPr>
                <w:sz w:val="24"/>
              </w:rPr>
            </w:pPr>
            <w:r>
              <w:rPr>
                <w:sz w:val="24"/>
              </w:rPr>
              <w:t>项目</w:t>
            </w:r>
            <w:r>
              <w:rPr>
                <w:rFonts w:hint="eastAsia" w:hAnsi="宋体"/>
                <w:sz w:val="24"/>
              </w:rPr>
              <w:t>3台生物质热风炉燃烧废气经各自的旋风+布袋除尘处理后通过一根20m高排气筒（DA001）排放</w:t>
            </w:r>
            <w:r>
              <w:rPr>
                <w:sz w:val="24"/>
              </w:rPr>
              <w:t>。根据前文废气污染源强核算，生物质燃烧产生的污染物可达标排放，能够满足</w:t>
            </w:r>
            <w:bookmarkStart w:id="106" w:name="OLE_LINK97"/>
            <w:bookmarkStart w:id="107" w:name="OLE_LINK96"/>
            <w:r>
              <w:rPr>
                <w:rFonts w:hint="eastAsia"/>
                <w:sz w:val="24"/>
              </w:rPr>
              <w:t>《湖南省</w:t>
            </w:r>
            <w:bookmarkStart w:id="108" w:name="OLE_LINK85"/>
            <w:bookmarkStart w:id="109" w:name="OLE_LINK86"/>
            <w:r>
              <w:rPr>
                <w:rFonts w:hint="eastAsia"/>
                <w:sz w:val="24"/>
              </w:rPr>
              <w:t>工业炉窑大气污染综合治理实施方案》附件1中相关排放限值</w:t>
            </w:r>
            <w:bookmarkEnd w:id="106"/>
            <w:bookmarkEnd w:id="107"/>
            <w:r>
              <w:rPr>
                <w:sz w:val="24"/>
              </w:rPr>
              <w:t xml:space="preserve">，对外环境影响较小。 </w:t>
            </w:r>
          </w:p>
          <w:p w14:paraId="781CFEC3">
            <w:pPr>
              <w:adjustRightInd w:val="0"/>
              <w:snapToGrid w:val="0"/>
              <w:spacing w:line="360" w:lineRule="auto"/>
              <w:ind w:firstLine="480" w:firstLineChars="200"/>
              <w:rPr>
                <w:sz w:val="24"/>
              </w:rPr>
            </w:pPr>
            <w:r>
              <w:rPr>
                <w:sz w:val="24"/>
              </w:rPr>
              <w:t>旋风除尘器通过离心力实现颗粒物分离。当含尘气体以15-30m/s的速度从切向进入圆柱形筒体时，气流在器壁约束下形成旋转的外旋流，颗粒在离心力作用下被甩向器壁，沿壁面下落至灰斗，而净化气体则形成内旋流经排气管排出。其核心在于利用旋转气流产生的离心力（可达重力的数百倍），使粒径大于10μm的颗粒分离，对5-15μm颗粒的效率可达85%以上，但对5μm以下微粒效果较差。结构上，它由筒体、锥体、排气管和灰斗组成，通过调整排气管直径、插入深度及筒体高度等参数优化气流分布，减少短路流以提升效率。</w:t>
            </w:r>
          </w:p>
          <w:p w14:paraId="42C1BC2F">
            <w:pPr>
              <w:adjustRightInd w:val="0"/>
              <w:snapToGrid w:val="0"/>
              <w:spacing w:line="360" w:lineRule="auto"/>
              <w:ind w:firstLine="480" w:firstLineChars="200"/>
              <w:rPr>
                <w:rFonts w:ascii="宋体" w:cs="宋体"/>
                <w:sz w:val="24"/>
              </w:rPr>
            </w:pPr>
            <w:r>
              <w:rPr>
                <w:rFonts w:ascii="宋体" w:cs="宋体"/>
                <w:sz w:val="24"/>
              </w:rPr>
              <w:t>布袋除尘器是一种干式高效除尘器，它利用纤维编制物制作的袋式过滤元件来捕集含尘气体中固体颗粒物。其作用原理是尘粒在绕过滤布纤维时因惯性力作用与纤维碰撞而被拦截。细微的尘粒（粒径为1μm或更小）则受气体分子冲击（布朗运动）不断改变着运动方向，由于纤维间的空隙小于气体分子布朗运动的自由路径，尘粒便与纤维碰撞接触而被分离出来。其优点是除尘效率很高，</w:t>
            </w:r>
            <w:r>
              <w:rPr>
                <w:sz w:val="24"/>
              </w:rPr>
              <w:t>可达99.9</w:t>
            </w:r>
            <w:r>
              <w:rPr>
                <w:rFonts w:hint="eastAsia"/>
                <w:sz w:val="24"/>
              </w:rPr>
              <w:t>%</w:t>
            </w:r>
            <w:r>
              <w:rPr>
                <w:sz w:val="24"/>
              </w:rPr>
              <w:t>以上</w:t>
            </w:r>
            <w:r>
              <w:rPr>
                <w:rFonts w:ascii="宋体" w:cs="宋体"/>
                <w:sz w:val="24"/>
              </w:rPr>
              <w:t>，适应力强，能处理不同类型的颗粒物，特别对电除尘器不易捕集的高比电阻尘粒亦很有效；适应的质量浓度范围大，对烟气流速的变化也具有一定的稳定性；结构简单，内部无复杂结构</w:t>
            </w:r>
            <w:bookmarkEnd w:id="108"/>
            <w:bookmarkEnd w:id="109"/>
            <w:r>
              <w:rPr>
                <w:rFonts w:ascii="宋体" w:cs="宋体"/>
                <w:sz w:val="24"/>
              </w:rPr>
              <w:t>。</w:t>
            </w:r>
          </w:p>
          <w:p w14:paraId="3A2C6F71">
            <w:pPr>
              <w:adjustRightInd w:val="0"/>
              <w:snapToGrid w:val="0"/>
              <w:spacing w:line="360" w:lineRule="auto"/>
              <w:ind w:firstLine="480" w:firstLineChars="200"/>
              <w:rPr>
                <w:rFonts w:ascii="宋体" w:cs="宋体"/>
                <w:sz w:val="24"/>
              </w:rPr>
            </w:pPr>
            <w:r>
              <w:rPr>
                <w:rFonts w:hint="eastAsia" w:ascii="宋体" w:cs="宋体"/>
                <w:sz w:val="24"/>
              </w:rPr>
              <w:t>两者常串联使用以发挥协同作用。在典型流程中，旋风除尘器作为一级预处理设备，先去除大部分大颗粒粉尘（效率高、阻力低），减轻布袋除尘器的负荷并延长其寿命；随后含尘浓度较低的气体进入布袋除尘器，对细颗粒进行高效捕集，实现整体高效率排放控制。这种组合兼顾了处理能力、能耗和经济性。</w:t>
            </w:r>
          </w:p>
          <w:p w14:paraId="0FE3CF0C">
            <w:pPr>
              <w:adjustRightInd w:val="0"/>
              <w:snapToGrid w:val="0"/>
              <w:spacing w:line="360" w:lineRule="auto"/>
              <w:ind w:firstLine="480" w:firstLineChars="200"/>
              <w:rPr>
                <w:sz w:val="24"/>
              </w:rPr>
            </w:pPr>
            <w:r>
              <w:rPr>
                <w:sz w:val="24"/>
              </w:rPr>
              <w:t>根据</w:t>
            </w:r>
            <w:bookmarkStart w:id="110" w:name="OLE_LINK78"/>
            <w:bookmarkStart w:id="111" w:name="OLE_LINK76"/>
            <w:bookmarkStart w:id="112" w:name="OLE_LINK95"/>
            <w:r>
              <w:rPr>
                <w:sz w:val="24"/>
              </w:rPr>
              <w:t>《排污许可证申请与核发技术规范</w:t>
            </w:r>
            <w:r>
              <w:rPr>
                <w:rFonts w:hint="eastAsia"/>
                <w:sz w:val="24"/>
              </w:rPr>
              <w:t xml:space="preserve"> 工业</w:t>
            </w:r>
            <w:r>
              <w:rPr>
                <w:sz w:val="24"/>
              </w:rPr>
              <w:t>炉窑》（HJ</w:t>
            </w:r>
            <w:r>
              <w:rPr>
                <w:rFonts w:hint="eastAsia"/>
                <w:sz w:val="24"/>
              </w:rPr>
              <w:t>1121-2020</w:t>
            </w:r>
            <w:r>
              <w:rPr>
                <w:sz w:val="24"/>
              </w:rPr>
              <w:t>）</w:t>
            </w:r>
            <w:bookmarkEnd w:id="110"/>
            <w:bookmarkEnd w:id="111"/>
            <w:bookmarkEnd w:id="112"/>
            <w:r>
              <w:rPr>
                <w:rFonts w:hint="eastAsia"/>
                <w:sz w:val="24"/>
              </w:rPr>
              <w:t>附录A中A.1废气可行技术参考表</w:t>
            </w:r>
            <w:r>
              <w:rPr>
                <w:sz w:val="24"/>
              </w:rPr>
              <w:t>，拟采用的旋风</w:t>
            </w:r>
            <w:r>
              <w:rPr>
                <w:rFonts w:hint="eastAsia"/>
                <w:sz w:val="24"/>
              </w:rPr>
              <w:t>+布袋除尘</w:t>
            </w:r>
            <w:r>
              <w:rPr>
                <w:rFonts w:asciiTheme="minorEastAsia" w:hAnsiTheme="minorEastAsia" w:eastAsiaTheme="minorEastAsia"/>
                <w:sz w:val="24"/>
              </w:rPr>
              <w:t>在</w:t>
            </w:r>
            <w:r>
              <w:rPr>
                <w:sz w:val="24"/>
              </w:rPr>
              <w:t>技术</w:t>
            </w:r>
            <w:r>
              <w:rPr>
                <w:rFonts w:asciiTheme="minorEastAsia" w:hAnsiTheme="minorEastAsia" w:eastAsiaTheme="minorEastAsia"/>
                <w:sz w:val="24"/>
              </w:rPr>
              <w:t>上是</w:t>
            </w:r>
            <w:r>
              <w:rPr>
                <w:sz w:val="24"/>
              </w:rPr>
              <w:t>可行</w:t>
            </w:r>
            <w:r>
              <w:rPr>
                <w:rFonts w:hint="eastAsia"/>
                <w:sz w:val="24"/>
              </w:rPr>
              <w:t>的</w:t>
            </w:r>
            <w:r>
              <w:rPr>
                <w:sz w:val="24"/>
              </w:rPr>
              <w:t>。</w:t>
            </w:r>
          </w:p>
          <w:p w14:paraId="6F26FFBA">
            <w:pPr>
              <w:adjustRightInd w:val="0"/>
              <w:snapToGrid w:val="0"/>
              <w:spacing w:line="360" w:lineRule="auto"/>
              <w:ind w:firstLine="480" w:firstLineChars="200"/>
              <w:rPr>
                <w:sz w:val="24"/>
              </w:rPr>
            </w:pPr>
            <w:r>
              <w:rPr>
                <w:rFonts w:hint="eastAsia"/>
                <w:sz w:val="24"/>
              </w:rPr>
              <w:t>（2）</w:t>
            </w:r>
            <w:r>
              <w:rPr>
                <w:sz w:val="24"/>
              </w:rPr>
              <w:t>无组织废气处理设施可行性</w:t>
            </w:r>
          </w:p>
          <w:p w14:paraId="04829B92">
            <w:pPr>
              <w:adjustRightInd w:val="0"/>
              <w:snapToGrid w:val="0"/>
              <w:spacing w:line="360" w:lineRule="auto"/>
              <w:ind w:firstLine="480" w:firstLineChars="200"/>
              <w:rPr>
                <w:sz w:val="24"/>
              </w:rPr>
            </w:pPr>
            <w:r>
              <w:rPr>
                <w:rFonts w:hint="eastAsia"/>
                <w:sz w:val="24"/>
              </w:rPr>
              <w:t>①烘干废气</w:t>
            </w:r>
          </w:p>
          <w:p w14:paraId="5FB8F6F9">
            <w:pPr>
              <w:adjustRightInd w:val="0"/>
              <w:snapToGrid w:val="0"/>
              <w:spacing w:line="360" w:lineRule="auto"/>
              <w:ind w:firstLine="480" w:firstLineChars="200"/>
              <w:rPr>
                <w:sz w:val="24"/>
              </w:rPr>
            </w:pPr>
            <w:r>
              <w:rPr>
                <w:rFonts w:hint="eastAsia"/>
                <w:sz w:val="24"/>
              </w:rPr>
              <w:t>项目烘干粉尘通过引风机引至一座重力沉降室+布袋除尘器处理后无组织排放，通过前文粉尘，粉尘浓度可满足《大气污染物综合排放标准》（GB16297-1996）表2中无组织相关排放限值。</w:t>
            </w:r>
          </w:p>
          <w:p w14:paraId="658EF3D1">
            <w:pPr>
              <w:adjustRightInd w:val="0"/>
              <w:snapToGrid w:val="0"/>
              <w:spacing w:line="360" w:lineRule="auto"/>
              <w:ind w:firstLine="480" w:firstLineChars="200"/>
              <w:rPr>
                <w:sz w:val="24"/>
              </w:rPr>
            </w:pPr>
            <w:r>
              <w:rPr>
                <w:rFonts w:hint="eastAsia"/>
                <w:sz w:val="24"/>
              </w:rPr>
              <w:t>沉降室：沉降室结构简单、造价低、施工容易、维护管理方便、阻力小等优点。主要用于处理进粮卸料、初清、入原粮仓或毛谷仓的粉尘，这类粉尘的主要特点的体积大、密度较大，用重力沉降室就能达到很好的处理效果。</w:t>
            </w:r>
          </w:p>
          <w:p w14:paraId="4E2B011E">
            <w:pPr>
              <w:adjustRightInd w:val="0"/>
              <w:snapToGrid w:val="0"/>
              <w:spacing w:line="360" w:lineRule="auto"/>
              <w:ind w:firstLine="480" w:firstLineChars="200"/>
              <w:rPr>
                <w:sz w:val="24"/>
              </w:rPr>
            </w:pPr>
            <w:r>
              <w:rPr>
                <w:rFonts w:hint="eastAsia"/>
                <w:sz w:val="24"/>
              </w:rPr>
              <w:t>布袋除尘器：</w:t>
            </w:r>
            <w:r>
              <w:rPr>
                <w:rFonts w:hint="eastAsia" w:ascii="宋体" w:cs="宋体"/>
                <w:sz w:val="24"/>
              </w:rPr>
              <w:t>布袋除尘器是一种干式高效除尘器，它利用纤维编制物制作的袋式过滤元件来捕集含尘气体中固体颗粒物。其作用原理是尘粒在绕过滤布纤维时因惯性力作用与纤维碰撞而被拦截。细微的尘粒（粒径为1</w:t>
            </w:r>
            <w:r>
              <w:rPr>
                <w:rFonts w:ascii="宋体" w:cs="宋体"/>
                <w:sz w:val="24"/>
              </w:rPr>
              <w:t>μ</w:t>
            </w:r>
            <w:r>
              <w:rPr>
                <w:rFonts w:hint="eastAsia" w:ascii="宋体" w:cs="宋体"/>
                <w:sz w:val="24"/>
              </w:rPr>
              <w:t>m或更小）则受气体分子冲击（布朗运动）不断改变着运动方向，由于纤维间的空隙小于气体分子布朗运动的自由路径，尘粒便与纤维碰撞接触而被分离出来。其优点是除尘效率很高，</w:t>
            </w:r>
            <w:r>
              <w:rPr>
                <w:rFonts w:hint="eastAsia"/>
                <w:sz w:val="24"/>
              </w:rPr>
              <w:t>可达</w:t>
            </w:r>
            <w:r>
              <w:rPr>
                <w:sz w:val="24"/>
              </w:rPr>
              <w:t>99.9%</w:t>
            </w:r>
            <w:r>
              <w:rPr>
                <w:rFonts w:hint="eastAsia"/>
                <w:sz w:val="24"/>
              </w:rPr>
              <w:t>以上</w:t>
            </w:r>
            <w:r>
              <w:rPr>
                <w:rFonts w:hint="eastAsia" w:ascii="宋体" w:cs="宋体"/>
                <w:sz w:val="24"/>
              </w:rPr>
              <w:t>，适应力强，能处理不同类型的颗粒物，特别对电除尘器不易捕集的高比电阻尘粒亦很有效；适应的质量浓度范围大，对烟气流速的变化也具有一定的稳定性；结构简单，内部无复杂结构</w:t>
            </w:r>
            <w:r>
              <w:rPr>
                <w:rFonts w:hint="eastAsia"/>
                <w:sz w:val="24"/>
              </w:rPr>
              <w:t>。</w:t>
            </w:r>
          </w:p>
          <w:p w14:paraId="725EB2F3">
            <w:pPr>
              <w:adjustRightInd w:val="0"/>
              <w:snapToGrid w:val="0"/>
              <w:spacing w:line="360" w:lineRule="auto"/>
              <w:ind w:firstLine="480" w:firstLineChars="200"/>
              <w:rPr>
                <w:sz w:val="24"/>
              </w:rPr>
            </w:pPr>
            <w:r>
              <w:rPr>
                <w:rFonts w:hint="eastAsia"/>
                <w:sz w:val="24"/>
              </w:rPr>
              <w:t>项目烘干粉尘主要为摩擦产生的谷壳碎屑、稻谷表面附着的少量土壤颗粒等，粒径大小不一，粒径较大的由于重力作用沉降，粒径小的进入袋式除尘器，项目处理措施可行。</w:t>
            </w:r>
          </w:p>
          <w:p w14:paraId="2286E72B">
            <w:pPr>
              <w:adjustRightInd w:val="0"/>
              <w:snapToGrid w:val="0"/>
              <w:spacing w:line="360" w:lineRule="auto"/>
              <w:ind w:firstLine="480" w:firstLineChars="200"/>
              <w:rPr>
                <w:sz w:val="24"/>
              </w:rPr>
            </w:pPr>
            <w:r>
              <w:rPr>
                <w:rFonts w:hint="eastAsia"/>
                <w:sz w:val="24"/>
              </w:rPr>
              <w:t>②装卸、清筛、输送、清筛粉尘：装卸料过程在库房内进行，并保持库房封闭，通过及时清扫地面，装卸过程中尽量减少装卸落差，禁止在大风天气进行装运作业及厂区绿化带削减等措施；输送时控制输送机的皮带速度，使皮带匀速、缓慢地运行，并且输送皮带在全封闭的廊道内；清筛阶段采用封闭式清筛设备。项目无组织粉尘通过采取以上措施，可满足《大气污染物综合排放标准》（GB16297-1996）中表 2 无组织排放浓度限值要求。</w:t>
            </w:r>
          </w:p>
          <w:p w14:paraId="7ABA34DF">
            <w:pPr>
              <w:adjustRightInd w:val="0"/>
              <w:snapToGrid w:val="0"/>
              <w:spacing w:line="360" w:lineRule="auto"/>
              <w:ind w:firstLine="480" w:firstLineChars="200"/>
              <w:rPr>
                <w:sz w:val="24"/>
              </w:rPr>
            </w:pPr>
            <w:r>
              <w:rPr>
                <w:sz w:val="24"/>
              </w:rPr>
              <w:t xml:space="preserve">为进一步控制厂区无组织排放粉尘，降低对周边大气环境及环境敏感点的影响，本环评要求企业做到如下几点： </w:t>
            </w:r>
          </w:p>
          <w:p w14:paraId="464E2F4D">
            <w:pPr>
              <w:adjustRightInd w:val="0"/>
              <w:snapToGrid w:val="0"/>
              <w:spacing w:line="360" w:lineRule="auto"/>
              <w:ind w:firstLine="480" w:firstLineChars="200"/>
              <w:rPr>
                <w:sz w:val="24"/>
              </w:rPr>
            </w:pPr>
            <w:r>
              <w:rPr>
                <w:rFonts w:hint="eastAsia"/>
                <w:sz w:val="24"/>
              </w:rPr>
              <w:t>①</w:t>
            </w:r>
            <w:r>
              <w:rPr>
                <w:sz w:val="24"/>
              </w:rPr>
              <w:t>日常运营时应及时检修维护收尘除尘设施，确保粉尘收集效率。</w:t>
            </w:r>
          </w:p>
          <w:p w14:paraId="25E6B647">
            <w:pPr>
              <w:adjustRightInd w:val="0"/>
              <w:snapToGrid w:val="0"/>
              <w:spacing w:line="360" w:lineRule="auto"/>
              <w:ind w:firstLine="480" w:firstLineChars="200"/>
              <w:rPr>
                <w:sz w:val="24"/>
              </w:rPr>
            </w:pPr>
            <w:r>
              <w:rPr>
                <w:rFonts w:hint="eastAsia"/>
                <w:sz w:val="24"/>
              </w:rPr>
              <w:t>②</w:t>
            </w:r>
            <w:r>
              <w:rPr>
                <w:sz w:val="24"/>
              </w:rPr>
              <w:t xml:space="preserve">加强日常生产管理，定期清扫厂自由沉降的粉尘。 </w:t>
            </w:r>
          </w:p>
          <w:p w14:paraId="287D21E6">
            <w:pPr>
              <w:adjustRightInd w:val="0"/>
              <w:snapToGrid w:val="0"/>
              <w:spacing w:line="360" w:lineRule="auto"/>
              <w:ind w:firstLine="480" w:firstLineChars="200"/>
              <w:rPr>
                <w:sz w:val="24"/>
              </w:rPr>
            </w:pPr>
            <w:r>
              <w:rPr>
                <w:rFonts w:hint="eastAsia"/>
                <w:sz w:val="24"/>
              </w:rPr>
              <w:t>③</w:t>
            </w:r>
            <w:r>
              <w:rPr>
                <w:sz w:val="24"/>
              </w:rPr>
              <w:t xml:space="preserve">增加装卸场地原粮装卸料时的密闭措施，使用软连接降低装卸车辆下料口落差、设置门帘遮挡出料口及装车区域。 </w:t>
            </w:r>
          </w:p>
          <w:p w14:paraId="29ACFE8E">
            <w:pPr>
              <w:adjustRightInd w:val="0"/>
              <w:snapToGrid w:val="0"/>
              <w:spacing w:line="360" w:lineRule="auto"/>
              <w:ind w:firstLine="480" w:firstLineChars="200"/>
              <w:rPr>
                <w:sz w:val="24"/>
              </w:rPr>
            </w:pPr>
            <w:r>
              <w:rPr>
                <w:rFonts w:hint="eastAsia"/>
                <w:sz w:val="24"/>
              </w:rPr>
              <w:t>④</w:t>
            </w:r>
            <w:r>
              <w:rPr>
                <w:sz w:val="24"/>
              </w:rPr>
              <w:t xml:space="preserve">按照要求对厂房进行全封闭，部分敞开式输送管道、下料口进行密闭处理，防止物料在输送过程中散溢。 </w:t>
            </w:r>
          </w:p>
          <w:p w14:paraId="1C0DF8C6">
            <w:pPr>
              <w:adjustRightInd w:val="0"/>
              <w:snapToGrid w:val="0"/>
              <w:spacing w:line="360" w:lineRule="auto"/>
              <w:ind w:firstLine="480" w:firstLineChars="200"/>
              <w:rPr>
                <w:sz w:val="24"/>
              </w:rPr>
            </w:pPr>
            <w:r>
              <w:rPr>
                <w:rFonts w:hint="eastAsia"/>
                <w:sz w:val="24"/>
              </w:rPr>
              <w:t>⑤</w:t>
            </w:r>
            <w:r>
              <w:rPr>
                <w:sz w:val="24"/>
              </w:rPr>
              <w:t>本项目卸料、清选、输送过程产生的粉尘采取卸粮处设遮挡设施，采用密闭的清选、筛分设备，皮带运输密闭，提升机的装卸料点设集气罩，并各设备连接处采用软连接；道路运输扬尘采取对厂区道路进行硬化、清扫、洒水的措施。</w:t>
            </w:r>
          </w:p>
          <w:p w14:paraId="7983B23C">
            <w:pPr>
              <w:adjustRightInd w:val="0"/>
              <w:snapToGrid w:val="0"/>
              <w:spacing w:line="360" w:lineRule="auto"/>
              <w:ind w:firstLine="480" w:firstLineChars="200"/>
              <w:rPr>
                <w:sz w:val="24"/>
              </w:rPr>
            </w:pPr>
            <w:r>
              <w:rPr>
                <w:sz w:val="24"/>
              </w:rPr>
              <w:t>通过以上措施，可有效降低粉尘无组织排放。</w:t>
            </w:r>
          </w:p>
          <w:p w14:paraId="66A155F9">
            <w:pPr>
              <w:adjustRightInd w:val="0"/>
              <w:snapToGrid w:val="0"/>
              <w:spacing w:line="360" w:lineRule="auto"/>
              <w:ind w:firstLine="480" w:firstLineChars="200"/>
              <w:rPr>
                <w:sz w:val="24"/>
              </w:rPr>
            </w:pPr>
            <w:r>
              <w:rPr>
                <w:rFonts w:hint="eastAsia"/>
                <w:sz w:val="24"/>
              </w:rPr>
              <w:t>（3）</w:t>
            </w:r>
            <w:r>
              <w:rPr>
                <w:sz w:val="24"/>
              </w:rPr>
              <w:t>排气筒设置可行性分析</w:t>
            </w:r>
          </w:p>
          <w:p w14:paraId="48FAA0CE">
            <w:pPr>
              <w:adjustRightInd w:val="0"/>
              <w:snapToGrid w:val="0"/>
              <w:spacing w:line="360" w:lineRule="auto"/>
              <w:ind w:firstLine="480" w:firstLineChars="200"/>
              <w:rPr>
                <w:sz w:val="24"/>
              </w:rPr>
            </w:pPr>
            <w:r>
              <w:rPr>
                <w:sz w:val="24"/>
              </w:rPr>
              <w:t>项目设置1根</w:t>
            </w:r>
            <w:r>
              <w:rPr>
                <w:rFonts w:hint="eastAsia"/>
                <w:sz w:val="24"/>
              </w:rPr>
              <w:t>热风炉</w:t>
            </w:r>
            <w:r>
              <w:rPr>
                <w:sz w:val="24"/>
              </w:rPr>
              <w:t>烟气气排气筒。</w:t>
            </w:r>
            <w:r>
              <w:rPr>
                <w:rFonts w:hint="eastAsia"/>
                <w:sz w:val="24"/>
              </w:rPr>
              <w:t>根据《工业炉窑大气污染物排放标准》（GB9078-1996）中各种工业炉窑烟囱（或排气筒）最低允许高度为15m，当烟囱（或排气筒）</w:t>
            </w:r>
            <w:bookmarkStart w:id="113" w:name="OLE_LINK87"/>
            <w:bookmarkStart w:id="114" w:name="OLE_LINK88"/>
            <w:r>
              <w:rPr>
                <w:rFonts w:hint="eastAsia"/>
                <w:sz w:val="24"/>
              </w:rPr>
              <w:t>周围半径200m距离内有建筑物时</w:t>
            </w:r>
            <w:bookmarkEnd w:id="113"/>
            <w:bookmarkEnd w:id="114"/>
            <w:r>
              <w:rPr>
                <w:rFonts w:hint="eastAsia"/>
                <w:sz w:val="24"/>
              </w:rPr>
              <w:t>，烟囱（或排气筒）还应高出最高建筑物3m以上。</w:t>
            </w:r>
            <w:r>
              <w:rPr>
                <w:sz w:val="24"/>
              </w:rPr>
              <w:t xml:space="preserve"> </w:t>
            </w:r>
          </w:p>
          <w:p w14:paraId="1AAFEA4E">
            <w:pPr>
              <w:adjustRightInd w:val="0"/>
              <w:snapToGrid w:val="0"/>
              <w:spacing w:line="360" w:lineRule="auto"/>
              <w:ind w:firstLine="480" w:firstLineChars="200"/>
              <w:rPr>
                <w:sz w:val="24"/>
              </w:rPr>
            </w:pPr>
            <w:r>
              <w:rPr>
                <w:sz w:val="24"/>
              </w:rPr>
              <w:t>本项目周围半径200m距离内</w:t>
            </w:r>
            <w:r>
              <w:rPr>
                <w:rFonts w:hint="eastAsia"/>
                <w:sz w:val="24"/>
              </w:rPr>
              <w:t>有</w:t>
            </w:r>
            <w:r>
              <w:rPr>
                <w:sz w:val="24"/>
              </w:rPr>
              <w:t>建筑物，高度约为</w:t>
            </w:r>
            <w:r>
              <w:rPr>
                <w:rFonts w:hint="eastAsia"/>
                <w:sz w:val="24"/>
              </w:rPr>
              <w:t>16.3</w:t>
            </w:r>
            <w:r>
              <w:rPr>
                <w:sz w:val="24"/>
              </w:rPr>
              <w:t>m，</w:t>
            </w:r>
            <w:r>
              <w:rPr>
                <w:rFonts w:hint="eastAsia"/>
                <w:sz w:val="24"/>
              </w:rPr>
              <w:t>热风炉</w:t>
            </w:r>
            <w:r>
              <w:rPr>
                <w:sz w:val="24"/>
              </w:rPr>
              <w:t>烟气排气筒高度设置为</w:t>
            </w:r>
            <w:r>
              <w:rPr>
                <w:rFonts w:hint="eastAsia"/>
                <w:sz w:val="24"/>
              </w:rPr>
              <w:t>2</w:t>
            </w:r>
            <w:r>
              <w:rPr>
                <w:sz w:val="24"/>
              </w:rPr>
              <w:t>0m，满足高度要求。</w:t>
            </w:r>
          </w:p>
          <w:p w14:paraId="36322135">
            <w:pPr>
              <w:adjustRightInd w:val="0"/>
              <w:snapToGrid w:val="0"/>
              <w:spacing w:line="360" w:lineRule="auto"/>
              <w:ind w:firstLine="480" w:firstLineChars="200"/>
              <w:rPr>
                <w:sz w:val="24"/>
              </w:rPr>
            </w:pPr>
            <w:r>
              <w:rPr>
                <w:sz w:val="24"/>
              </w:rPr>
              <w:t>项目DA001</w:t>
            </w:r>
            <w:bookmarkStart w:id="115" w:name="OLE_LINK92"/>
            <w:bookmarkStart w:id="116" w:name="OLE_LINK89"/>
            <w:r>
              <w:rPr>
                <w:sz w:val="24"/>
              </w:rPr>
              <w:t>排气筒内径为0.</w:t>
            </w:r>
            <w:r>
              <w:rPr>
                <w:rFonts w:hint="eastAsia"/>
                <w:sz w:val="24"/>
              </w:rPr>
              <w:t>25</w:t>
            </w:r>
            <w:r>
              <w:rPr>
                <w:sz w:val="24"/>
              </w:rPr>
              <w:t>m，风量设置</w:t>
            </w:r>
            <w:r>
              <w:rPr>
                <w:rFonts w:hint="eastAsia"/>
                <w:sz w:val="24"/>
              </w:rPr>
              <w:t>20</w:t>
            </w:r>
            <w:r>
              <w:rPr>
                <w:sz w:val="24"/>
              </w:rPr>
              <w:t>00m</w:t>
            </w:r>
            <w:r>
              <w:rPr>
                <w:sz w:val="24"/>
                <w:vertAlign w:val="superscript"/>
              </w:rPr>
              <w:t>3</w:t>
            </w:r>
            <w:r>
              <w:rPr>
                <w:sz w:val="24"/>
              </w:rPr>
              <w:t>/h，估算烟气流速约为</w:t>
            </w:r>
            <w:bookmarkEnd w:id="115"/>
            <w:bookmarkEnd w:id="116"/>
            <w:r>
              <w:rPr>
                <w:sz w:val="24"/>
              </w:rPr>
              <w:t>1</w:t>
            </w:r>
            <w:r>
              <w:rPr>
                <w:rFonts w:hint="eastAsia"/>
                <w:sz w:val="24"/>
              </w:rPr>
              <w:t>1.3</w:t>
            </w:r>
            <w:r>
              <w:rPr>
                <w:sz w:val="24"/>
              </w:rPr>
              <w:t>m/s，排气筒内径与风量匹配。</w:t>
            </w:r>
          </w:p>
          <w:p w14:paraId="61E4EB80">
            <w:pPr>
              <w:pStyle w:val="2"/>
              <w:spacing w:line="360" w:lineRule="auto"/>
              <w:ind w:firstLine="482" w:firstLineChars="200"/>
              <w:jc w:val="both"/>
              <w:rPr>
                <w:rFonts w:ascii="Times New Roman" w:cs="Times New Roman"/>
                <w:b/>
                <w:bCs/>
                <w:color w:val="auto"/>
              </w:rPr>
            </w:pPr>
            <w:r>
              <w:rPr>
                <w:rFonts w:hint="eastAsia" w:ascii="Times New Roman" w:cs="Times New Roman"/>
                <w:b/>
                <w:bCs/>
                <w:color w:val="auto"/>
              </w:rPr>
              <w:t>3</w:t>
            </w:r>
            <w:r>
              <w:rPr>
                <w:rFonts w:ascii="Times New Roman" w:cs="Times New Roman"/>
                <w:b/>
                <w:bCs/>
                <w:color w:val="auto"/>
              </w:rPr>
              <w:t>、排污口设置情况、监测要求</w:t>
            </w:r>
          </w:p>
          <w:p w14:paraId="1F13309B">
            <w:pPr>
              <w:adjustRightInd w:val="0"/>
              <w:snapToGrid w:val="0"/>
              <w:spacing w:line="360" w:lineRule="auto"/>
              <w:ind w:firstLine="480" w:firstLineChars="200"/>
              <w:rPr>
                <w:sz w:val="24"/>
              </w:rPr>
            </w:pPr>
            <w:r>
              <w:rPr>
                <w:sz w:val="24"/>
              </w:rPr>
              <w:t>项目废气排放口情况如下表：</w:t>
            </w:r>
          </w:p>
          <w:p w14:paraId="0D0255A6">
            <w:pPr>
              <w:adjustRightInd w:val="0"/>
              <w:snapToGrid w:val="0"/>
              <w:spacing w:before="120" w:beforeLines="50"/>
              <w:jc w:val="center"/>
              <w:rPr>
                <w:b/>
                <w:bCs/>
                <w:szCs w:val="21"/>
              </w:rPr>
            </w:pPr>
            <w:r>
              <w:rPr>
                <w:b/>
                <w:bCs/>
                <w:szCs w:val="21"/>
              </w:rPr>
              <w:t>表4-</w:t>
            </w:r>
            <w:r>
              <w:rPr>
                <w:rFonts w:hint="eastAsia"/>
                <w:b/>
                <w:bCs/>
                <w:szCs w:val="21"/>
              </w:rPr>
              <w:t>7</w:t>
            </w:r>
            <w:r>
              <w:rPr>
                <w:b/>
                <w:bCs/>
                <w:szCs w:val="21"/>
              </w:rPr>
              <w:t xml:space="preserve">  本项目废气排放口设置情况</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4"/>
              <w:gridCol w:w="1104"/>
              <w:gridCol w:w="895"/>
              <w:gridCol w:w="813"/>
              <w:gridCol w:w="813"/>
              <w:gridCol w:w="865"/>
              <w:gridCol w:w="1536"/>
              <w:gridCol w:w="1165"/>
              <w:gridCol w:w="1294"/>
            </w:tblGrid>
            <w:tr w14:paraId="04196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477" w:type="pct"/>
                  <w:vMerge w:val="restart"/>
                  <w:vAlign w:val="center"/>
                </w:tcPr>
                <w:p w14:paraId="3E50AF89">
                  <w:pPr>
                    <w:adjustRightInd w:val="0"/>
                    <w:snapToGrid w:val="0"/>
                    <w:jc w:val="center"/>
                    <w:rPr>
                      <w:b/>
                      <w:bCs/>
                      <w:szCs w:val="21"/>
                    </w:rPr>
                  </w:pPr>
                  <w:r>
                    <w:rPr>
                      <w:b/>
                      <w:bCs/>
                      <w:szCs w:val="21"/>
                    </w:rPr>
                    <w:t>排放口编号</w:t>
                  </w:r>
                </w:p>
              </w:tc>
              <w:tc>
                <w:tcPr>
                  <w:tcW w:w="589" w:type="pct"/>
                  <w:vMerge w:val="restart"/>
                  <w:shd w:val="clear" w:color="auto" w:fill="auto"/>
                  <w:vAlign w:val="center"/>
                </w:tcPr>
                <w:p w14:paraId="62C1EC91">
                  <w:pPr>
                    <w:adjustRightInd w:val="0"/>
                    <w:snapToGrid w:val="0"/>
                    <w:jc w:val="center"/>
                    <w:rPr>
                      <w:b/>
                      <w:bCs/>
                      <w:szCs w:val="21"/>
                    </w:rPr>
                  </w:pPr>
                  <w:r>
                    <w:rPr>
                      <w:b/>
                      <w:bCs/>
                      <w:szCs w:val="21"/>
                    </w:rPr>
                    <w:t>排污口名称</w:t>
                  </w:r>
                </w:p>
              </w:tc>
              <w:tc>
                <w:tcPr>
                  <w:tcW w:w="477" w:type="pct"/>
                  <w:vMerge w:val="restart"/>
                  <w:vAlign w:val="center"/>
                </w:tcPr>
                <w:p w14:paraId="4015F85F">
                  <w:pPr>
                    <w:adjustRightInd w:val="0"/>
                    <w:snapToGrid w:val="0"/>
                    <w:jc w:val="center"/>
                    <w:rPr>
                      <w:b/>
                      <w:bCs/>
                      <w:szCs w:val="21"/>
                    </w:rPr>
                  </w:pPr>
                  <w:r>
                    <w:rPr>
                      <w:b/>
                      <w:bCs/>
                      <w:szCs w:val="21"/>
                    </w:rPr>
                    <w:t>污染物种类</w:t>
                  </w:r>
                </w:p>
              </w:tc>
              <w:tc>
                <w:tcPr>
                  <w:tcW w:w="2146" w:type="pct"/>
                  <w:gridSpan w:val="4"/>
                  <w:shd w:val="clear" w:color="auto" w:fill="auto"/>
                  <w:vAlign w:val="center"/>
                </w:tcPr>
                <w:p w14:paraId="2349EC7A">
                  <w:pPr>
                    <w:adjustRightInd w:val="0"/>
                    <w:snapToGrid w:val="0"/>
                    <w:jc w:val="center"/>
                    <w:rPr>
                      <w:b/>
                      <w:bCs/>
                      <w:szCs w:val="21"/>
                    </w:rPr>
                  </w:pPr>
                  <w:r>
                    <w:rPr>
                      <w:b/>
                      <w:bCs/>
                      <w:szCs w:val="21"/>
                    </w:rPr>
                    <w:t>排放口基本情况</w:t>
                  </w:r>
                </w:p>
              </w:tc>
              <w:tc>
                <w:tcPr>
                  <w:tcW w:w="621" w:type="pct"/>
                  <w:vMerge w:val="restart"/>
                  <w:shd w:val="clear" w:color="auto" w:fill="auto"/>
                  <w:vAlign w:val="center"/>
                </w:tcPr>
                <w:p w14:paraId="42A33223">
                  <w:pPr>
                    <w:adjustRightInd w:val="0"/>
                    <w:snapToGrid w:val="0"/>
                    <w:jc w:val="center"/>
                    <w:rPr>
                      <w:b/>
                      <w:bCs/>
                      <w:szCs w:val="21"/>
                    </w:rPr>
                  </w:pPr>
                  <w:r>
                    <w:rPr>
                      <w:rFonts w:hint="eastAsia"/>
                      <w:b/>
                      <w:bCs/>
                      <w:szCs w:val="21"/>
                    </w:rPr>
                    <w:t>治理措施</w:t>
                  </w:r>
                </w:p>
              </w:tc>
              <w:tc>
                <w:tcPr>
                  <w:tcW w:w="690" w:type="pct"/>
                  <w:vMerge w:val="restart"/>
                  <w:shd w:val="clear" w:color="auto" w:fill="auto"/>
                  <w:vAlign w:val="center"/>
                </w:tcPr>
                <w:p w14:paraId="56142FFB">
                  <w:pPr>
                    <w:adjustRightInd w:val="0"/>
                    <w:snapToGrid w:val="0"/>
                    <w:jc w:val="center"/>
                    <w:rPr>
                      <w:b/>
                      <w:bCs/>
                      <w:szCs w:val="21"/>
                    </w:rPr>
                  </w:pPr>
                  <w:r>
                    <w:rPr>
                      <w:b/>
                      <w:bCs/>
                      <w:szCs w:val="21"/>
                    </w:rPr>
                    <w:t>类型</w:t>
                  </w:r>
                </w:p>
              </w:tc>
            </w:tr>
            <w:tr w14:paraId="6A72E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7" w:type="pct"/>
                  <w:vMerge w:val="continue"/>
                  <w:vAlign w:val="center"/>
                </w:tcPr>
                <w:p w14:paraId="4FB66BBB">
                  <w:pPr>
                    <w:adjustRightInd w:val="0"/>
                    <w:snapToGrid w:val="0"/>
                    <w:jc w:val="center"/>
                    <w:rPr>
                      <w:b/>
                      <w:bCs/>
                      <w:szCs w:val="21"/>
                    </w:rPr>
                  </w:pPr>
                </w:p>
              </w:tc>
              <w:tc>
                <w:tcPr>
                  <w:tcW w:w="589" w:type="pct"/>
                  <w:vMerge w:val="continue"/>
                  <w:shd w:val="clear" w:color="auto" w:fill="auto"/>
                  <w:vAlign w:val="center"/>
                </w:tcPr>
                <w:p w14:paraId="00B8F787">
                  <w:pPr>
                    <w:adjustRightInd w:val="0"/>
                    <w:snapToGrid w:val="0"/>
                    <w:jc w:val="center"/>
                    <w:rPr>
                      <w:b/>
                      <w:bCs/>
                      <w:szCs w:val="21"/>
                    </w:rPr>
                  </w:pPr>
                </w:p>
              </w:tc>
              <w:tc>
                <w:tcPr>
                  <w:tcW w:w="477" w:type="pct"/>
                  <w:vMerge w:val="continue"/>
                  <w:vAlign w:val="center"/>
                </w:tcPr>
                <w:p w14:paraId="6B7BDF53">
                  <w:pPr>
                    <w:adjustRightInd w:val="0"/>
                    <w:snapToGrid w:val="0"/>
                    <w:jc w:val="center"/>
                    <w:rPr>
                      <w:b/>
                      <w:bCs/>
                      <w:szCs w:val="21"/>
                    </w:rPr>
                  </w:pPr>
                </w:p>
              </w:tc>
              <w:tc>
                <w:tcPr>
                  <w:tcW w:w="433" w:type="pct"/>
                  <w:shd w:val="clear" w:color="auto" w:fill="auto"/>
                  <w:vAlign w:val="center"/>
                </w:tcPr>
                <w:p w14:paraId="726E066A">
                  <w:pPr>
                    <w:adjustRightInd w:val="0"/>
                    <w:snapToGrid w:val="0"/>
                    <w:jc w:val="center"/>
                    <w:rPr>
                      <w:b/>
                      <w:bCs/>
                      <w:szCs w:val="21"/>
                    </w:rPr>
                  </w:pPr>
                  <w:r>
                    <w:rPr>
                      <w:b/>
                      <w:bCs/>
                      <w:szCs w:val="21"/>
                    </w:rPr>
                    <w:t>高度（m）</w:t>
                  </w:r>
                </w:p>
              </w:tc>
              <w:tc>
                <w:tcPr>
                  <w:tcW w:w="433" w:type="pct"/>
                  <w:shd w:val="clear" w:color="auto" w:fill="auto"/>
                  <w:vAlign w:val="center"/>
                </w:tcPr>
                <w:p w14:paraId="008FEFAF">
                  <w:pPr>
                    <w:adjustRightInd w:val="0"/>
                    <w:snapToGrid w:val="0"/>
                    <w:jc w:val="center"/>
                    <w:rPr>
                      <w:b/>
                      <w:bCs/>
                      <w:szCs w:val="21"/>
                    </w:rPr>
                  </w:pPr>
                  <w:r>
                    <w:rPr>
                      <w:b/>
                      <w:bCs/>
                      <w:szCs w:val="21"/>
                    </w:rPr>
                    <w:t>内径（m）</w:t>
                  </w:r>
                </w:p>
              </w:tc>
              <w:tc>
                <w:tcPr>
                  <w:tcW w:w="461" w:type="pct"/>
                  <w:shd w:val="clear" w:color="auto" w:fill="auto"/>
                  <w:vAlign w:val="center"/>
                </w:tcPr>
                <w:p w14:paraId="354AF807">
                  <w:pPr>
                    <w:adjustRightInd w:val="0"/>
                    <w:snapToGrid w:val="0"/>
                    <w:jc w:val="center"/>
                    <w:rPr>
                      <w:b/>
                      <w:bCs/>
                      <w:szCs w:val="21"/>
                    </w:rPr>
                  </w:pPr>
                  <w:r>
                    <w:rPr>
                      <w:b/>
                      <w:bCs/>
                      <w:szCs w:val="21"/>
                    </w:rPr>
                    <w:t>温度（℃）</w:t>
                  </w:r>
                </w:p>
              </w:tc>
              <w:tc>
                <w:tcPr>
                  <w:tcW w:w="818" w:type="pct"/>
                  <w:shd w:val="clear" w:color="auto" w:fill="auto"/>
                  <w:vAlign w:val="center"/>
                </w:tcPr>
                <w:p w14:paraId="01A2E9EB">
                  <w:pPr>
                    <w:adjustRightInd w:val="0"/>
                    <w:snapToGrid w:val="0"/>
                    <w:jc w:val="center"/>
                    <w:rPr>
                      <w:b/>
                      <w:bCs/>
                      <w:szCs w:val="21"/>
                    </w:rPr>
                  </w:pPr>
                  <w:r>
                    <w:rPr>
                      <w:b/>
                      <w:bCs/>
                      <w:szCs w:val="21"/>
                    </w:rPr>
                    <w:t>坐标</w:t>
                  </w:r>
                </w:p>
              </w:tc>
              <w:tc>
                <w:tcPr>
                  <w:tcW w:w="621" w:type="pct"/>
                  <w:vMerge w:val="continue"/>
                  <w:shd w:val="clear" w:color="auto" w:fill="auto"/>
                  <w:vAlign w:val="center"/>
                </w:tcPr>
                <w:p w14:paraId="5D3BC208">
                  <w:pPr>
                    <w:adjustRightInd w:val="0"/>
                    <w:snapToGrid w:val="0"/>
                    <w:jc w:val="center"/>
                    <w:rPr>
                      <w:b/>
                      <w:bCs/>
                      <w:szCs w:val="21"/>
                    </w:rPr>
                  </w:pPr>
                </w:p>
              </w:tc>
              <w:tc>
                <w:tcPr>
                  <w:tcW w:w="690" w:type="pct"/>
                  <w:vMerge w:val="continue"/>
                  <w:shd w:val="clear" w:color="auto" w:fill="auto"/>
                  <w:vAlign w:val="center"/>
                </w:tcPr>
                <w:p w14:paraId="623726BC">
                  <w:pPr>
                    <w:adjustRightInd w:val="0"/>
                    <w:snapToGrid w:val="0"/>
                    <w:jc w:val="center"/>
                    <w:rPr>
                      <w:b/>
                      <w:bCs/>
                      <w:szCs w:val="21"/>
                    </w:rPr>
                  </w:pPr>
                </w:p>
              </w:tc>
            </w:tr>
            <w:tr w14:paraId="5C880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7" w:type="pct"/>
                  <w:vAlign w:val="center"/>
                </w:tcPr>
                <w:p w14:paraId="5CC9A31E">
                  <w:pPr>
                    <w:adjustRightInd w:val="0"/>
                    <w:snapToGrid w:val="0"/>
                    <w:jc w:val="center"/>
                    <w:rPr>
                      <w:szCs w:val="21"/>
                    </w:rPr>
                  </w:pPr>
                  <w:r>
                    <w:rPr>
                      <w:szCs w:val="21"/>
                    </w:rPr>
                    <w:t>DA00</w:t>
                  </w:r>
                  <w:r>
                    <w:rPr>
                      <w:rFonts w:hint="eastAsia"/>
                      <w:szCs w:val="21"/>
                    </w:rPr>
                    <w:t>1</w:t>
                  </w:r>
                </w:p>
              </w:tc>
              <w:tc>
                <w:tcPr>
                  <w:tcW w:w="589" w:type="pct"/>
                  <w:shd w:val="clear" w:color="auto" w:fill="auto"/>
                  <w:vAlign w:val="center"/>
                </w:tcPr>
                <w:p w14:paraId="20A4DD88">
                  <w:pPr>
                    <w:pStyle w:val="2"/>
                    <w:jc w:val="center"/>
                    <w:rPr>
                      <w:rFonts w:ascii="Times New Roman" w:cs="Times New Roman"/>
                      <w:color w:val="auto"/>
                      <w:sz w:val="21"/>
                      <w:szCs w:val="21"/>
                    </w:rPr>
                  </w:pPr>
                  <w:r>
                    <w:rPr>
                      <w:rFonts w:hint="eastAsia" w:ascii="Times New Roman" w:cs="Times New Roman"/>
                      <w:color w:val="auto"/>
                      <w:sz w:val="21"/>
                      <w:szCs w:val="21"/>
                    </w:rPr>
                    <w:t>热风炉烟气排放口</w:t>
                  </w:r>
                </w:p>
              </w:tc>
              <w:tc>
                <w:tcPr>
                  <w:tcW w:w="477" w:type="pct"/>
                  <w:vAlign w:val="center"/>
                </w:tcPr>
                <w:p w14:paraId="182B6769">
                  <w:pPr>
                    <w:adjustRightInd w:val="0"/>
                    <w:snapToGrid w:val="0"/>
                    <w:jc w:val="center"/>
                    <w:rPr>
                      <w:szCs w:val="21"/>
                    </w:rPr>
                  </w:pPr>
                  <w:r>
                    <w:rPr>
                      <w:szCs w:val="21"/>
                    </w:rPr>
                    <w:t>SO</w:t>
                  </w:r>
                  <w:r>
                    <w:rPr>
                      <w:szCs w:val="21"/>
                      <w:vertAlign w:val="subscript"/>
                    </w:rPr>
                    <w:t>2</w:t>
                  </w:r>
                </w:p>
                <w:p w14:paraId="236329F6">
                  <w:pPr>
                    <w:adjustRightInd w:val="0"/>
                    <w:snapToGrid w:val="0"/>
                    <w:jc w:val="center"/>
                    <w:rPr>
                      <w:szCs w:val="21"/>
                    </w:rPr>
                  </w:pPr>
                  <w:r>
                    <w:rPr>
                      <w:rFonts w:hint="eastAsia"/>
                      <w:szCs w:val="21"/>
                    </w:rPr>
                    <w:t>NO</w:t>
                  </w:r>
                  <w:r>
                    <w:rPr>
                      <w:rFonts w:hint="eastAsia"/>
                      <w:szCs w:val="21"/>
                      <w:vertAlign w:val="subscript"/>
                    </w:rPr>
                    <w:t>X</w:t>
                  </w:r>
                </w:p>
                <w:p w14:paraId="3AD9DFC3">
                  <w:pPr>
                    <w:adjustRightInd w:val="0"/>
                    <w:snapToGrid w:val="0"/>
                    <w:jc w:val="center"/>
                    <w:rPr>
                      <w:szCs w:val="21"/>
                    </w:rPr>
                  </w:pPr>
                  <w:r>
                    <w:rPr>
                      <w:szCs w:val="21"/>
                    </w:rPr>
                    <w:t>烟尘</w:t>
                  </w:r>
                </w:p>
              </w:tc>
              <w:tc>
                <w:tcPr>
                  <w:tcW w:w="433" w:type="pct"/>
                  <w:shd w:val="clear" w:color="auto" w:fill="auto"/>
                  <w:vAlign w:val="center"/>
                </w:tcPr>
                <w:p w14:paraId="4B46A7D9">
                  <w:pPr>
                    <w:adjustRightInd w:val="0"/>
                    <w:snapToGrid w:val="0"/>
                    <w:jc w:val="center"/>
                    <w:rPr>
                      <w:szCs w:val="21"/>
                    </w:rPr>
                  </w:pPr>
                  <w:r>
                    <w:rPr>
                      <w:rFonts w:hint="eastAsia"/>
                      <w:szCs w:val="21"/>
                    </w:rPr>
                    <w:t>20</w:t>
                  </w:r>
                </w:p>
              </w:tc>
              <w:tc>
                <w:tcPr>
                  <w:tcW w:w="433" w:type="pct"/>
                  <w:shd w:val="clear" w:color="auto" w:fill="auto"/>
                  <w:vAlign w:val="center"/>
                </w:tcPr>
                <w:p w14:paraId="51A912CD">
                  <w:pPr>
                    <w:adjustRightInd w:val="0"/>
                    <w:snapToGrid w:val="0"/>
                    <w:jc w:val="center"/>
                    <w:rPr>
                      <w:szCs w:val="21"/>
                    </w:rPr>
                  </w:pPr>
                  <w:r>
                    <w:rPr>
                      <w:szCs w:val="21"/>
                    </w:rPr>
                    <w:t>0.</w:t>
                  </w:r>
                  <w:r>
                    <w:rPr>
                      <w:rFonts w:hint="eastAsia"/>
                      <w:szCs w:val="21"/>
                    </w:rPr>
                    <w:t>25</w:t>
                  </w:r>
                </w:p>
              </w:tc>
              <w:tc>
                <w:tcPr>
                  <w:tcW w:w="461" w:type="pct"/>
                  <w:shd w:val="clear" w:color="auto" w:fill="auto"/>
                  <w:vAlign w:val="center"/>
                </w:tcPr>
                <w:p w14:paraId="7B36F7D9">
                  <w:pPr>
                    <w:adjustRightInd w:val="0"/>
                    <w:snapToGrid w:val="0"/>
                    <w:jc w:val="center"/>
                    <w:rPr>
                      <w:szCs w:val="21"/>
                    </w:rPr>
                  </w:pPr>
                  <w:r>
                    <w:rPr>
                      <w:rFonts w:hint="eastAsia"/>
                      <w:szCs w:val="21"/>
                    </w:rPr>
                    <w:t>50</w:t>
                  </w:r>
                </w:p>
              </w:tc>
              <w:tc>
                <w:tcPr>
                  <w:tcW w:w="818" w:type="pct"/>
                  <w:shd w:val="clear" w:color="auto" w:fill="auto"/>
                  <w:vAlign w:val="center"/>
                </w:tcPr>
                <w:p w14:paraId="3461C803">
                  <w:pPr>
                    <w:adjustRightInd w:val="0"/>
                    <w:snapToGrid w:val="0"/>
                    <w:jc w:val="center"/>
                    <w:rPr>
                      <w:szCs w:val="21"/>
                    </w:rPr>
                  </w:pPr>
                  <w:r>
                    <w:rPr>
                      <w:rFonts w:hint="eastAsia"/>
                      <w:szCs w:val="21"/>
                    </w:rPr>
                    <w:t xml:space="preserve">E </w:t>
                  </w:r>
                  <w:r>
                    <w:rPr>
                      <w:szCs w:val="21"/>
                    </w:rPr>
                    <w:t>112.606638°</w:t>
                  </w:r>
                </w:p>
                <w:p w14:paraId="091BEC66">
                  <w:pPr>
                    <w:adjustRightInd w:val="0"/>
                    <w:snapToGrid w:val="0"/>
                    <w:jc w:val="center"/>
                    <w:rPr>
                      <w:szCs w:val="21"/>
                    </w:rPr>
                  </w:pPr>
                  <w:r>
                    <w:rPr>
                      <w:rFonts w:hint="eastAsia"/>
                      <w:szCs w:val="21"/>
                    </w:rPr>
                    <w:t xml:space="preserve">N </w:t>
                  </w:r>
                  <w:r>
                    <w:rPr>
                      <w:szCs w:val="21"/>
                    </w:rPr>
                    <w:t>27.388532°</w:t>
                  </w:r>
                </w:p>
              </w:tc>
              <w:tc>
                <w:tcPr>
                  <w:tcW w:w="621" w:type="pct"/>
                  <w:shd w:val="clear" w:color="auto" w:fill="auto"/>
                  <w:vAlign w:val="center"/>
                </w:tcPr>
                <w:p w14:paraId="6108FF22">
                  <w:pPr>
                    <w:adjustRightInd w:val="0"/>
                    <w:snapToGrid w:val="0"/>
                    <w:jc w:val="center"/>
                    <w:rPr>
                      <w:szCs w:val="21"/>
                    </w:rPr>
                  </w:pPr>
                  <w:r>
                    <w:rPr>
                      <w:rFonts w:hint="eastAsia"/>
                      <w:szCs w:val="21"/>
                    </w:rPr>
                    <w:t>旋风+布袋除尘</w:t>
                  </w:r>
                </w:p>
              </w:tc>
              <w:tc>
                <w:tcPr>
                  <w:tcW w:w="690" w:type="pct"/>
                  <w:shd w:val="clear" w:color="auto" w:fill="auto"/>
                  <w:vAlign w:val="center"/>
                </w:tcPr>
                <w:p w14:paraId="2BCC8C6A">
                  <w:pPr>
                    <w:adjustRightInd w:val="0"/>
                    <w:snapToGrid w:val="0"/>
                    <w:jc w:val="center"/>
                    <w:rPr>
                      <w:szCs w:val="21"/>
                    </w:rPr>
                  </w:pPr>
                  <w:r>
                    <w:rPr>
                      <w:szCs w:val="21"/>
                    </w:rPr>
                    <w:t>一般排放口</w:t>
                  </w:r>
                </w:p>
              </w:tc>
            </w:tr>
          </w:tbl>
          <w:p w14:paraId="389D8898">
            <w:pPr>
              <w:adjustRightInd w:val="0"/>
              <w:snapToGrid w:val="0"/>
              <w:spacing w:line="360" w:lineRule="auto"/>
              <w:ind w:firstLine="480" w:firstLineChars="200"/>
              <w:rPr>
                <w:sz w:val="24"/>
              </w:rPr>
            </w:pPr>
            <w:r>
              <w:rPr>
                <w:sz w:val="24"/>
              </w:rPr>
              <w:t>根据《固定污染源排污许可分类管理名录》（2019年版）、《排污单位自行监测技术指南 总则》（HJ 819-2017）</w:t>
            </w:r>
            <w:r>
              <w:rPr>
                <w:rFonts w:hint="eastAsia"/>
                <w:sz w:val="24"/>
              </w:rPr>
              <w:t>、《排污许可证申请与核发技术规范</w:t>
            </w:r>
            <w:r>
              <w:rPr>
                <w:sz w:val="24"/>
              </w:rPr>
              <w:t xml:space="preserve"> </w:t>
            </w:r>
            <w:r>
              <w:rPr>
                <w:rFonts w:hint="eastAsia"/>
                <w:sz w:val="24"/>
              </w:rPr>
              <w:t>工业炉窑》（</w:t>
            </w:r>
            <w:r>
              <w:rPr>
                <w:sz w:val="24"/>
              </w:rPr>
              <w:t>HJ1121-2020</w:t>
            </w:r>
            <w:r>
              <w:rPr>
                <w:rFonts w:hint="eastAsia"/>
                <w:sz w:val="24"/>
              </w:rPr>
              <w:t>）</w:t>
            </w:r>
            <w:r>
              <w:rPr>
                <w:sz w:val="24"/>
              </w:rPr>
              <w:t>中的相关规定，大气监测计划详见下表，制定本项目大气监测计划如下：</w:t>
            </w:r>
          </w:p>
          <w:p w14:paraId="6D43BF8B">
            <w:pPr>
              <w:adjustRightInd w:val="0"/>
              <w:snapToGrid w:val="0"/>
              <w:spacing w:before="120" w:beforeLines="50"/>
              <w:jc w:val="center"/>
              <w:rPr>
                <w:b/>
                <w:bCs/>
                <w:szCs w:val="21"/>
              </w:rPr>
            </w:pPr>
            <w:r>
              <w:rPr>
                <w:b/>
                <w:bCs/>
                <w:szCs w:val="21"/>
              </w:rPr>
              <w:t>表4-</w:t>
            </w:r>
            <w:r>
              <w:rPr>
                <w:rFonts w:hint="eastAsia"/>
                <w:b/>
                <w:bCs/>
                <w:szCs w:val="21"/>
              </w:rPr>
              <w:t>8</w:t>
            </w:r>
            <w:r>
              <w:rPr>
                <w:b/>
                <w:bCs/>
                <w:szCs w:val="21"/>
              </w:rPr>
              <w:t xml:space="preserve">  </w:t>
            </w:r>
            <w:r>
              <w:rPr>
                <w:rFonts w:hint="eastAsia"/>
                <w:b/>
                <w:bCs/>
                <w:szCs w:val="21"/>
              </w:rPr>
              <w:t>运营期废气</w:t>
            </w:r>
            <w:r>
              <w:rPr>
                <w:b/>
                <w:bCs/>
                <w:szCs w:val="21"/>
              </w:rPr>
              <w:t>环境监测计划</w:t>
            </w:r>
          </w:p>
          <w:tbl>
            <w:tblPr>
              <w:tblStyle w:val="28"/>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7"/>
              <w:gridCol w:w="1955"/>
              <w:gridCol w:w="1991"/>
              <w:gridCol w:w="1285"/>
              <w:gridCol w:w="3354"/>
            </w:tblGrid>
            <w:tr w14:paraId="5B0E2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570CFC59">
                  <w:pPr>
                    <w:pStyle w:val="72"/>
                    <w:spacing w:line="240" w:lineRule="auto"/>
                    <w:jc w:val="center"/>
                    <w:rPr>
                      <w:rFonts w:ascii="Times New Roman" w:cs="Times New Roman"/>
                      <w:b/>
                      <w:bCs/>
                      <w:sz w:val="21"/>
                      <w:szCs w:val="21"/>
                    </w:rPr>
                  </w:pPr>
                  <w:r>
                    <w:rPr>
                      <w:rFonts w:ascii="Times New Roman" w:cs="Times New Roman"/>
                      <w:b/>
                      <w:bCs/>
                      <w:sz w:val="21"/>
                      <w:szCs w:val="21"/>
                    </w:rPr>
                    <w:t>类别</w:t>
                  </w:r>
                </w:p>
              </w:tc>
              <w:tc>
                <w:tcPr>
                  <w:tcW w:w="1042" w:type="pct"/>
                  <w:tcBorders>
                    <w:tl2br w:val="nil"/>
                    <w:tr2bl w:val="nil"/>
                  </w:tcBorders>
                  <w:vAlign w:val="center"/>
                </w:tcPr>
                <w:p w14:paraId="2B0CCF3F">
                  <w:pPr>
                    <w:pStyle w:val="72"/>
                    <w:spacing w:line="240" w:lineRule="auto"/>
                    <w:jc w:val="center"/>
                    <w:rPr>
                      <w:rFonts w:ascii="Times New Roman" w:cs="Times New Roman"/>
                      <w:b/>
                      <w:bCs/>
                      <w:sz w:val="21"/>
                      <w:szCs w:val="21"/>
                    </w:rPr>
                  </w:pPr>
                  <w:r>
                    <w:rPr>
                      <w:rFonts w:ascii="Times New Roman" w:cs="Times New Roman"/>
                      <w:b/>
                      <w:bCs/>
                      <w:sz w:val="21"/>
                      <w:szCs w:val="21"/>
                    </w:rPr>
                    <w:t>监测点位</w:t>
                  </w:r>
                </w:p>
              </w:tc>
              <w:tc>
                <w:tcPr>
                  <w:tcW w:w="1061" w:type="pct"/>
                  <w:tcBorders>
                    <w:tl2br w:val="nil"/>
                    <w:tr2bl w:val="nil"/>
                  </w:tcBorders>
                  <w:vAlign w:val="center"/>
                </w:tcPr>
                <w:p w14:paraId="5B951E4F">
                  <w:pPr>
                    <w:pStyle w:val="72"/>
                    <w:spacing w:line="240" w:lineRule="auto"/>
                    <w:jc w:val="center"/>
                    <w:rPr>
                      <w:rFonts w:ascii="Times New Roman" w:cs="Times New Roman"/>
                      <w:b/>
                      <w:bCs/>
                      <w:sz w:val="21"/>
                      <w:szCs w:val="21"/>
                    </w:rPr>
                  </w:pPr>
                  <w:r>
                    <w:rPr>
                      <w:rFonts w:ascii="Times New Roman" w:cs="Times New Roman"/>
                      <w:b/>
                      <w:bCs/>
                      <w:sz w:val="21"/>
                      <w:szCs w:val="21"/>
                    </w:rPr>
                    <w:t>监测项目</w:t>
                  </w:r>
                </w:p>
              </w:tc>
              <w:tc>
                <w:tcPr>
                  <w:tcW w:w="685" w:type="pct"/>
                  <w:tcBorders>
                    <w:tl2br w:val="nil"/>
                    <w:tr2bl w:val="nil"/>
                  </w:tcBorders>
                  <w:vAlign w:val="center"/>
                </w:tcPr>
                <w:p w14:paraId="4B225C3B">
                  <w:pPr>
                    <w:pStyle w:val="72"/>
                    <w:spacing w:line="240" w:lineRule="auto"/>
                    <w:jc w:val="center"/>
                    <w:rPr>
                      <w:rFonts w:ascii="Times New Roman" w:cs="Times New Roman"/>
                      <w:b/>
                      <w:bCs/>
                      <w:sz w:val="21"/>
                      <w:szCs w:val="21"/>
                    </w:rPr>
                  </w:pPr>
                  <w:r>
                    <w:rPr>
                      <w:rFonts w:ascii="Times New Roman" w:cs="Times New Roman"/>
                      <w:b/>
                      <w:bCs/>
                      <w:sz w:val="21"/>
                      <w:szCs w:val="21"/>
                    </w:rPr>
                    <w:t>监测频率</w:t>
                  </w:r>
                </w:p>
              </w:tc>
              <w:tc>
                <w:tcPr>
                  <w:tcW w:w="1787" w:type="pct"/>
                  <w:tcBorders>
                    <w:tl2br w:val="nil"/>
                    <w:tr2bl w:val="nil"/>
                  </w:tcBorders>
                  <w:vAlign w:val="center"/>
                </w:tcPr>
                <w:p w14:paraId="4BB4C639">
                  <w:pPr>
                    <w:pStyle w:val="72"/>
                    <w:spacing w:line="240" w:lineRule="auto"/>
                    <w:jc w:val="center"/>
                    <w:rPr>
                      <w:rFonts w:ascii="Times New Roman" w:cs="Times New Roman"/>
                      <w:b/>
                      <w:bCs/>
                      <w:sz w:val="21"/>
                      <w:szCs w:val="21"/>
                    </w:rPr>
                  </w:pPr>
                  <w:r>
                    <w:rPr>
                      <w:rFonts w:ascii="Times New Roman" w:cs="Times New Roman"/>
                      <w:b/>
                      <w:bCs/>
                      <w:sz w:val="21"/>
                      <w:szCs w:val="21"/>
                    </w:rPr>
                    <w:t>执行标准</w:t>
                  </w:r>
                </w:p>
              </w:tc>
            </w:tr>
            <w:tr w14:paraId="1AD7C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429843CD">
                  <w:pPr>
                    <w:pStyle w:val="72"/>
                    <w:spacing w:line="240" w:lineRule="auto"/>
                    <w:jc w:val="center"/>
                    <w:rPr>
                      <w:rFonts w:ascii="Times New Roman" w:cs="Times New Roman"/>
                      <w:sz w:val="21"/>
                      <w:szCs w:val="21"/>
                    </w:rPr>
                  </w:pPr>
                  <w:r>
                    <w:rPr>
                      <w:rFonts w:hint="eastAsia" w:ascii="Times New Roman" w:cs="Times New Roman"/>
                      <w:sz w:val="21"/>
                      <w:szCs w:val="21"/>
                    </w:rPr>
                    <w:t>有组织废气</w:t>
                  </w:r>
                </w:p>
              </w:tc>
              <w:tc>
                <w:tcPr>
                  <w:tcW w:w="1042" w:type="pct"/>
                  <w:tcBorders>
                    <w:tl2br w:val="nil"/>
                    <w:tr2bl w:val="nil"/>
                  </w:tcBorders>
                  <w:vAlign w:val="center"/>
                </w:tcPr>
                <w:p w14:paraId="05852450">
                  <w:pPr>
                    <w:pStyle w:val="72"/>
                    <w:spacing w:line="240" w:lineRule="auto"/>
                    <w:jc w:val="center"/>
                    <w:rPr>
                      <w:rFonts w:ascii="Times New Roman" w:cs="Times New Roman"/>
                      <w:sz w:val="21"/>
                      <w:szCs w:val="21"/>
                    </w:rPr>
                  </w:pPr>
                  <w:r>
                    <w:rPr>
                      <w:rFonts w:hint="eastAsia" w:ascii="Times New Roman" w:cs="Times New Roman"/>
                      <w:sz w:val="21"/>
                      <w:szCs w:val="21"/>
                    </w:rPr>
                    <w:t>DA001</w:t>
                  </w:r>
                </w:p>
              </w:tc>
              <w:tc>
                <w:tcPr>
                  <w:tcW w:w="1061" w:type="pct"/>
                  <w:tcBorders>
                    <w:tl2br w:val="nil"/>
                    <w:tr2bl w:val="nil"/>
                  </w:tcBorders>
                  <w:vAlign w:val="center"/>
                </w:tcPr>
                <w:p w14:paraId="74D055EE">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颗粒物、SO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、NO</w:t>
                  </w:r>
                  <w:r>
                    <w:rPr>
                      <w:rFonts w:hint="eastAsia" w:ascii="Times New Roman" w:hAnsi="Times New Roman" w:cs="Times New Roman"/>
                      <w:sz w:val="21"/>
                      <w:szCs w:val="21"/>
                      <w:vertAlign w:val="subscript"/>
                    </w:rPr>
                    <w:t>x</w:t>
                  </w:r>
                  <w:r>
                    <w:rPr>
                      <w:rFonts w:hint="eastAsia" w:ascii="Times New Roman" w:hAnsi="Times New Roman" w:cs="Times New Roman"/>
                      <w:sz w:val="21"/>
                      <w:szCs w:val="21"/>
                    </w:rPr>
                    <w:t>、格琳曼黑度</w:t>
                  </w:r>
                </w:p>
              </w:tc>
              <w:tc>
                <w:tcPr>
                  <w:tcW w:w="685" w:type="pct"/>
                  <w:tcBorders>
                    <w:tl2br w:val="nil"/>
                    <w:tr2bl w:val="nil"/>
                  </w:tcBorders>
                  <w:vAlign w:val="center"/>
                </w:tcPr>
                <w:p w14:paraId="00024C47">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1次/年</w:t>
                  </w:r>
                </w:p>
              </w:tc>
              <w:tc>
                <w:tcPr>
                  <w:tcW w:w="1787" w:type="pct"/>
                  <w:tcBorders>
                    <w:tl2br w:val="nil"/>
                    <w:tr2bl w:val="nil"/>
                  </w:tcBorders>
                  <w:vAlign w:val="center"/>
                </w:tcPr>
                <w:p w14:paraId="4B83644D">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《湖南省工业炉窑大气污染综合治理实施方案》附件1中相关排放限值</w:t>
                  </w:r>
                </w:p>
              </w:tc>
            </w:tr>
            <w:tr w14:paraId="3C1BA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25" w:type="pct"/>
                  <w:tcBorders>
                    <w:tl2br w:val="nil"/>
                    <w:tr2bl w:val="nil"/>
                  </w:tcBorders>
                  <w:vAlign w:val="center"/>
                </w:tcPr>
                <w:p w14:paraId="27F53C04">
                  <w:pPr>
                    <w:pStyle w:val="72"/>
                    <w:spacing w:line="240" w:lineRule="auto"/>
                    <w:jc w:val="center"/>
                    <w:rPr>
                      <w:rFonts w:ascii="Times New Roman" w:cs="Times New Roman"/>
                      <w:sz w:val="21"/>
                      <w:szCs w:val="21"/>
                    </w:rPr>
                  </w:pPr>
                  <w:r>
                    <w:rPr>
                      <w:rFonts w:hint="eastAsia" w:ascii="Times New Roman" w:cs="Times New Roman"/>
                      <w:sz w:val="21"/>
                      <w:szCs w:val="21"/>
                    </w:rPr>
                    <w:t>无组织废气</w:t>
                  </w:r>
                </w:p>
              </w:tc>
              <w:tc>
                <w:tcPr>
                  <w:tcW w:w="1042" w:type="pct"/>
                  <w:tcBorders>
                    <w:tl2br w:val="nil"/>
                    <w:tr2bl w:val="nil"/>
                  </w:tcBorders>
                  <w:vAlign w:val="center"/>
                </w:tcPr>
                <w:p w14:paraId="45A2C276">
                  <w:pPr>
                    <w:pStyle w:val="72"/>
                    <w:spacing w:line="240" w:lineRule="auto"/>
                    <w:jc w:val="center"/>
                    <w:rPr>
                      <w:rFonts w:ascii="Times New Roman" w:cs="Times New Roman"/>
                      <w:sz w:val="21"/>
                      <w:szCs w:val="21"/>
                    </w:rPr>
                  </w:pPr>
                  <w:r>
                    <w:rPr>
                      <w:rFonts w:hint="eastAsia" w:ascii="Times New Roman" w:cs="Times New Roman"/>
                      <w:sz w:val="21"/>
                      <w:szCs w:val="21"/>
                    </w:rPr>
                    <w:t>厂界上风向、下风向</w:t>
                  </w:r>
                </w:p>
              </w:tc>
              <w:tc>
                <w:tcPr>
                  <w:tcW w:w="1061" w:type="pct"/>
                  <w:tcBorders>
                    <w:tl2br w:val="nil"/>
                    <w:tr2bl w:val="nil"/>
                  </w:tcBorders>
                  <w:vAlign w:val="center"/>
                </w:tcPr>
                <w:p w14:paraId="6DA65998">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685" w:type="pct"/>
                  <w:tcBorders>
                    <w:tl2br w:val="nil"/>
                    <w:tr2bl w:val="nil"/>
                  </w:tcBorders>
                  <w:vAlign w:val="center"/>
                </w:tcPr>
                <w:p w14:paraId="5ED77459">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1次/年</w:t>
                  </w:r>
                </w:p>
              </w:tc>
              <w:tc>
                <w:tcPr>
                  <w:tcW w:w="1787" w:type="pct"/>
                  <w:tcBorders>
                    <w:tl2br w:val="nil"/>
                    <w:tr2bl w:val="nil"/>
                  </w:tcBorders>
                  <w:vAlign w:val="center"/>
                </w:tcPr>
                <w:p w14:paraId="706CEFE4">
                  <w:pPr>
                    <w:pStyle w:val="72"/>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《大气污染物综合排放标准》（GB16297-1996）表2中无组织监控浓度限值</w:t>
                  </w:r>
                </w:p>
              </w:tc>
            </w:tr>
          </w:tbl>
          <w:p w14:paraId="71449062">
            <w:pPr>
              <w:spacing w:line="360" w:lineRule="auto"/>
              <w:ind w:firstLine="482" w:firstLineChars="200"/>
              <w:rPr>
                <w:b/>
                <w:kern w:val="10"/>
                <w:sz w:val="24"/>
              </w:rPr>
            </w:pPr>
            <w:r>
              <w:rPr>
                <w:rFonts w:hint="eastAsia"/>
                <w:b/>
                <w:kern w:val="10"/>
                <w:sz w:val="24"/>
              </w:rPr>
              <w:t>4、废气非正常排放情况</w:t>
            </w:r>
          </w:p>
          <w:p w14:paraId="3EDF4A8A">
            <w:pPr>
              <w:spacing w:line="360" w:lineRule="auto"/>
              <w:ind w:firstLine="480" w:firstLineChars="200"/>
              <w:rPr>
                <w:kern w:val="10"/>
                <w:sz w:val="24"/>
              </w:rPr>
            </w:pPr>
            <w:r>
              <w:rPr>
                <w:rFonts w:hint="eastAsia"/>
                <w:kern w:val="10"/>
                <w:sz w:val="24"/>
              </w:rPr>
              <w:t>本项目的非正常工况主要是污染物排放控制措施达不到应有效率，造成排气筒废气中各污染物未经净化直接排放，其排放情况如表</w:t>
            </w:r>
            <w:r>
              <w:rPr>
                <w:kern w:val="10"/>
                <w:sz w:val="24"/>
              </w:rPr>
              <w:t>4-</w:t>
            </w:r>
            <w:r>
              <w:rPr>
                <w:rFonts w:hint="eastAsia"/>
                <w:kern w:val="10"/>
                <w:sz w:val="24"/>
              </w:rPr>
              <w:t>9所示</w:t>
            </w:r>
            <w:r>
              <w:rPr>
                <w:rFonts w:hint="eastAsia"/>
                <w:sz w:val="24"/>
              </w:rPr>
              <w:t>。</w:t>
            </w:r>
          </w:p>
          <w:p w14:paraId="17EC5791">
            <w:pPr>
              <w:adjustRightInd w:val="0"/>
              <w:snapToGrid w:val="0"/>
              <w:spacing w:before="120" w:beforeLines="50"/>
              <w:jc w:val="center"/>
              <w:rPr>
                <w:b/>
                <w:bCs/>
                <w:szCs w:val="21"/>
              </w:rPr>
            </w:pPr>
            <w:r>
              <w:rPr>
                <w:rFonts w:hint="eastAsia"/>
                <w:b/>
                <w:bCs/>
                <w:szCs w:val="21"/>
              </w:rPr>
              <w:t>表</w:t>
            </w:r>
            <w:r>
              <w:rPr>
                <w:b/>
                <w:bCs/>
                <w:szCs w:val="21"/>
              </w:rPr>
              <w:t>4-</w:t>
            </w:r>
            <w:r>
              <w:rPr>
                <w:rFonts w:hint="eastAsia"/>
                <w:b/>
                <w:bCs/>
                <w:szCs w:val="21"/>
              </w:rPr>
              <w:t>9</w:t>
            </w:r>
            <w:r>
              <w:rPr>
                <w:b/>
                <w:bCs/>
                <w:szCs w:val="21"/>
              </w:rPr>
              <w:t xml:space="preserve">  </w:t>
            </w:r>
            <w:r>
              <w:rPr>
                <w:rFonts w:hint="eastAsia"/>
                <w:b/>
                <w:bCs/>
                <w:szCs w:val="21"/>
              </w:rPr>
              <w:t>污染源非正常排放量核算表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6"/>
              <w:gridCol w:w="984"/>
              <w:gridCol w:w="1270"/>
              <w:gridCol w:w="1127"/>
              <w:gridCol w:w="1181"/>
              <w:gridCol w:w="1035"/>
              <w:gridCol w:w="1035"/>
              <w:gridCol w:w="1035"/>
              <w:gridCol w:w="1035"/>
            </w:tblGrid>
            <w:tr w14:paraId="452F0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6" w:type="pct"/>
                  <w:vAlign w:val="center"/>
                </w:tcPr>
                <w:p w14:paraId="2E48EB87">
                  <w:pPr>
                    <w:jc w:val="center"/>
                    <w:rPr>
                      <w:b/>
                      <w:bCs/>
                      <w:szCs w:val="21"/>
                    </w:rPr>
                  </w:pPr>
                  <w:r>
                    <w:rPr>
                      <w:rFonts w:hint="eastAsia"/>
                      <w:b/>
                      <w:bCs/>
                      <w:szCs w:val="21"/>
                    </w:rPr>
                    <w:t>序号</w:t>
                  </w:r>
                </w:p>
              </w:tc>
              <w:tc>
                <w:tcPr>
                  <w:tcW w:w="524" w:type="pct"/>
                  <w:vAlign w:val="center"/>
                </w:tcPr>
                <w:p w14:paraId="18B88CAD">
                  <w:pPr>
                    <w:jc w:val="center"/>
                    <w:rPr>
                      <w:b/>
                      <w:bCs/>
                      <w:szCs w:val="21"/>
                    </w:rPr>
                  </w:pPr>
                  <w:r>
                    <w:rPr>
                      <w:rFonts w:hint="eastAsia"/>
                      <w:b/>
                      <w:bCs/>
                      <w:szCs w:val="21"/>
                    </w:rPr>
                    <w:t>污染源</w:t>
                  </w:r>
                </w:p>
              </w:tc>
              <w:tc>
                <w:tcPr>
                  <w:tcW w:w="676" w:type="pct"/>
                  <w:vAlign w:val="center"/>
                </w:tcPr>
                <w:p w14:paraId="543DC6CC">
                  <w:pPr>
                    <w:jc w:val="center"/>
                    <w:rPr>
                      <w:b/>
                      <w:bCs/>
                      <w:szCs w:val="21"/>
                    </w:rPr>
                  </w:pPr>
                  <w:r>
                    <w:rPr>
                      <w:rFonts w:hint="eastAsia"/>
                      <w:b/>
                      <w:bCs/>
                      <w:szCs w:val="21"/>
                    </w:rPr>
                    <w:t>非正常排放原因</w:t>
                  </w:r>
                </w:p>
              </w:tc>
              <w:tc>
                <w:tcPr>
                  <w:tcW w:w="600" w:type="pct"/>
                  <w:vAlign w:val="center"/>
                </w:tcPr>
                <w:p w14:paraId="20D19F91">
                  <w:pPr>
                    <w:jc w:val="center"/>
                    <w:rPr>
                      <w:b/>
                      <w:bCs/>
                      <w:szCs w:val="21"/>
                    </w:rPr>
                  </w:pPr>
                  <w:r>
                    <w:rPr>
                      <w:rFonts w:hint="eastAsia"/>
                      <w:b/>
                      <w:bCs/>
                      <w:szCs w:val="21"/>
                    </w:rPr>
                    <w:t>污染物</w:t>
                  </w:r>
                </w:p>
              </w:tc>
              <w:tc>
                <w:tcPr>
                  <w:tcW w:w="629" w:type="pct"/>
                  <w:vAlign w:val="center"/>
                </w:tcPr>
                <w:p w14:paraId="3ECFC28C">
                  <w:pPr>
                    <w:jc w:val="center"/>
                    <w:rPr>
                      <w:b/>
                      <w:bCs/>
                      <w:szCs w:val="21"/>
                    </w:rPr>
                  </w:pPr>
                  <w:r>
                    <w:rPr>
                      <w:rFonts w:hint="eastAsia"/>
                      <w:b/>
                      <w:bCs/>
                      <w:szCs w:val="21"/>
                    </w:rPr>
                    <w:t>非正常排放浓度</w:t>
                  </w:r>
                  <w:r>
                    <w:rPr>
                      <w:rFonts w:hint="eastAsia"/>
                      <w:b/>
                      <w:bCs/>
                      <w:spacing w:val="-10"/>
                      <w:szCs w:val="21"/>
                    </w:rPr>
                    <w:t>（</w:t>
                  </w:r>
                  <w:r>
                    <w:rPr>
                      <w:b/>
                      <w:szCs w:val="21"/>
                    </w:rPr>
                    <w:t>mg/m</w:t>
                  </w:r>
                  <w:r>
                    <w:rPr>
                      <w:b/>
                      <w:szCs w:val="21"/>
                      <w:vertAlign w:val="superscript"/>
                    </w:rPr>
                    <w:t>3</w:t>
                  </w:r>
                  <w:r>
                    <w:rPr>
                      <w:rFonts w:hint="eastAsia"/>
                      <w:b/>
                      <w:bCs/>
                      <w:spacing w:val="-10"/>
                      <w:szCs w:val="21"/>
                    </w:rPr>
                    <w:t>）</w:t>
                  </w:r>
                </w:p>
              </w:tc>
              <w:tc>
                <w:tcPr>
                  <w:tcW w:w="551" w:type="pct"/>
                  <w:vAlign w:val="center"/>
                </w:tcPr>
                <w:p w14:paraId="20AB9167">
                  <w:pPr>
                    <w:jc w:val="center"/>
                    <w:rPr>
                      <w:b/>
                      <w:bCs/>
                      <w:szCs w:val="21"/>
                    </w:rPr>
                  </w:pPr>
                  <w:r>
                    <w:rPr>
                      <w:rFonts w:hint="eastAsia"/>
                      <w:b/>
                      <w:bCs/>
                      <w:szCs w:val="21"/>
                    </w:rPr>
                    <w:t>非正常排放速率</w:t>
                  </w:r>
                  <w:r>
                    <w:rPr>
                      <w:rFonts w:hint="eastAsia"/>
                      <w:b/>
                      <w:szCs w:val="21"/>
                    </w:rPr>
                    <w:t>（</w:t>
                  </w:r>
                  <w:r>
                    <w:rPr>
                      <w:b/>
                      <w:szCs w:val="21"/>
                    </w:rPr>
                    <w:t>kg/h</w:t>
                  </w:r>
                  <w:r>
                    <w:rPr>
                      <w:rFonts w:hint="eastAsia"/>
                      <w:b/>
                      <w:szCs w:val="21"/>
                    </w:rPr>
                    <w:t>）</w:t>
                  </w:r>
                </w:p>
              </w:tc>
              <w:tc>
                <w:tcPr>
                  <w:tcW w:w="551" w:type="pct"/>
                  <w:vAlign w:val="center"/>
                </w:tcPr>
                <w:p w14:paraId="798F42AB">
                  <w:pPr>
                    <w:jc w:val="center"/>
                    <w:rPr>
                      <w:b/>
                      <w:bCs/>
                      <w:szCs w:val="21"/>
                    </w:rPr>
                  </w:pPr>
                  <w:r>
                    <w:rPr>
                      <w:rFonts w:hint="eastAsia"/>
                      <w:b/>
                      <w:bCs/>
                      <w:szCs w:val="21"/>
                    </w:rPr>
                    <w:t>单次持续时间</w:t>
                  </w:r>
                  <w:r>
                    <w:rPr>
                      <w:b/>
                      <w:bCs/>
                      <w:szCs w:val="21"/>
                    </w:rPr>
                    <w:t>/h</w:t>
                  </w:r>
                </w:p>
              </w:tc>
              <w:tc>
                <w:tcPr>
                  <w:tcW w:w="551" w:type="pct"/>
                  <w:vAlign w:val="center"/>
                </w:tcPr>
                <w:p w14:paraId="418EBDE7">
                  <w:pPr>
                    <w:jc w:val="center"/>
                    <w:rPr>
                      <w:b/>
                      <w:bCs/>
                      <w:szCs w:val="21"/>
                    </w:rPr>
                  </w:pPr>
                  <w:r>
                    <w:rPr>
                      <w:rFonts w:hint="eastAsia"/>
                      <w:b/>
                      <w:bCs/>
                      <w:szCs w:val="21"/>
                    </w:rPr>
                    <w:t>年发生频次</w:t>
                  </w:r>
                  <w:r>
                    <w:rPr>
                      <w:b/>
                      <w:bCs/>
                      <w:szCs w:val="21"/>
                    </w:rPr>
                    <w:t>/</w:t>
                  </w:r>
                  <w:r>
                    <w:rPr>
                      <w:rFonts w:hint="eastAsia"/>
                      <w:b/>
                      <w:bCs/>
                      <w:szCs w:val="21"/>
                    </w:rPr>
                    <w:t>次</w:t>
                  </w:r>
                </w:p>
              </w:tc>
              <w:tc>
                <w:tcPr>
                  <w:tcW w:w="551" w:type="pct"/>
                  <w:vAlign w:val="center"/>
                </w:tcPr>
                <w:p w14:paraId="490C569A">
                  <w:pPr>
                    <w:jc w:val="center"/>
                    <w:rPr>
                      <w:b/>
                      <w:bCs/>
                      <w:szCs w:val="21"/>
                    </w:rPr>
                  </w:pPr>
                  <w:r>
                    <w:rPr>
                      <w:rFonts w:hint="eastAsia"/>
                      <w:b/>
                      <w:bCs/>
                      <w:szCs w:val="21"/>
                    </w:rPr>
                    <w:t>应对</w:t>
                  </w:r>
                </w:p>
                <w:p w14:paraId="5B40266E">
                  <w:pPr>
                    <w:jc w:val="center"/>
                    <w:rPr>
                      <w:b/>
                      <w:bCs/>
                      <w:szCs w:val="21"/>
                    </w:rPr>
                  </w:pPr>
                  <w:r>
                    <w:rPr>
                      <w:rFonts w:hint="eastAsia"/>
                      <w:b/>
                      <w:bCs/>
                      <w:szCs w:val="21"/>
                    </w:rPr>
                    <w:t>措施</w:t>
                  </w:r>
                </w:p>
              </w:tc>
            </w:tr>
            <w:tr w14:paraId="787E2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6" w:type="pct"/>
                  <w:vAlign w:val="center"/>
                </w:tcPr>
                <w:p w14:paraId="7FC3A170">
                  <w:pPr>
                    <w:jc w:val="center"/>
                    <w:rPr>
                      <w:szCs w:val="21"/>
                    </w:rPr>
                  </w:pPr>
                  <w:r>
                    <w:rPr>
                      <w:szCs w:val="21"/>
                    </w:rPr>
                    <w:t>1</w:t>
                  </w:r>
                </w:p>
              </w:tc>
              <w:tc>
                <w:tcPr>
                  <w:tcW w:w="524" w:type="pct"/>
                  <w:vAlign w:val="center"/>
                </w:tcPr>
                <w:p w14:paraId="6F7D008D">
                  <w:pPr>
                    <w:jc w:val="center"/>
                    <w:rPr>
                      <w:szCs w:val="21"/>
                    </w:rPr>
                  </w:pPr>
                  <w:r>
                    <w:rPr>
                      <w:szCs w:val="21"/>
                    </w:rPr>
                    <w:t>DA001</w:t>
                  </w:r>
                </w:p>
              </w:tc>
              <w:tc>
                <w:tcPr>
                  <w:tcW w:w="676" w:type="pct"/>
                  <w:vAlign w:val="center"/>
                </w:tcPr>
                <w:p w14:paraId="3F4A2E8A">
                  <w:pPr>
                    <w:pStyle w:val="96"/>
                    <w:rPr>
                      <w:szCs w:val="21"/>
                    </w:rPr>
                  </w:pPr>
                  <w:r>
                    <w:rPr>
                      <w:rFonts w:hint="eastAsia"/>
                      <w:szCs w:val="21"/>
                    </w:rPr>
                    <w:t>污染治理设施失效，处理效率为0</w:t>
                  </w:r>
                </w:p>
              </w:tc>
              <w:tc>
                <w:tcPr>
                  <w:tcW w:w="600" w:type="pct"/>
                  <w:vAlign w:val="center"/>
                </w:tcPr>
                <w:p w14:paraId="1CF606A3">
                  <w:pPr>
                    <w:pStyle w:val="96"/>
                    <w:rPr>
                      <w:szCs w:val="21"/>
                    </w:rPr>
                  </w:pPr>
                  <w:r>
                    <w:rPr>
                      <w:rFonts w:hint="eastAsia"/>
                      <w:szCs w:val="21"/>
                    </w:rPr>
                    <w:t>颗粒物</w:t>
                  </w:r>
                </w:p>
              </w:tc>
              <w:tc>
                <w:tcPr>
                  <w:tcW w:w="629" w:type="pct"/>
                  <w:vAlign w:val="center"/>
                </w:tcPr>
                <w:p w14:paraId="485BD81D">
                  <w:pPr>
                    <w:pStyle w:val="96"/>
                    <w:rPr>
                      <w:szCs w:val="21"/>
                    </w:rPr>
                  </w:pPr>
                  <w:r>
                    <w:rPr>
                      <w:rFonts w:hint="eastAsia"/>
                      <w:szCs w:val="21"/>
                    </w:rPr>
                    <w:t>80.128</w:t>
                  </w:r>
                </w:p>
              </w:tc>
              <w:tc>
                <w:tcPr>
                  <w:tcW w:w="551" w:type="pct"/>
                  <w:vAlign w:val="center"/>
                </w:tcPr>
                <w:p w14:paraId="594D9BEC">
                  <w:pPr>
                    <w:pStyle w:val="96"/>
                    <w:rPr>
                      <w:szCs w:val="21"/>
                    </w:rPr>
                  </w:pPr>
                  <w:r>
                    <w:rPr>
                      <w:rFonts w:hint="eastAsia"/>
                      <w:szCs w:val="21"/>
                    </w:rPr>
                    <w:t>0.116</w:t>
                  </w:r>
                </w:p>
              </w:tc>
              <w:tc>
                <w:tcPr>
                  <w:tcW w:w="551" w:type="pct"/>
                  <w:vAlign w:val="center"/>
                </w:tcPr>
                <w:p w14:paraId="21ACE33F">
                  <w:pPr>
                    <w:pStyle w:val="96"/>
                    <w:rPr>
                      <w:szCs w:val="21"/>
                    </w:rPr>
                  </w:pPr>
                  <w:r>
                    <w:rPr>
                      <w:szCs w:val="21"/>
                    </w:rPr>
                    <w:t>1</w:t>
                  </w:r>
                </w:p>
              </w:tc>
              <w:tc>
                <w:tcPr>
                  <w:tcW w:w="551" w:type="pct"/>
                  <w:vAlign w:val="center"/>
                </w:tcPr>
                <w:p w14:paraId="11502484">
                  <w:pPr>
                    <w:pStyle w:val="96"/>
                    <w:rPr>
                      <w:szCs w:val="21"/>
                    </w:rPr>
                  </w:pPr>
                  <w:r>
                    <w:rPr>
                      <w:szCs w:val="21"/>
                    </w:rPr>
                    <w:t>1</w:t>
                  </w:r>
                </w:p>
              </w:tc>
              <w:tc>
                <w:tcPr>
                  <w:tcW w:w="551" w:type="pct"/>
                  <w:vAlign w:val="center"/>
                </w:tcPr>
                <w:p w14:paraId="234E8935">
                  <w:pPr>
                    <w:pStyle w:val="96"/>
                    <w:rPr>
                      <w:szCs w:val="21"/>
                    </w:rPr>
                  </w:pPr>
                  <w:r>
                    <w:rPr>
                      <w:rFonts w:hint="eastAsia"/>
                      <w:szCs w:val="21"/>
                    </w:rPr>
                    <w:t>停产</w:t>
                  </w:r>
                </w:p>
                <w:p w14:paraId="2D2A8C6A">
                  <w:pPr>
                    <w:pStyle w:val="96"/>
                    <w:rPr>
                      <w:szCs w:val="21"/>
                    </w:rPr>
                  </w:pPr>
                  <w:r>
                    <w:rPr>
                      <w:rFonts w:hint="eastAsia"/>
                      <w:szCs w:val="21"/>
                    </w:rPr>
                    <w:t>检修</w:t>
                  </w:r>
                </w:p>
              </w:tc>
            </w:tr>
          </w:tbl>
          <w:p w14:paraId="6AD56988">
            <w:pPr>
              <w:spacing w:line="360" w:lineRule="auto"/>
              <w:ind w:firstLine="480" w:firstLineChars="200"/>
              <w:rPr>
                <w:kern w:val="10"/>
                <w:sz w:val="24"/>
              </w:rPr>
            </w:pPr>
            <w:r>
              <w:rPr>
                <w:rFonts w:hint="eastAsia"/>
                <w:kern w:val="10"/>
                <w:sz w:val="24"/>
              </w:rPr>
              <w:t>由上表可知，非正常工况下，热风炉烟气中颗粒物浓度超标。为防止生产废气非正常工况排放，企业必须加强废气处理设施的管理，定期检修，确保废气处理设施正常运行，在废气处理设备停止运行或出现故障时，产生废气的各工序也必须相应停止生产。</w:t>
            </w:r>
          </w:p>
          <w:p w14:paraId="09A58276">
            <w:pPr>
              <w:adjustRightInd w:val="0"/>
              <w:snapToGrid w:val="0"/>
              <w:spacing w:line="360" w:lineRule="auto"/>
              <w:ind w:firstLine="480" w:firstLineChars="200"/>
              <w:rPr>
                <w:sz w:val="24"/>
              </w:rPr>
            </w:pPr>
            <w:r>
              <w:rPr>
                <w:rFonts w:hint="eastAsia"/>
                <w:sz w:val="24"/>
              </w:rPr>
              <w:t>为杜绝废气非正常排放，应采取以下措施确保废气达标排放：</w:t>
            </w:r>
          </w:p>
          <w:p w14:paraId="285A8FB5">
            <w:pPr>
              <w:adjustRightInd w:val="0"/>
              <w:snapToGrid w:val="0"/>
              <w:spacing w:line="360" w:lineRule="auto"/>
              <w:ind w:firstLine="480" w:firstLineChars="200"/>
              <w:rPr>
                <w:sz w:val="24"/>
              </w:rPr>
            </w:pPr>
            <w:r>
              <w:rPr>
                <w:rFonts w:hint="eastAsia"/>
                <w:sz w:val="24"/>
              </w:rPr>
              <w:t>①安排专人负责环保设备的日常维护和管理，每个固定时间检查、汇报情况，及时发现废气处理设备的隐患，确保废气处理系统正常运行；</w:t>
            </w:r>
          </w:p>
          <w:p w14:paraId="34603D39">
            <w:pPr>
              <w:adjustRightInd w:val="0"/>
              <w:snapToGrid w:val="0"/>
              <w:spacing w:line="360" w:lineRule="auto"/>
              <w:ind w:firstLine="480" w:firstLineChars="200"/>
              <w:rPr>
                <w:sz w:val="24"/>
              </w:rPr>
            </w:pPr>
            <w:r>
              <w:rPr>
                <w:rFonts w:hint="eastAsia"/>
                <w:sz w:val="24"/>
              </w:rPr>
              <w:t>②建立健全的环保管理机构，对环保管理人员和技术人员进行岗位培训，委托具有专业资质的环境检测单位对项目排放的各类污染物进行定期检测；</w:t>
            </w:r>
          </w:p>
          <w:p w14:paraId="140EBFB0">
            <w:pPr>
              <w:adjustRightInd w:val="0"/>
              <w:snapToGrid w:val="0"/>
              <w:spacing w:line="360" w:lineRule="auto"/>
              <w:ind w:firstLine="480" w:firstLineChars="200"/>
              <w:rPr>
                <w:sz w:val="24"/>
              </w:rPr>
            </w:pPr>
            <w:r>
              <w:rPr>
                <w:rFonts w:hint="eastAsia"/>
                <w:sz w:val="24"/>
              </w:rPr>
              <w:t>③应定期维护、检修废气净化装置，以保持废气处理装置的净化能力和净化容量。</w:t>
            </w:r>
          </w:p>
          <w:p w14:paraId="44B28F52">
            <w:pPr>
              <w:adjustRightInd w:val="0"/>
              <w:snapToGrid w:val="0"/>
              <w:spacing w:line="360" w:lineRule="auto"/>
              <w:ind w:firstLine="482" w:firstLineChars="200"/>
              <w:rPr>
                <w:b/>
                <w:sz w:val="24"/>
              </w:rPr>
            </w:pPr>
            <w:r>
              <w:rPr>
                <w:rFonts w:hint="eastAsia"/>
                <w:b/>
                <w:sz w:val="24"/>
              </w:rPr>
              <w:t>二、废水</w:t>
            </w:r>
          </w:p>
          <w:p w14:paraId="45D66283">
            <w:pPr>
              <w:adjustRightInd w:val="0"/>
              <w:snapToGrid w:val="0"/>
              <w:spacing w:line="360" w:lineRule="auto"/>
              <w:ind w:firstLine="482" w:firstLineChars="200"/>
              <w:rPr>
                <w:b/>
                <w:sz w:val="24"/>
              </w:rPr>
            </w:pPr>
            <w:r>
              <w:rPr>
                <w:rFonts w:hint="eastAsia"/>
                <w:b/>
                <w:sz w:val="24"/>
              </w:rPr>
              <w:t>1、废水源强</w:t>
            </w:r>
          </w:p>
          <w:p w14:paraId="2696E649">
            <w:pPr>
              <w:adjustRightInd w:val="0"/>
              <w:snapToGrid w:val="0"/>
              <w:spacing w:line="360" w:lineRule="auto"/>
              <w:ind w:firstLine="480" w:firstLineChars="200"/>
              <w:rPr>
                <w:rFonts w:hAnsi="宋体"/>
                <w:sz w:val="24"/>
              </w:rPr>
            </w:pPr>
            <w:r>
              <w:rPr>
                <w:rFonts w:hint="eastAsia" w:hAnsi="宋体"/>
                <w:sz w:val="24"/>
              </w:rPr>
              <w:t>项目排水系统实行雨污分流制。项目地面清洁方式为扫帚清扫，无地面冲洗废水产生。项目产生的废水主要为生活污水、实验废水、器皿清洗废水。</w:t>
            </w:r>
          </w:p>
          <w:p w14:paraId="32BE91C2">
            <w:pPr>
              <w:adjustRightInd w:val="0"/>
              <w:snapToGrid w:val="0"/>
              <w:spacing w:line="360" w:lineRule="auto"/>
              <w:ind w:firstLine="480" w:firstLineChars="200"/>
              <w:rPr>
                <w:sz w:val="24"/>
              </w:rPr>
            </w:pPr>
            <w:r>
              <w:rPr>
                <w:rFonts w:hint="eastAsia"/>
                <w:sz w:val="24"/>
              </w:rPr>
              <w:t>（1）生活污水</w:t>
            </w:r>
          </w:p>
          <w:p w14:paraId="10FB1672">
            <w:pPr>
              <w:adjustRightInd w:val="0"/>
              <w:snapToGrid w:val="0"/>
              <w:spacing w:line="360" w:lineRule="auto"/>
              <w:ind w:firstLine="480" w:firstLineChars="200"/>
              <w:rPr>
                <w:sz w:val="24"/>
              </w:rPr>
            </w:pPr>
            <w:r>
              <w:rPr>
                <w:rFonts w:hint="eastAsia"/>
                <w:sz w:val="24"/>
              </w:rPr>
              <w:t>项目生活用水量为</w:t>
            </w:r>
            <w:bookmarkStart w:id="117" w:name="OLE_LINK33"/>
            <w:bookmarkStart w:id="118" w:name="OLE_LINK32"/>
            <w:r>
              <w:rPr>
                <w:rFonts w:hint="eastAsia"/>
                <w:sz w:val="24"/>
              </w:rPr>
              <w:t>1.8</w:t>
            </w:r>
            <w:r>
              <w:rPr>
                <w:sz w:val="24"/>
              </w:rPr>
              <w:t>m</w:t>
            </w:r>
            <w:r>
              <w:rPr>
                <w:sz w:val="24"/>
                <w:vertAlign w:val="superscript"/>
              </w:rPr>
              <w:t>3</w:t>
            </w:r>
            <w:r>
              <w:rPr>
                <w:rFonts w:hint="eastAsia"/>
                <w:sz w:val="24"/>
              </w:rPr>
              <w:t>/d（540</w:t>
            </w:r>
            <w:r>
              <w:rPr>
                <w:sz w:val="24"/>
              </w:rPr>
              <w:t>m</w:t>
            </w:r>
            <w:r>
              <w:rPr>
                <w:sz w:val="24"/>
                <w:vertAlign w:val="superscript"/>
              </w:rPr>
              <w:t>3</w:t>
            </w:r>
            <w:r>
              <w:rPr>
                <w:rFonts w:hint="eastAsia"/>
                <w:sz w:val="24"/>
              </w:rPr>
              <w:t>/a），生活污水按其用水量的80%计，则污水量为1.44</w:t>
            </w:r>
            <w:r>
              <w:rPr>
                <w:sz w:val="24"/>
              </w:rPr>
              <w:t>m</w:t>
            </w:r>
            <w:r>
              <w:rPr>
                <w:sz w:val="24"/>
                <w:vertAlign w:val="superscript"/>
              </w:rPr>
              <w:t>3</w:t>
            </w:r>
            <w:r>
              <w:rPr>
                <w:rFonts w:hint="eastAsia"/>
                <w:sz w:val="24"/>
              </w:rPr>
              <w:t>/d（432</w:t>
            </w:r>
            <w:r>
              <w:rPr>
                <w:sz w:val="24"/>
              </w:rPr>
              <w:t>m</w:t>
            </w:r>
            <w:r>
              <w:rPr>
                <w:sz w:val="24"/>
                <w:vertAlign w:val="superscript"/>
              </w:rPr>
              <w:t>3</w:t>
            </w:r>
            <w:r>
              <w:rPr>
                <w:rFonts w:hint="eastAsia"/>
                <w:sz w:val="24"/>
              </w:rPr>
              <w:t>/a），其主要污染物的产生浓度及产生量分别为COD约为300mg/L、0.130t/a，BOD</w:t>
            </w:r>
            <w:r>
              <w:rPr>
                <w:rFonts w:hint="eastAsia"/>
                <w:sz w:val="24"/>
                <w:vertAlign w:val="subscript"/>
              </w:rPr>
              <w:t>5</w:t>
            </w:r>
            <w:r>
              <w:rPr>
                <w:rFonts w:hint="eastAsia"/>
                <w:sz w:val="24"/>
              </w:rPr>
              <w:t>约为250mg/L、0.108t/a，SS约为300mg/L、0.130t/a，氨氮约为30mg/L、0.013t/a。本项目生活污水依托现有的化粪池处理后排入市政污水管网，纳入白果镇污水处理厂深度处理后排入涓水</w:t>
            </w:r>
            <w:bookmarkEnd w:id="117"/>
            <w:bookmarkEnd w:id="118"/>
            <w:r>
              <w:rPr>
                <w:rFonts w:hint="eastAsia"/>
                <w:sz w:val="24"/>
              </w:rPr>
              <w:t>。</w:t>
            </w:r>
          </w:p>
          <w:p w14:paraId="3869DB09">
            <w:pPr>
              <w:adjustRightInd w:val="0"/>
              <w:snapToGrid w:val="0"/>
              <w:spacing w:line="360" w:lineRule="auto"/>
              <w:ind w:firstLine="480" w:firstLineChars="200"/>
              <w:rPr>
                <w:sz w:val="24"/>
              </w:rPr>
            </w:pPr>
            <w:r>
              <w:rPr>
                <w:rFonts w:hint="eastAsia"/>
                <w:sz w:val="24"/>
              </w:rPr>
              <w:t>（2）实验废水、器皿清洗废水：项目实验过程试剂配制工序、玻璃器皿等仪器清洗，实验及清洗废液约0.2t/a，采用废液桶收集后做危险废物处置，不排放实验废水。</w:t>
            </w:r>
          </w:p>
          <w:p w14:paraId="5F6A51DB">
            <w:pPr>
              <w:adjustRightInd w:val="0"/>
              <w:snapToGrid w:val="0"/>
              <w:spacing w:line="360" w:lineRule="auto"/>
              <w:ind w:firstLine="480" w:firstLineChars="200"/>
              <w:rPr>
                <w:rFonts w:hAnsi="宋体"/>
                <w:bCs/>
                <w:kern w:val="0"/>
                <w:sz w:val="24"/>
              </w:rPr>
            </w:pPr>
            <w:r>
              <w:rPr>
                <w:rFonts w:hint="eastAsia" w:hAnsi="宋体"/>
                <w:bCs/>
                <w:kern w:val="0"/>
                <w:sz w:val="24"/>
              </w:rPr>
              <w:t>（3）汇总</w:t>
            </w:r>
          </w:p>
          <w:p w14:paraId="1CAA1687">
            <w:pPr>
              <w:adjustRightInd w:val="0"/>
              <w:snapToGrid w:val="0"/>
              <w:spacing w:line="360" w:lineRule="auto"/>
              <w:ind w:firstLine="480" w:firstLineChars="200"/>
              <w:rPr>
                <w:rFonts w:hAnsi="宋体"/>
                <w:bCs/>
                <w:kern w:val="0"/>
                <w:sz w:val="24"/>
              </w:rPr>
            </w:pPr>
            <w:r>
              <w:rPr>
                <w:rFonts w:hint="eastAsia" w:hAnsi="宋体"/>
                <w:bCs/>
                <w:kern w:val="0"/>
                <w:sz w:val="24"/>
              </w:rPr>
              <w:t>项目废水主要污染物产生及处理情况详见下表。</w:t>
            </w:r>
          </w:p>
          <w:p w14:paraId="040CBB59">
            <w:pPr>
              <w:spacing w:before="120" w:beforeLines="50"/>
              <w:jc w:val="center"/>
              <w:rPr>
                <w:b/>
                <w:szCs w:val="21"/>
              </w:rPr>
            </w:pPr>
            <w:r>
              <w:rPr>
                <w:b/>
                <w:szCs w:val="21"/>
              </w:rPr>
              <w:t>表</w:t>
            </w:r>
            <w:r>
              <w:rPr>
                <w:rFonts w:hint="eastAsia"/>
                <w:b/>
                <w:szCs w:val="21"/>
              </w:rPr>
              <w:t>4-10  废水污染源强核算结果一览表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851"/>
              <w:gridCol w:w="851"/>
              <w:gridCol w:w="708"/>
              <w:gridCol w:w="710"/>
              <w:gridCol w:w="567"/>
              <w:gridCol w:w="708"/>
              <w:gridCol w:w="710"/>
              <w:gridCol w:w="710"/>
              <w:gridCol w:w="710"/>
              <w:gridCol w:w="708"/>
              <w:gridCol w:w="567"/>
              <w:gridCol w:w="894"/>
            </w:tblGrid>
            <w:tr w14:paraId="67131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restart"/>
                  <w:shd w:val="clear" w:color="auto" w:fill="auto"/>
                  <w:vAlign w:val="center"/>
                </w:tcPr>
                <w:p w14:paraId="5A7632B4">
                  <w:pPr>
                    <w:adjustRightInd w:val="0"/>
                    <w:snapToGrid w:val="0"/>
                    <w:jc w:val="center"/>
                    <w:rPr>
                      <w:b/>
                      <w:bCs/>
                      <w:spacing w:val="-10"/>
                      <w:szCs w:val="21"/>
                    </w:rPr>
                  </w:pPr>
                  <w:r>
                    <w:rPr>
                      <w:b/>
                      <w:bCs/>
                      <w:spacing w:val="-10"/>
                      <w:szCs w:val="21"/>
                    </w:rPr>
                    <w:t>产污环节</w:t>
                  </w:r>
                </w:p>
              </w:tc>
              <w:tc>
                <w:tcPr>
                  <w:tcW w:w="453" w:type="pct"/>
                  <w:vMerge w:val="restart"/>
                  <w:shd w:val="clear" w:color="auto" w:fill="auto"/>
                  <w:vAlign w:val="center"/>
                </w:tcPr>
                <w:p w14:paraId="587AA4FC">
                  <w:pPr>
                    <w:adjustRightInd w:val="0"/>
                    <w:snapToGrid w:val="0"/>
                    <w:jc w:val="center"/>
                    <w:rPr>
                      <w:b/>
                      <w:bCs/>
                      <w:spacing w:val="-10"/>
                      <w:szCs w:val="21"/>
                    </w:rPr>
                  </w:pPr>
                  <w:r>
                    <w:rPr>
                      <w:b/>
                      <w:bCs/>
                      <w:spacing w:val="-10"/>
                      <w:szCs w:val="21"/>
                    </w:rPr>
                    <w:t>污染物种类</w:t>
                  </w:r>
                </w:p>
              </w:tc>
              <w:tc>
                <w:tcPr>
                  <w:tcW w:w="1208" w:type="pct"/>
                  <w:gridSpan w:val="3"/>
                  <w:vAlign w:val="center"/>
                </w:tcPr>
                <w:p w14:paraId="20814DDB">
                  <w:pPr>
                    <w:adjustRightInd w:val="0"/>
                    <w:snapToGrid w:val="0"/>
                    <w:jc w:val="center"/>
                    <w:rPr>
                      <w:b/>
                      <w:bCs/>
                      <w:spacing w:val="-10"/>
                      <w:szCs w:val="21"/>
                    </w:rPr>
                  </w:pPr>
                  <w:r>
                    <w:rPr>
                      <w:b/>
                      <w:bCs/>
                      <w:spacing w:val="-10"/>
                      <w:szCs w:val="21"/>
                    </w:rPr>
                    <w:t>污染物产生情况</w:t>
                  </w:r>
                </w:p>
              </w:tc>
              <w:tc>
                <w:tcPr>
                  <w:tcW w:w="1057" w:type="pct"/>
                  <w:gridSpan w:val="3"/>
                  <w:shd w:val="clear" w:color="auto" w:fill="auto"/>
                  <w:vAlign w:val="center"/>
                </w:tcPr>
                <w:p w14:paraId="11660588">
                  <w:pPr>
                    <w:adjustRightInd w:val="0"/>
                    <w:snapToGrid w:val="0"/>
                    <w:jc w:val="center"/>
                    <w:rPr>
                      <w:b/>
                      <w:bCs/>
                      <w:spacing w:val="-10"/>
                      <w:szCs w:val="21"/>
                    </w:rPr>
                  </w:pPr>
                  <w:r>
                    <w:rPr>
                      <w:b/>
                      <w:bCs/>
                      <w:spacing w:val="-10"/>
                      <w:szCs w:val="21"/>
                    </w:rPr>
                    <w:t>治理措施</w:t>
                  </w:r>
                </w:p>
              </w:tc>
              <w:tc>
                <w:tcPr>
                  <w:tcW w:w="1133" w:type="pct"/>
                  <w:gridSpan w:val="3"/>
                  <w:shd w:val="clear" w:color="auto" w:fill="auto"/>
                  <w:vAlign w:val="center"/>
                </w:tcPr>
                <w:p w14:paraId="24F3AB6C">
                  <w:pPr>
                    <w:adjustRightInd w:val="0"/>
                    <w:snapToGrid w:val="0"/>
                    <w:jc w:val="center"/>
                    <w:rPr>
                      <w:b/>
                      <w:bCs/>
                      <w:spacing w:val="-10"/>
                      <w:szCs w:val="21"/>
                    </w:rPr>
                  </w:pPr>
                  <w:r>
                    <w:rPr>
                      <w:b/>
                      <w:bCs/>
                      <w:spacing w:val="-10"/>
                      <w:szCs w:val="21"/>
                    </w:rPr>
                    <w:t>污染物排放情况</w:t>
                  </w:r>
                </w:p>
              </w:tc>
              <w:tc>
                <w:tcPr>
                  <w:tcW w:w="302" w:type="pct"/>
                  <w:vMerge w:val="restart"/>
                  <w:shd w:val="clear" w:color="auto" w:fill="auto"/>
                  <w:vAlign w:val="center"/>
                </w:tcPr>
                <w:p w14:paraId="747A2468">
                  <w:pPr>
                    <w:adjustRightInd w:val="0"/>
                    <w:snapToGrid w:val="0"/>
                    <w:jc w:val="center"/>
                    <w:rPr>
                      <w:b/>
                      <w:bCs/>
                      <w:spacing w:val="-10"/>
                      <w:szCs w:val="21"/>
                    </w:rPr>
                  </w:pPr>
                  <w:r>
                    <w:rPr>
                      <w:b/>
                      <w:bCs/>
                      <w:spacing w:val="-10"/>
                      <w:szCs w:val="21"/>
                    </w:rPr>
                    <w:t>排放方式</w:t>
                  </w:r>
                </w:p>
              </w:tc>
              <w:tc>
                <w:tcPr>
                  <w:tcW w:w="476" w:type="pct"/>
                  <w:vMerge w:val="restart"/>
                  <w:shd w:val="clear" w:color="auto" w:fill="auto"/>
                  <w:vAlign w:val="center"/>
                </w:tcPr>
                <w:p w14:paraId="24F1B3FB">
                  <w:pPr>
                    <w:adjustRightInd w:val="0"/>
                    <w:snapToGrid w:val="0"/>
                    <w:jc w:val="center"/>
                    <w:rPr>
                      <w:b/>
                      <w:bCs/>
                      <w:spacing w:val="-10"/>
                      <w:szCs w:val="21"/>
                    </w:rPr>
                  </w:pPr>
                  <w:r>
                    <w:rPr>
                      <w:b/>
                      <w:bCs/>
                      <w:spacing w:val="-10"/>
                      <w:szCs w:val="21"/>
                    </w:rPr>
                    <w:t>排放去向</w:t>
                  </w:r>
                </w:p>
              </w:tc>
            </w:tr>
            <w:tr w14:paraId="571CE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4810804A">
                  <w:pPr>
                    <w:adjustRightInd w:val="0"/>
                    <w:snapToGrid w:val="0"/>
                    <w:jc w:val="center"/>
                    <w:rPr>
                      <w:bCs/>
                      <w:spacing w:val="-10"/>
                      <w:szCs w:val="21"/>
                    </w:rPr>
                  </w:pPr>
                </w:p>
              </w:tc>
              <w:tc>
                <w:tcPr>
                  <w:tcW w:w="453" w:type="pct"/>
                  <w:vMerge w:val="continue"/>
                  <w:shd w:val="clear" w:color="auto" w:fill="auto"/>
                  <w:vAlign w:val="center"/>
                </w:tcPr>
                <w:p w14:paraId="5C398677">
                  <w:pPr>
                    <w:adjustRightInd w:val="0"/>
                    <w:snapToGrid w:val="0"/>
                    <w:jc w:val="center"/>
                    <w:rPr>
                      <w:bCs/>
                      <w:spacing w:val="-10"/>
                      <w:szCs w:val="21"/>
                    </w:rPr>
                  </w:pPr>
                </w:p>
              </w:tc>
              <w:tc>
                <w:tcPr>
                  <w:tcW w:w="453" w:type="pct"/>
                  <w:shd w:val="clear" w:color="auto" w:fill="auto"/>
                  <w:vAlign w:val="center"/>
                </w:tcPr>
                <w:p w14:paraId="7142E73E">
                  <w:pPr>
                    <w:adjustRightInd w:val="0"/>
                    <w:snapToGrid w:val="0"/>
                    <w:jc w:val="center"/>
                    <w:rPr>
                      <w:bCs/>
                      <w:spacing w:val="-10"/>
                      <w:szCs w:val="21"/>
                    </w:rPr>
                  </w:pPr>
                  <w:r>
                    <w:rPr>
                      <w:b/>
                      <w:bCs/>
                      <w:spacing w:val="-10"/>
                      <w:szCs w:val="21"/>
                    </w:rPr>
                    <w:t>废水产生量</w:t>
                  </w:r>
                  <w:r>
                    <w:rPr>
                      <w:rFonts w:hint="eastAsia"/>
                      <w:b/>
                      <w:bCs/>
                      <w:spacing w:val="-10"/>
                      <w:szCs w:val="21"/>
                    </w:rPr>
                    <w:t>t/a</w:t>
                  </w:r>
                </w:p>
              </w:tc>
              <w:tc>
                <w:tcPr>
                  <w:tcW w:w="377" w:type="pct"/>
                  <w:vAlign w:val="center"/>
                </w:tcPr>
                <w:p w14:paraId="4FBDC323">
                  <w:pPr>
                    <w:adjustRightInd w:val="0"/>
                    <w:snapToGrid w:val="0"/>
                    <w:jc w:val="center"/>
                    <w:rPr>
                      <w:b/>
                      <w:bCs/>
                      <w:spacing w:val="-10"/>
                      <w:szCs w:val="21"/>
                    </w:rPr>
                  </w:pPr>
                  <w:r>
                    <w:rPr>
                      <w:b/>
                      <w:bCs/>
                      <w:spacing w:val="-10"/>
                      <w:szCs w:val="21"/>
                    </w:rPr>
                    <w:t>产生量</w:t>
                  </w:r>
                  <w:r>
                    <w:rPr>
                      <w:rFonts w:hint="eastAsia"/>
                      <w:b/>
                      <w:bCs/>
                      <w:spacing w:val="-10"/>
                      <w:szCs w:val="21"/>
                    </w:rPr>
                    <w:t>t/a</w:t>
                  </w:r>
                </w:p>
              </w:tc>
              <w:tc>
                <w:tcPr>
                  <w:tcW w:w="378" w:type="pct"/>
                  <w:shd w:val="clear" w:color="auto" w:fill="auto"/>
                  <w:vAlign w:val="center"/>
                </w:tcPr>
                <w:p w14:paraId="153A3D93">
                  <w:pPr>
                    <w:adjustRightInd w:val="0"/>
                    <w:snapToGrid w:val="0"/>
                    <w:jc w:val="center"/>
                    <w:rPr>
                      <w:b/>
                      <w:bCs/>
                      <w:spacing w:val="-10"/>
                      <w:szCs w:val="21"/>
                    </w:rPr>
                  </w:pPr>
                  <w:r>
                    <w:rPr>
                      <w:b/>
                      <w:bCs/>
                      <w:spacing w:val="-10"/>
                      <w:szCs w:val="21"/>
                    </w:rPr>
                    <w:t>产生浓度</w:t>
                  </w:r>
                  <w:r>
                    <w:rPr>
                      <w:rFonts w:hint="eastAsia"/>
                      <w:b/>
                      <w:bCs/>
                      <w:spacing w:val="-10"/>
                      <w:szCs w:val="21"/>
                    </w:rPr>
                    <w:t>mg/</w:t>
                  </w:r>
                  <w:r>
                    <w:rPr>
                      <w:rFonts w:hint="eastAsia"/>
                      <w:b/>
                      <w:szCs w:val="21"/>
                    </w:rPr>
                    <w:t>L</w:t>
                  </w:r>
                </w:p>
              </w:tc>
              <w:tc>
                <w:tcPr>
                  <w:tcW w:w="302" w:type="pct"/>
                  <w:shd w:val="clear" w:color="auto" w:fill="auto"/>
                  <w:vAlign w:val="center"/>
                </w:tcPr>
                <w:p w14:paraId="31857A09">
                  <w:pPr>
                    <w:adjustRightInd w:val="0"/>
                    <w:snapToGrid w:val="0"/>
                    <w:jc w:val="center"/>
                    <w:rPr>
                      <w:b/>
                      <w:bCs/>
                      <w:spacing w:val="-10"/>
                      <w:szCs w:val="21"/>
                    </w:rPr>
                  </w:pPr>
                  <w:r>
                    <w:rPr>
                      <w:b/>
                      <w:bCs/>
                      <w:spacing w:val="-10"/>
                      <w:szCs w:val="21"/>
                    </w:rPr>
                    <w:t>工艺</w:t>
                  </w:r>
                </w:p>
              </w:tc>
              <w:tc>
                <w:tcPr>
                  <w:tcW w:w="377" w:type="pct"/>
                  <w:shd w:val="clear" w:color="auto" w:fill="auto"/>
                  <w:vAlign w:val="center"/>
                </w:tcPr>
                <w:p w14:paraId="59DCD6DB">
                  <w:pPr>
                    <w:adjustRightInd w:val="0"/>
                    <w:snapToGrid w:val="0"/>
                    <w:jc w:val="center"/>
                    <w:rPr>
                      <w:b/>
                      <w:bCs/>
                      <w:spacing w:val="-10"/>
                      <w:szCs w:val="21"/>
                    </w:rPr>
                  </w:pPr>
                  <w:r>
                    <w:rPr>
                      <w:b/>
                      <w:bCs/>
                      <w:spacing w:val="-10"/>
                      <w:szCs w:val="21"/>
                    </w:rPr>
                    <w:t>治理效率</w:t>
                  </w:r>
                  <w:r>
                    <w:rPr>
                      <w:rFonts w:hint="eastAsia"/>
                      <w:b/>
                      <w:bCs/>
                      <w:spacing w:val="-10"/>
                      <w:szCs w:val="21"/>
                    </w:rPr>
                    <w:t>/%</w:t>
                  </w:r>
                </w:p>
              </w:tc>
              <w:tc>
                <w:tcPr>
                  <w:tcW w:w="378" w:type="pct"/>
                  <w:shd w:val="clear" w:color="auto" w:fill="auto"/>
                  <w:vAlign w:val="center"/>
                </w:tcPr>
                <w:p w14:paraId="071F1979">
                  <w:pPr>
                    <w:adjustRightInd w:val="0"/>
                    <w:snapToGrid w:val="0"/>
                    <w:jc w:val="center"/>
                    <w:rPr>
                      <w:b/>
                      <w:bCs/>
                      <w:spacing w:val="-10"/>
                      <w:szCs w:val="21"/>
                    </w:rPr>
                  </w:pPr>
                  <w:r>
                    <w:rPr>
                      <w:b/>
                      <w:bCs/>
                      <w:spacing w:val="-10"/>
                      <w:szCs w:val="21"/>
                    </w:rPr>
                    <w:t>是否为技术可行</w:t>
                  </w:r>
                </w:p>
              </w:tc>
              <w:tc>
                <w:tcPr>
                  <w:tcW w:w="378" w:type="pct"/>
                  <w:shd w:val="clear" w:color="auto" w:fill="auto"/>
                  <w:vAlign w:val="center"/>
                </w:tcPr>
                <w:p w14:paraId="61FDFA44">
                  <w:pPr>
                    <w:adjustRightInd w:val="0"/>
                    <w:snapToGrid w:val="0"/>
                    <w:jc w:val="center"/>
                    <w:rPr>
                      <w:bCs/>
                      <w:spacing w:val="-10"/>
                      <w:szCs w:val="21"/>
                    </w:rPr>
                  </w:pPr>
                  <w:r>
                    <w:rPr>
                      <w:b/>
                      <w:bCs/>
                      <w:spacing w:val="-10"/>
                      <w:szCs w:val="21"/>
                    </w:rPr>
                    <w:t>废水排放量</w:t>
                  </w:r>
                  <w:r>
                    <w:rPr>
                      <w:rFonts w:hint="eastAsia"/>
                      <w:b/>
                      <w:bCs/>
                      <w:spacing w:val="-10"/>
                      <w:szCs w:val="21"/>
                    </w:rPr>
                    <w:t>t/a</w:t>
                  </w:r>
                </w:p>
              </w:tc>
              <w:tc>
                <w:tcPr>
                  <w:tcW w:w="378" w:type="pct"/>
                  <w:shd w:val="clear" w:color="auto" w:fill="auto"/>
                  <w:vAlign w:val="center"/>
                </w:tcPr>
                <w:p w14:paraId="36459B00">
                  <w:pPr>
                    <w:adjustRightInd w:val="0"/>
                    <w:snapToGrid w:val="0"/>
                    <w:jc w:val="center"/>
                    <w:rPr>
                      <w:b/>
                      <w:bCs/>
                      <w:spacing w:val="-10"/>
                      <w:szCs w:val="21"/>
                    </w:rPr>
                  </w:pPr>
                  <w:r>
                    <w:rPr>
                      <w:b/>
                      <w:bCs/>
                      <w:spacing w:val="-10"/>
                      <w:szCs w:val="21"/>
                    </w:rPr>
                    <w:t>排放量</w:t>
                  </w:r>
                  <w:r>
                    <w:rPr>
                      <w:rFonts w:hint="eastAsia"/>
                      <w:b/>
                      <w:bCs/>
                      <w:spacing w:val="-10"/>
                      <w:szCs w:val="21"/>
                    </w:rPr>
                    <w:t>t/a</w:t>
                  </w:r>
                </w:p>
              </w:tc>
              <w:tc>
                <w:tcPr>
                  <w:tcW w:w="377" w:type="pct"/>
                  <w:shd w:val="clear" w:color="auto" w:fill="auto"/>
                  <w:vAlign w:val="center"/>
                </w:tcPr>
                <w:p w14:paraId="45114D5D">
                  <w:pPr>
                    <w:adjustRightInd w:val="0"/>
                    <w:snapToGrid w:val="0"/>
                    <w:jc w:val="center"/>
                    <w:rPr>
                      <w:b/>
                      <w:bCs/>
                      <w:spacing w:val="-10"/>
                      <w:szCs w:val="21"/>
                    </w:rPr>
                  </w:pPr>
                  <w:r>
                    <w:rPr>
                      <w:b/>
                      <w:bCs/>
                      <w:spacing w:val="-10"/>
                      <w:szCs w:val="21"/>
                    </w:rPr>
                    <w:t>排放浓度</w:t>
                  </w:r>
                  <w:r>
                    <w:rPr>
                      <w:rFonts w:hint="eastAsia"/>
                      <w:b/>
                      <w:bCs/>
                      <w:spacing w:val="-10"/>
                      <w:szCs w:val="21"/>
                    </w:rPr>
                    <w:t>mg/</w:t>
                  </w:r>
                  <w:r>
                    <w:rPr>
                      <w:rFonts w:hint="eastAsia"/>
                      <w:b/>
                      <w:szCs w:val="21"/>
                    </w:rPr>
                    <w:t>L</w:t>
                  </w:r>
                </w:p>
              </w:tc>
              <w:tc>
                <w:tcPr>
                  <w:tcW w:w="302" w:type="pct"/>
                  <w:vMerge w:val="continue"/>
                  <w:shd w:val="clear" w:color="auto" w:fill="auto"/>
                  <w:vAlign w:val="center"/>
                </w:tcPr>
                <w:p w14:paraId="72ED4771">
                  <w:pPr>
                    <w:adjustRightInd w:val="0"/>
                    <w:snapToGrid w:val="0"/>
                    <w:jc w:val="center"/>
                    <w:rPr>
                      <w:bCs/>
                      <w:spacing w:val="-10"/>
                      <w:szCs w:val="21"/>
                    </w:rPr>
                  </w:pPr>
                </w:p>
              </w:tc>
              <w:tc>
                <w:tcPr>
                  <w:tcW w:w="476" w:type="pct"/>
                  <w:vMerge w:val="continue"/>
                  <w:shd w:val="clear" w:color="auto" w:fill="auto"/>
                  <w:vAlign w:val="center"/>
                </w:tcPr>
                <w:p w14:paraId="371042A3">
                  <w:pPr>
                    <w:adjustRightInd w:val="0"/>
                    <w:snapToGrid w:val="0"/>
                    <w:jc w:val="center"/>
                    <w:rPr>
                      <w:bCs/>
                      <w:spacing w:val="-10"/>
                      <w:szCs w:val="21"/>
                    </w:rPr>
                  </w:pPr>
                </w:p>
              </w:tc>
            </w:tr>
            <w:tr w14:paraId="17516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restart"/>
                  <w:shd w:val="clear" w:color="auto" w:fill="auto"/>
                  <w:vAlign w:val="center"/>
                </w:tcPr>
                <w:p w14:paraId="0757BCAB">
                  <w:pPr>
                    <w:adjustRightInd w:val="0"/>
                    <w:snapToGrid w:val="0"/>
                    <w:jc w:val="center"/>
                    <w:rPr>
                      <w:bCs/>
                      <w:spacing w:val="-10"/>
                      <w:szCs w:val="21"/>
                    </w:rPr>
                  </w:pPr>
                  <w:r>
                    <w:rPr>
                      <w:bCs/>
                      <w:spacing w:val="-10"/>
                      <w:szCs w:val="21"/>
                    </w:rPr>
                    <w:t>生活污水</w:t>
                  </w:r>
                </w:p>
              </w:tc>
              <w:tc>
                <w:tcPr>
                  <w:tcW w:w="453" w:type="pct"/>
                  <w:shd w:val="clear" w:color="auto" w:fill="auto"/>
                  <w:vAlign w:val="center"/>
                </w:tcPr>
                <w:p w14:paraId="33023AAD">
                  <w:pPr>
                    <w:adjustRightInd w:val="0"/>
                    <w:snapToGrid w:val="0"/>
                    <w:jc w:val="center"/>
                    <w:rPr>
                      <w:bCs/>
                      <w:spacing w:val="-10"/>
                      <w:szCs w:val="21"/>
                    </w:rPr>
                  </w:pPr>
                  <w:r>
                    <w:rPr>
                      <w:bCs/>
                      <w:szCs w:val="21"/>
                    </w:rPr>
                    <w:t>COD</w:t>
                  </w:r>
                </w:p>
              </w:tc>
              <w:tc>
                <w:tcPr>
                  <w:tcW w:w="453" w:type="pct"/>
                  <w:vMerge w:val="restart"/>
                  <w:shd w:val="clear" w:color="auto" w:fill="auto"/>
                  <w:vAlign w:val="center"/>
                </w:tcPr>
                <w:p w14:paraId="2443647E">
                  <w:pPr>
                    <w:adjustRightInd w:val="0"/>
                    <w:snapToGrid w:val="0"/>
                    <w:jc w:val="center"/>
                    <w:rPr>
                      <w:bCs/>
                      <w:spacing w:val="-10"/>
                      <w:szCs w:val="21"/>
                    </w:rPr>
                  </w:pPr>
                  <w:r>
                    <w:rPr>
                      <w:rFonts w:hint="eastAsia"/>
                      <w:bCs/>
                      <w:spacing w:val="-10"/>
                      <w:szCs w:val="21"/>
                    </w:rPr>
                    <w:t>432</w:t>
                  </w:r>
                </w:p>
              </w:tc>
              <w:tc>
                <w:tcPr>
                  <w:tcW w:w="377" w:type="pct"/>
                  <w:vAlign w:val="center"/>
                </w:tcPr>
                <w:p w14:paraId="42B59B56">
                  <w:pPr>
                    <w:adjustRightInd w:val="0"/>
                    <w:snapToGrid w:val="0"/>
                    <w:jc w:val="center"/>
                    <w:rPr>
                      <w:szCs w:val="21"/>
                    </w:rPr>
                  </w:pPr>
                  <w:r>
                    <w:rPr>
                      <w:rFonts w:hint="eastAsia"/>
                      <w:szCs w:val="21"/>
                    </w:rPr>
                    <w:t>300</w:t>
                  </w:r>
                </w:p>
              </w:tc>
              <w:tc>
                <w:tcPr>
                  <w:tcW w:w="378" w:type="pct"/>
                  <w:shd w:val="clear" w:color="auto" w:fill="auto"/>
                  <w:vAlign w:val="center"/>
                </w:tcPr>
                <w:p w14:paraId="3BCDB098">
                  <w:pPr>
                    <w:adjustRightInd w:val="0"/>
                    <w:snapToGrid w:val="0"/>
                    <w:jc w:val="center"/>
                    <w:rPr>
                      <w:bCs/>
                      <w:spacing w:val="-10"/>
                      <w:szCs w:val="21"/>
                    </w:rPr>
                  </w:pPr>
                  <w:r>
                    <w:rPr>
                      <w:rFonts w:hint="eastAsia"/>
                      <w:bCs/>
                      <w:spacing w:val="-10"/>
                      <w:szCs w:val="21"/>
                    </w:rPr>
                    <w:t>0.130</w:t>
                  </w:r>
                </w:p>
              </w:tc>
              <w:tc>
                <w:tcPr>
                  <w:tcW w:w="302" w:type="pct"/>
                  <w:vMerge w:val="restart"/>
                  <w:shd w:val="clear" w:color="auto" w:fill="auto"/>
                  <w:vAlign w:val="center"/>
                </w:tcPr>
                <w:p w14:paraId="26F64765">
                  <w:pPr>
                    <w:adjustRightInd w:val="0"/>
                    <w:snapToGrid w:val="0"/>
                    <w:jc w:val="center"/>
                    <w:rPr>
                      <w:bCs/>
                      <w:spacing w:val="-10"/>
                      <w:szCs w:val="21"/>
                    </w:rPr>
                  </w:pPr>
                  <w:r>
                    <w:rPr>
                      <w:rFonts w:hint="eastAsia"/>
                      <w:bCs/>
                      <w:spacing w:val="-10"/>
                      <w:szCs w:val="21"/>
                    </w:rPr>
                    <w:t>化粪池</w:t>
                  </w:r>
                </w:p>
              </w:tc>
              <w:tc>
                <w:tcPr>
                  <w:tcW w:w="377" w:type="pct"/>
                  <w:vMerge w:val="restart"/>
                  <w:shd w:val="clear" w:color="auto" w:fill="auto"/>
                  <w:vAlign w:val="center"/>
                </w:tcPr>
                <w:p w14:paraId="39083696">
                  <w:pPr>
                    <w:adjustRightInd w:val="0"/>
                    <w:snapToGrid w:val="0"/>
                    <w:jc w:val="center"/>
                    <w:rPr>
                      <w:bCs/>
                      <w:spacing w:val="-10"/>
                      <w:szCs w:val="21"/>
                    </w:rPr>
                  </w:pPr>
                  <w:r>
                    <w:rPr>
                      <w:rFonts w:hint="eastAsia"/>
                      <w:bCs/>
                      <w:spacing w:val="-10"/>
                      <w:szCs w:val="21"/>
                    </w:rPr>
                    <w:t>/</w:t>
                  </w:r>
                </w:p>
              </w:tc>
              <w:tc>
                <w:tcPr>
                  <w:tcW w:w="378" w:type="pct"/>
                  <w:vMerge w:val="restart"/>
                  <w:shd w:val="clear" w:color="auto" w:fill="auto"/>
                  <w:vAlign w:val="center"/>
                </w:tcPr>
                <w:p w14:paraId="19FEABAE">
                  <w:pPr>
                    <w:adjustRightInd w:val="0"/>
                    <w:snapToGrid w:val="0"/>
                    <w:jc w:val="center"/>
                    <w:rPr>
                      <w:bCs/>
                      <w:spacing w:val="-10"/>
                      <w:szCs w:val="21"/>
                    </w:rPr>
                  </w:pPr>
                  <w:r>
                    <w:rPr>
                      <w:bCs/>
                      <w:spacing w:val="-10"/>
                      <w:szCs w:val="21"/>
                    </w:rPr>
                    <w:t>是</w:t>
                  </w:r>
                </w:p>
              </w:tc>
              <w:tc>
                <w:tcPr>
                  <w:tcW w:w="378" w:type="pct"/>
                  <w:vMerge w:val="restart"/>
                  <w:shd w:val="clear" w:color="auto" w:fill="auto"/>
                  <w:vAlign w:val="center"/>
                </w:tcPr>
                <w:p w14:paraId="3E951A96">
                  <w:pPr>
                    <w:adjustRightInd w:val="0"/>
                    <w:snapToGrid w:val="0"/>
                    <w:jc w:val="center"/>
                    <w:rPr>
                      <w:bCs/>
                      <w:spacing w:val="-10"/>
                      <w:szCs w:val="21"/>
                    </w:rPr>
                  </w:pPr>
                  <w:r>
                    <w:rPr>
                      <w:rFonts w:hint="eastAsia"/>
                      <w:bCs/>
                      <w:spacing w:val="-10"/>
                      <w:szCs w:val="21"/>
                    </w:rPr>
                    <w:t>432</w:t>
                  </w:r>
                </w:p>
              </w:tc>
              <w:tc>
                <w:tcPr>
                  <w:tcW w:w="378" w:type="pct"/>
                  <w:shd w:val="clear" w:color="auto" w:fill="auto"/>
                  <w:vAlign w:val="center"/>
                </w:tcPr>
                <w:p w14:paraId="54AA1AD3">
                  <w:pPr>
                    <w:adjustRightInd w:val="0"/>
                    <w:snapToGrid w:val="0"/>
                    <w:jc w:val="center"/>
                    <w:rPr>
                      <w:szCs w:val="21"/>
                    </w:rPr>
                  </w:pPr>
                  <w:r>
                    <w:rPr>
                      <w:rFonts w:hint="eastAsia"/>
                      <w:szCs w:val="21"/>
                    </w:rPr>
                    <w:t>240</w:t>
                  </w:r>
                </w:p>
              </w:tc>
              <w:tc>
                <w:tcPr>
                  <w:tcW w:w="377" w:type="pct"/>
                  <w:shd w:val="clear" w:color="auto" w:fill="auto"/>
                  <w:vAlign w:val="center"/>
                </w:tcPr>
                <w:p w14:paraId="032273D2">
                  <w:pPr>
                    <w:adjustRightInd w:val="0"/>
                    <w:snapToGrid w:val="0"/>
                    <w:jc w:val="center"/>
                    <w:rPr>
                      <w:bCs/>
                      <w:spacing w:val="-10"/>
                      <w:szCs w:val="21"/>
                    </w:rPr>
                  </w:pPr>
                  <w:r>
                    <w:rPr>
                      <w:rFonts w:hint="eastAsia"/>
                      <w:bCs/>
                      <w:spacing w:val="-10"/>
                      <w:szCs w:val="21"/>
                    </w:rPr>
                    <w:t>0.104</w:t>
                  </w:r>
                </w:p>
              </w:tc>
              <w:tc>
                <w:tcPr>
                  <w:tcW w:w="302" w:type="pct"/>
                  <w:vMerge w:val="restart"/>
                  <w:shd w:val="clear" w:color="auto" w:fill="auto"/>
                  <w:vAlign w:val="center"/>
                </w:tcPr>
                <w:p w14:paraId="779E77CF">
                  <w:pPr>
                    <w:adjustRightInd w:val="0"/>
                    <w:snapToGrid w:val="0"/>
                    <w:jc w:val="center"/>
                    <w:rPr>
                      <w:bCs/>
                      <w:spacing w:val="-10"/>
                      <w:szCs w:val="21"/>
                    </w:rPr>
                  </w:pPr>
                  <w:r>
                    <w:rPr>
                      <w:rFonts w:hint="eastAsia"/>
                      <w:bCs/>
                      <w:spacing w:val="-10"/>
                      <w:szCs w:val="21"/>
                    </w:rPr>
                    <w:t>市政污水管网</w:t>
                  </w:r>
                </w:p>
              </w:tc>
              <w:tc>
                <w:tcPr>
                  <w:tcW w:w="476" w:type="pct"/>
                  <w:vMerge w:val="restart"/>
                  <w:shd w:val="clear" w:color="auto" w:fill="auto"/>
                  <w:vAlign w:val="center"/>
                </w:tcPr>
                <w:p w14:paraId="67AB9374">
                  <w:pPr>
                    <w:adjustRightInd w:val="0"/>
                    <w:snapToGrid w:val="0"/>
                    <w:jc w:val="center"/>
                    <w:rPr>
                      <w:bCs/>
                      <w:spacing w:val="-10"/>
                      <w:szCs w:val="21"/>
                    </w:rPr>
                  </w:pPr>
                  <w:r>
                    <w:rPr>
                      <w:rFonts w:hint="eastAsia"/>
                      <w:szCs w:val="21"/>
                    </w:rPr>
                    <w:t>白果镇污水处理厂</w:t>
                  </w:r>
                </w:p>
              </w:tc>
            </w:tr>
            <w:tr w14:paraId="1F1FFF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5B4B5E96">
                  <w:pPr>
                    <w:adjustRightInd w:val="0"/>
                    <w:snapToGrid w:val="0"/>
                    <w:jc w:val="center"/>
                    <w:rPr>
                      <w:bCs/>
                      <w:spacing w:val="-10"/>
                      <w:szCs w:val="21"/>
                    </w:rPr>
                  </w:pPr>
                </w:p>
              </w:tc>
              <w:tc>
                <w:tcPr>
                  <w:tcW w:w="453" w:type="pct"/>
                  <w:shd w:val="clear" w:color="auto" w:fill="auto"/>
                  <w:vAlign w:val="center"/>
                </w:tcPr>
                <w:p w14:paraId="3CD182B0">
                  <w:pPr>
                    <w:adjustRightInd w:val="0"/>
                    <w:snapToGrid w:val="0"/>
                    <w:jc w:val="center"/>
                    <w:rPr>
                      <w:bCs/>
                      <w:spacing w:val="-10"/>
                      <w:szCs w:val="21"/>
                    </w:rPr>
                  </w:pPr>
                  <w:r>
                    <w:rPr>
                      <w:bCs/>
                      <w:szCs w:val="21"/>
                    </w:rPr>
                    <w:t>BOD</w:t>
                  </w:r>
                  <w:r>
                    <w:rPr>
                      <w:bCs/>
                      <w:szCs w:val="21"/>
                      <w:vertAlign w:val="subscript"/>
                    </w:rPr>
                    <w:t>5</w:t>
                  </w:r>
                </w:p>
              </w:tc>
              <w:tc>
                <w:tcPr>
                  <w:tcW w:w="453" w:type="pct"/>
                  <w:vMerge w:val="continue"/>
                  <w:shd w:val="clear" w:color="auto" w:fill="auto"/>
                  <w:vAlign w:val="center"/>
                </w:tcPr>
                <w:p w14:paraId="7B702598">
                  <w:pPr>
                    <w:adjustRightInd w:val="0"/>
                    <w:snapToGrid w:val="0"/>
                    <w:jc w:val="center"/>
                    <w:rPr>
                      <w:bCs/>
                      <w:spacing w:val="-10"/>
                      <w:szCs w:val="21"/>
                    </w:rPr>
                  </w:pPr>
                </w:p>
              </w:tc>
              <w:tc>
                <w:tcPr>
                  <w:tcW w:w="377" w:type="pct"/>
                  <w:vAlign w:val="center"/>
                </w:tcPr>
                <w:p w14:paraId="5B6D8D67">
                  <w:pPr>
                    <w:adjustRightInd w:val="0"/>
                    <w:snapToGrid w:val="0"/>
                    <w:jc w:val="center"/>
                    <w:rPr>
                      <w:szCs w:val="21"/>
                    </w:rPr>
                  </w:pPr>
                  <w:r>
                    <w:rPr>
                      <w:rFonts w:hint="eastAsia"/>
                      <w:szCs w:val="21"/>
                    </w:rPr>
                    <w:t>250</w:t>
                  </w:r>
                </w:p>
              </w:tc>
              <w:tc>
                <w:tcPr>
                  <w:tcW w:w="378" w:type="pct"/>
                  <w:shd w:val="clear" w:color="auto" w:fill="auto"/>
                  <w:vAlign w:val="center"/>
                </w:tcPr>
                <w:p w14:paraId="3BAC8199">
                  <w:pPr>
                    <w:adjustRightInd w:val="0"/>
                    <w:snapToGrid w:val="0"/>
                    <w:jc w:val="center"/>
                    <w:rPr>
                      <w:bCs/>
                      <w:spacing w:val="-10"/>
                      <w:szCs w:val="21"/>
                    </w:rPr>
                  </w:pPr>
                  <w:r>
                    <w:rPr>
                      <w:rFonts w:hint="eastAsia"/>
                      <w:bCs/>
                      <w:spacing w:val="-10"/>
                      <w:szCs w:val="21"/>
                    </w:rPr>
                    <w:t>0.108</w:t>
                  </w:r>
                </w:p>
              </w:tc>
              <w:tc>
                <w:tcPr>
                  <w:tcW w:w="302" w:type="pct"/>
                  <w:vMerge w:val="continue"/>
                  <w:shd w:val="clear" w:color="auto" w:fill="auto"/>
                  <w:vAlign w:val="center"/>
                </w:tcPr>
                <w:p w14:paraId="05550009">
                  <w:pPr>
                    <w:adjustRightInd w:val="0"/>
                    <w:snapToGrid w:val="0"/>
                    <w:jc w:val="center"/>
                    <w:rPr>
                      <w:bCs/>
                      <w:spacing w:val="-10"/>
                      <w:szCs w:val="21"/>
                    </w:rPr>
                  </w:pPr>
                </w:p>
              </w:tc>
              <w:tc>
                <w:tcPr>
                  <w:tcW w:w="377" w:type="pct"/>
                  <w:vMerge w:val="continue"/>
                  <w:shd w:val="clear" w:color="auto" w:fill="auto"/>
                  <w:vAlign w:val="center"/>
                </w:tcPr>
                <w:p w14:paraId="03F9C3B4">
                  <w:pPr>
                    <w:adjustRightInd w:val="0"/>
                    <w:snapToGrid w:val="0"/>
                    <w:jc w:val="center"/>
                    <w:rPr>
                      <w:bCs/>
                      <w:spacing w:val="-10"/>
                      <w:szCs w:val="21"/>
                    </w:rPr>
                  </w:pPr>
                </w:p>
              </w:tc>
              <w:tc>
                <w:tcPr>
                  <w:tcW w:w="378" w:type="pct"/>
                  <w:vMerge w:val="continue"/>
                  <w:shd w:val="clear" w:color="auto" w:fill="auto"/>
                  <w:vAlign w:val="center"/>
                </w:tcPr>
                <w:p w14:paraId="10E11968">
                  <w:pPr>
                    <w:adjustRightInd w:val="0"/>
                    <w:snapToGrid w:val="0"/>
                    <w:jc w:val="center"/>
                    <w:rPr>
                      <w:bCs/>
                      <w:spacing w:val="-10"/>
                      <w:szCs w:val="21"/>
                    </w:rPr>
                  </w:pPr>
                </w:p>
              </w:tc>
              <w:tc>
                <w:tcPr>
                  <w:tcW w:w="378" w:type="pct"/>
                  <w:vMerge w:val="continue"/>
                  <w:shd w:val="clear" w:color="auto" w:fill="auto"/>
                  <w:vAlign w:val="center"/>
                </w:tcPr>
                <w:p w14:paraId="7AFE53EC">
                  <w:pPr>
                    <w:adjustRightInd w:val="0"/>
                    <w:snapToGrid w:val="0"/>
                    <w:jc w:val="center"/>
                    <w:rPr>
                      <w:bCs/>
                      <w:spacing w:val="-10"/>
                      <w:szCs w:val="21"/>
                    </w:rPr>
                  </w:pPr>
                </w:p>
              </w:tc>
              <w:tc>
                <w:tcPr>
                  <w:tcW w:w="378" w:type="pct"/>
                  <w:shd w:val="clear" w:color="auto" w:fill="auto"/>
                  <w:vAlign w:val="center"/>
                </w:tcPr>
                <w:p w14:paraId="276765F3">
                  <w:pPr>
                    <w:adjustRightInd w:val="0"/>
                    <w:snapToGrid w:val="0"/>
                    <w:jc w:val="center"/>
                    <w:rPr>
                      <w:szCs w:val="21"/>
                    </w:rPr>
                  </w:pPr>
                  <w:r>
                    <w:rPr>
                      <w:rFonts w:hint="eastAsia"/>
                      <w:szCs w:val="21"/>
                    </w:rPr>
                    <w:t>175</w:t>
                  </w:r>
                </w:p>
              </w:tc>
              <w:tc>
                <w:tcPr>
                  <w:tcW w:w="377" w:type="pct"/>
                  <w:shd w:val="clear" w:color="auto" w:fill="auto"/>
                  <w:vAlign w:val="center"/>
                </w:tcPr>
                <w:p w14:paraId="61F81FF9">
                  <w:pPr>
                    <w:adjustRightInd w:val="0"/>
                    <w:snapToGrid w:val="0"/>
                    <w:jc w:val="center"/>
                    <w:rPr>
                      <w:bCs/>
                      <w:spacing w:val="-10"/>
                      <w:szCs w:val="21"/>
                    </w:rPr>
                  </w:pPr>
                  <w:r>
                    <w:rPr>
                      <w:rFonts w:hint="eastAsia"/>
                      <w:bCs/>
                      <w:spacing w:val="-10"/>
                      <w:szCs w:val="21"/>
                    </w:rPr>
                    <w:t>0.076</w:t>
                  </w:r>
                </w:p>
              </w:tc>
              <w:tc>
                <w:tcPr>
                  <w:tcW w:w="302" w:type="pct"/>
                  <w:vMerge w:val="continue"/>
                  <w:shd w:val="clear" w:color="auto" w:fill="auto"/>
                  <w:vAlign w:val="center"/>
                </w:tcPr>
                <w:p w14:paraId="4AD55313">
                  <w:pPr>
                    <w:adjustRightInd w:val="0"/>
                    <w:snapToGrid w:val="0"/>
                    <w:jc w:val="center"/>
                    <w:rPr>
                      <w:bCs/>
                      <w:spacing w:val="-10"/>
                      <w:szCs w:val="21"/>
                    </w:rPr>
                  </w:pPr>
                </w:p>
              </w:tc>
              <w:tc>
                <w:tcPr>
                  <w:tcW w:w="476" w:type="pct"/>
                  <w:vMerge w:val="continue"/>
                  <w:shd w:val="clear" w:color="auto" w:fill="auto"/>
                  <w:vAlign w:val="center"/>
                </w:tcPr>
                <w:p w14:paraId="4AD6FFB7">
                  <w:pPr>
                    <w:adjustRightInd w:val="0"/>
                    <w:snapToGrid w:val="0"/>
                    <w:jc w:val="center"/>
                    <w:rPr>
                      <w:bCs/>
                      <w:spacing w:val="-10"/>
                      <w:szCs w:val="21"/>
                    </w:rPr>
                  </w:pPr>
                </w:p>
              </w:tc>
            </w:tr>
            <w:tr w14:paraId="01347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370" w:type="pct"/>
                  <w:vMerge w:val="continue"/>
                  <w:shd w:val="clear" w:color="auto" w:fill="auto"/>
                  <w:vAlign w:val="center"/>
                </w:tcPr>
                <w:p w14:paraId="3C75B89E">
                  <w:pPr>
                    <w:adjustRightInd w:val="0"/>
                    <w:snapToGrid w:val="0"/>
                    <w:jc w:val="center"/>
                    <w:rPr>
                      <w:bCs/>
                      <w:spacing w:val="-10"/>
                      <w:szCs w:val="21"/>
                    </w:rPr>
                  </w:pPr>
                </w:p>
              </w:tc>
              <w:tc>
                <w:tcPr>
                  <w:tcW w:w="453" w:type="pct"/>
                  <w:shd w:val="clear" w:color="auto" w:fill="auto"/>
                  <w:vAlign w:val="center"/>
                </w:tcPr>
                <w:p w14:paraId="539152BF">
                  <w:pPr>
                    <w:adjustRightInd w:val="0"/>
                    <w:snapToGrid w:val="0"/>
                    <w:jc w:val="center"/>
                    <w:rPr>
                      <w:bCs/>
                      <w:spacing w:val="-10"/>
                      <w:szCs w:val="21"/>
                    </w:rPr>
                  </w:pPr>
                  <w:r>
                    <w:rPr>
                      <w:bCs/>
                      <w:szCs w:val="21"/>
                    </w:rPr>
                    <w:t>NH</w:t>
                  </w:r>
                  <w:r>
                    <w:rPr>
                      <w:bCs/>
                      <w:szCs w:val="21"/>
                      <w:vertAlign w:val="subscript"/>
                    </w:rPr>
                    <w:t>3</w:t>
                  </w:r>
                  <w:r>
                    <w:rPr>
                      <w:bCs/>
                      <w:szCs w:val="21"/>
                    </w:rPr>
                    <w:t>-N</w:t>
                  </w:r>
                </w:p>
              </w:tc>
              <w:tc>
                <w:tcPr>
                  <w:tcW w:w="453" w:type="pct"/>
                  <w:vMerge w:val="continue"/>
                  <w:shd w:val="clear" w:color="auto" w:fill="auto"/>
                  <w:vAlign w:val="center"/>
                </w:tcPr>
                <w:p w14:paraId="14DDC26D">
                  <w:pPr>
                    <w:adjustRightInd w:val="0"/>
                    <w:snapToGrid w:val="0"/>
                    <w:jc w:val="center"/>
                    <w:rPr>
                      <w:bCs/>
                      <w:spacing w:val="-10"/>
                      <w:szCs w:val="21"/>
                    </w:rPr>
                  </w:pPr>
                </w:p>
              </w:tc>
              <w:tc>
                <w:tcPr>
                  <w:tcW w:w="377" w:type="pct"/>
                  <w:vAlign w:val="center"/>
                </w:tcPr>
                <w:p w14:paraId="721608DA">
                  <w:pPr>
                    <w:adjustRightInd w:val="0"/>
                    <w:snapToGrid w:val="0"/>
                    <w:jc w:val="center"/>
                    <w:rPr>
                      <w:szCs w:val="21"/>
                    </w:rPr>
                  </w:pPr>
                  <w:r>
                    <w:rPr>
                      <w:rFonts w:hint="eastAsia"/>
                      <w:szCs w:val="21"/>
                    </w:rPr>
                    <w:t>300</w:t>
                  </w:r>
                </w:p>
              </w:tc>
              <w:tc>
                <w:tcPr>
                  <w:tcW w:w="378" w:type="pct"/>
                  <w:shd w:val="clear" w:color="auto" w:fill="auto"/>
                  <w:vAlign w:val="center"/>
                </w:tcPr>
                <w:p w14:paraId="248B8057">
                  <w:pPr>
                    <w:adjustRightInd w:val="0"/>
                    <w:snapToGrid w:val="0"/>
                    <w:jc w:val="center"/>
                    <w:rPr>
                      <w:bCs/>
                      <w:spacing w:val="-10"/>
                      <w:szCs w:val="21"/>
                    </w:rPr>
                  </w:pPr>
                  <w:r>
                    <w:rPr>
                      <w:rFonts w:hint="eastAsia"/>
                      <w:bCs/>
                      <w:spacing w:val="-10"/>
                      <w:szCs w:val="21"/>
                    </w:rPr>
                    <w:t>0.130</w:t>
                  </w:r>
                </w:p>
              </w:tc>
              <w:tc>
                <w:tcPr>
                  <w:tcW w:w="302" w:type="pct"/>
                  <w:vMerge w:val="continue"/>
                  <w:shd w:val="clear" w:color="auto" w:fill="auto"/>
                  <w:vAlign w:val="center"/>
                </w:tcPr>
                <w:p w14:paraId="522B4716">
                  <w:pPr>
                    <w:adjustRightInd w:val="0"/>
                    <w:snapToGrid w:val="0"/>
                    <w:jc w:val="center"/>
                    <w:rPr>
                      <w:bCs/>
                      <w:spacing w:val="-10"/>
                      <w:szCs w:val="21"/>
                    </w:rPr>
                  </w:pPr>
                </w:p>
              </w:tc>
              <w:tc>
                <w:tcPr>
                  <w:tcW w:w="377" w:type="pct"/>
                  <w:vMerge w:val="continue"/>
                  <w:shd w:val="clear" w:color="auto" w:fill="auto"/>
                  <w:vAlign w:val="center"/>
                </w:tcPr>
                <w:p w14:paraId="7810D8F7">
                  <w:pPr>
                    <w:adjustRightInd w:val="0"/>
                    <w:snapToGrid w:val="0"/>
                    <w:jc w:val="center"/>
                    <w:rPr>
                      <w:bCs/>
                      <w:spacing w:val="-10"/>
                      <w:szCs w:val="21"/>
                    </w:rPr>
                  </w:pPr>
                </w:p>
              </w:tc>
              <w:tc>
                <w:tcPr>
                  <w:tcW w:w="378" w:type="pct"/>
                  <w:vMerge w:val="continue"/>
                  <w:shd w:val="clear" w:color="auto" w:fill="auto"/>
                  <w:vAlign w:val="center"/>
                </w:tcPr>
                <w:p w14:paraId="165D7B41">
                  <w:pPr>
                    <w:adjustRightInd w:val="0"/>
                    <w:snapToGrid w:val="0"/>
                    <w:jc w:val="center"/>
                    <w:rPr>
                      <w:bCs/>
                      <w:spacing w:val="-10"/>
                      <w:szCs w:val="21"/>
                    </w:rPr>
                  </w:pPr>
                </w:p>
              </w:tc>
              <w:tc>
                <w:tcPr>
                  <w:tcW w:w="378" w:type="pct"/>
                  <w:vMerge w:val="continue"/>
                  <w:shd w:val="clear" w:color="auto" w:fill="auto"/>
                  <w:vAlign w:val="center"/>
                </w:tcPr>
                <w:p w14:paraId="350FB59C">
                  <w:pPr>
                    <w:adjustRightInd w:val="0"/>
                    <w:snapToGrid w:val="0"/>
                    <w:jc w:val="center"/>
                    <w:rPr>
                      <w:bCs/>
                      <w:spacing w:val="-10"/>
                      <w:szCs w:val="21"/>
                    </w:rPr>
                  </w:pPr>
                </w:p>
              </w:tc>
              <w:tc>
                <w:tcPr>
                  <w:tcW w:w="378" w:type="pct"/>
                  <w:shd w:val="clear" w:color="auto" w:fill="auto"/>
                  <w:vAlign w:val="center"/>
                </w:tcPr>
                <w:p w14:paraId="491D6006">
                  <w:pPr>
                    <w:adjustRightInd w:val="0"/>
                    <w:snapToGrid w:val="0"/>
                    <w:jc w:val="center"/>
                    <w:rPr>
                      <w:szCs w:val="21"/>
                    </w:rPr>
                  </w:pPr>
                  <w:r>
                    <w:rPr>
                      <w:rFonts w:hint="eastAsia"/>
                      <w:szCs w:val="21"/>
                    </w:rPr>
                    <w:t>210</w:t>
                  </w:r>
                </w:p>
              </w:tc>
              <w:tc>
                <w:tcPr>
                  <w:tcW w:w="377" w:type="pct"/>
                  <w:shd w:val="clear" w:color="auto" w:fill="auto"/>
                  <w:vAlign w:val="center"/>
                </w:tcPr>
                <w:p w14:paraId="31F29933">
                  <w:pPr>
                    <w:adjustRightInd w:val="0"/>
                    <w:snapToGrid w:val="0"/>
                    <w:jc w:val="center"/>
                    <w:rPr>
                      <w:bCs/>
                      <w:spacing w:val="-10"/>
                      <w:szCs w:val="21"/>
                    </w:rPr>
                  </w:pPr>
                  <w:r>
                    <w:rPr>
                      <w:rFonts w:hint="eastAsia"/>
                      <w:bCs/>
                      <w:spacing w:val="-10"/>
                      <w:szCs w:val="21"/>
                    </w:rPr>
                    <w:t>0.091</w:t>
                  </w:r>
                </w:p>
              </w:tc>
              <w:tc>
                <w:tcPr>
                  <w:tcW w:w="302" w:type="pct"/>
                  <w:vMerge w:val="continue"/>
                  <w:shd w:val="clear" w:color="auto" w:fill="auto"/>
                  <w:vAlign w:val="center"/>
                </w:tcPr>
                <w:p w14:paraId="3C2DAE07">
                  <w:pPr>
                    <w:adjustRightInd w:val="0"/>
                    <w:snapToGrid w:val="0"/>
                    <w:jc w:val="center"/>
                    <w:rPr>
                      <w:bCs/>
                      <w:spacing w:val="-10"/>
                      <w:szCs w:val="21"/>
                    </w:rPr>
                  </w:pPr>
                </w:p>
              </w:tc>
              <w:tc>
                <w:tcPr>
                  <w:tcW w:w="476" w:type="pct"/>
                  <w:vMerge w:val="continue"/>
                  <w:shd w:val="clear" w:color="auto" w:fill="auto"/>
                  <w:vAlign w:val="center"/>
                </w:tcPr>
                <w:p w14:paraId="21CD5EBA">
                  <w:pPr>
                    <w:adjustRightInd w:val="0"/>
                    <w:snapToGrid w:val="0"/>
                    <w:jc w:val="center"/>
                    <w:rPr>
                      <w:bCs/>
                      <w:spacing w:val="-10"/>
                      <w:szCs w:val="21"/>
                    </w:rPr>
                  </w:pPr>
                </w:p>
              </w:tc>
            </w:tr>
            <w:tr w14:paraId="34533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70" w:type="pct"/>
                  <w:vMerge w:val="continue"/>
                  <w:shd w:val="clear" w:color="auto" w:fill="auto"/>
                  <w:vAlign w:val="center"/>
                </w:tcPr>
                <w:p w14:paraId="39184633">
                  <w:pPr>
                    <w:adjustRightInd w:val="0"/>
                    <w:snapToGrid w:val="0"/>
                    <w:jc w:val="center"/>
                    <w:rPr>
                      <w:bCs/>
                      <w:spacing w:val="-10"/>
                      <w:szCs w:val="21"/>
                    </w:rPr>
                  </w:pPr>
                </w:p>
              </w:tc>
              <w:tc>
                <w:tcPr>
                  <w:tcW w:w="453" w:type="pct"/>
                  <w:shd w:val="clear" w:color="auto" w:fill="auto"/>
                  <w:vAlign w:val="center"/>
                </w:tcPr>
                <w:p w14:paraId="0B0AADB8">
                  <w:pPr>
                    <w:adjustRightInd w:val="0"/>
                    <w:snapToGrid w:val="0"/>
                    <w:jc w:val="center"/>
                    <w:rPr>
                      <w:bCs/>
                      <w:spacing w:val="-10"/>
                      <w:szCs w:val="21"/>
                    </w:rPr>
                  </w:pPr>
                  <w:r>
                    <w:rPr>
                      <w:bCs/>
                      <w:szCs w:val="21"/>
                    </w:rPr>
                    <w:t>SS</w:t>
                  </w:r>
                </w:p>
              </w:tc>
              <w:tc>
                <w:tcPr>
                  <w:tcW w:w="453" w:type="pct"/>
                  <w:vMerge w:val="continue"/>
                  <w:shd w:val="clear" w:color="auto" w:fill="auto"/>
                  <w:vAlign w:val="center"/>
                </w:tcPr>
                <w:p w14:paraId="19B9EAC9">
                  <w:pPr>
                    <w:adjustRightInd w:val="0"/>
                    <w:snapToGrid w:val="0"/>
                    <w:jc w:val="center"/>
                    <w:rPr>
                      <w:bCs/>
                      <w:spacing w:val="-10"/>
                      <w:szCs w:val="21"/>
                    </w:rPr>
                  </w:pPr>
                </w:p>
              </w:tc>
              <w:tc>
                <w:tcPr>
                  <w:tcW w:w="377" w:type="pct"/>
                  <w:vAlign w:val="center"/>
                </w:tcPr>
                <w:p w14:paraId="290CEA72">
                  <w:pPr>
                    <w:adjustRightInd w:val="0"/>
                    <w:snapToGrid w:val="0"/>
                    <w:jc w:val="center"/>
                    <w:rPr>
                      <w:szCs w:val="21"/>
                    </w:rPr>
                  </w:pPr>
                  <w:r>
                    <w:rPr>
                      <w:rFonts w:hint="eastAsia"/>
                      <w:szCs w:val="21"/>
                    </w:rPr>
                    <w:t>30</w:t>
                  </w:r>
                </w:p>
              </w:tc>
              <w:tc>
                <w:tcPr>
                  <w:tcW w:w="378" w:type="pct"/>
                  <w:shd w:val="clear" w:color="auto" w:fill="auto"/>
                  <w:vAlign w:val="center"/>
                </w:tcPr>
                <w:p w14:paraId="3C04C0AD">
                  <w:pPr>
                    <w:adjustRightInd w:val="0"/>
                    <w:snapToGrid w:val="0"/>
                    <w:jc w:val="center"/>
                    <w:rPr>
                      <w:bCs/>
                      <w:spacing w:val="-10"/>
                      <w:szCs w:val="21"/>
                    </w:rPr>
                  </w:pPr>
                  <w:r>
                    <w:rPr>
                      <w:rFonts w:hint="eastAsia"/>
                      <w:bCs/>
                      <w:spacing w:val="-10"/>
                      <w:szCs w:val="21"/>
                    </w:rPr>
                    <w:t>0.013</w:t>
                  </w:r>
                </w:p>
              </w:tc>
              <w:tc>
                <w:tcPr>
                  <w:tcW w:w="302" w:type="pct"/>
                  <w:vMerge w:val="continue"/>
                  <w:shd w:val="clear" w:color="auto" w:fill="auto"/>
                  <w:vAlign w:val="center"/>
                </w:tcPr>
                <w:p w14:paraId="5709790E">
                  <w:pPr>
                    <w:adjustRightInd w:val="0"/>
                    <w:snapToGrid w:val="0"/>
                    <w:jc w:val="center"/>
                    <w:rPr>
                      <w:bCs/>
                      <w:spacing w:val="-10"/>
                      <w:szCs w:val="21"/>
                    </w:rPr>
                  </w:pPr>
                </w:p>
              </w:tc>
              <w:tc>
                <w:tcPr>
                  <w:tcW w:w="377" w:type="pct"/>
                  <w:vMerge w:val="continue"/>
                  <w:shd w:val="clear" w:color="auto" w:fill="auto"/>
                  <w:vAlign w:val="center"/>
                </w:tcPr>
                <w:p w14:paraId="16988B6A">
                  <w:pPr>
                    <w:adjustRightInd w:val="0"/>
                    <w:snapToGrid w:val="0"/>
                    <w:jc w:val="center"/>
                    <w:rPr>
                      <w:bCs/>
                      <w:spacing w:val="-10"/>
                      <w:szCs w:val="21"/>
                    </w:rPr>
                  </w:pPr>
                </w:p>
              </w:tc>
              <w:tc>
                <w:tcPr>
                  <w:tcW w:w="378" w:type="pct"/>
                  <w:vMerge w:val="continue"/>
                  <w:shd w:val="clear" w:color="auto" w:fill="auto"/>
                  <w:vAlign w:val="center"/>
                </w:tcPr>
                <w:p w14:paraId="5E2B4CC8">
                  <w:pPr>
                    <w:adjustRightInd w:val="0"/>
                    <w:snapToGrid w:val="0"/>
                    <w:jc w:val="center"/>
                    <w:rPr>
                      <w:bCs/>
                      <w:spacing w:val="-10"/>
                      <w:szCs w:val="21"/>
                    </w:rPr>
                  </w:pPr>
                </w:p>
              </w:tc>
              <w:tc>
                <w:tcPr>
                  <w:tcW w:w="378" w:type="pct"/>
                  <w:vMerge w:val="continue"/>
                  <w:shd w:val="clear" w:color="auto" w:fill="auto"/>
                  <w:vAlign w:val="center"/>
                </w:tcPr>
                <w:p w14:paraId="7A20DB5B">
                  <w:pPr>
                    <w:adjustRightInd w:val="0"/>
                    <w:snapToGrid w:val="0"/>
                    <w:jc w:val="center"/>
                    <w:rPr>
                      <w:bCs/>
                      <w:spacing w:val="-10"/>
                      <w:szCs w:val="21"/>
                    </w:rPr>
                  </w:pPr>
                </w:p>
              </w:tc>
              <w:tc>
                <w:tcPr>
                  <w:tcW w:w="378" w:type="pct"/>
                  <w:shd w:val="clear" w:color="auto" w:fill="auto"/>
                  <w:vAlign w:val="center"/>
                </w:tcPr>
                <w:p w14:paraId="7B33B259">
                  <w:pPr>
                    <w:adjustRightInd w:val="0"/>
                    <w:snapToGrid w:val="0"/>
                    <w:jc w:val="center"/>
                    <w:rPr>
                      <w:szCs w:val="21"/>
                    </w:rPr>
                  </w:pPr>
                  <w:r>
                    <w:rPr>
                      <w:rFonts w:hint="eastAsia"/>
                      <w:szCs w:val="21"/>
                    </w:rPr>
                    <w:t>25</w:t>
                  </w:r>
                </w:p>
              </w:tc>
              <w:tc>
                <w:tcPr>
                  <w:tcW w:w="377" w:type="pct"/>
                  <w:shd w:val="clear" w:color="auto" w:fill="auto"/>
                  <w:vAlign w:val="center"/>
                </w:tcPr>
                <w:p w14:paraId="789398C3">
                  <w:pPr>
                    <w:adjustRightInd w:val="0"/>
                    <w:snapToGrid w:val="0"/>
                    <w:jc w:val="center"/>
                    <w:rPr>
                      <w:bCs/>
                      <w:spacing w:val="-10"/>
                      <w:szCs w:val="21"/>
                    </w:rPr>
                  </w:pPr>
                  <w:r>
                    <w:rPr>
                      <w:rFonts w:hint="eastAsia"/>
                      <w:bCs/>
                      <w:spacing w:val="-10"/>
                      <w:szCs w:val="21"/>
                    </w:rPr>
                    <w:t>0.011</w:t>
                  </w:r>
                </w:p>
              </w:tc>
              <w:tc>
                <w:tcPr>
                  <w:tcW w:w="302" w:type="pct"/>
                  <w:vMerge w:val="continue"/>
                  <w:shd w:val="clear" w:color="auto" w:fill="auto"/>
                  <w:vAlign w:val="center"/>
                </w:tcPr>
                <w:p w14:paraId="5AE18867">
                  <w:pPr>
                    <w:adjustRightInd w:val="0"/>
                    <w:snapToGrid w:val="0"/>
                    <w:jc w:val="center"/>
                    <w:rPr>
                      <w:bCs/>
                      <w:spacing w:val="-10"/>
                      <w:szCs w:val="21"/>
                    </w:rPr>
                  </w:pPr>
                </w:p>
              </w:tc>
              <w:tc>
                <w:tcPr>
                  <w:tcW w:w="476" w:type="pct"/>
                  <w:vMerge w:val="continue"/>
                  <w:shd w:val="clear" w:color="auto" w:fill="auto"/>
                  <w:vAlign w:val="center"/>
                </w:tcPr>
                <w:p w14:paraId="4D749D36">
                  <w:pPr>
                    <w:adjustRightInd w:val="0"/>
                    <w:snapToGrid w:val="0"/>
                    <w:jc w:val="center"/>
                    <w:rPr>
                      <w:bCs/>
                      <w:spacing w:val="-10"/>
                      <w:szCs w:val="21"/>
                    </w:rPr>
                  </w:pPr>
                </w:p>
              </w:tc>
            </w:tr>
          </w:tbl>
          <w:p w14:paraId="5C269736">
            <w:pPr>
              <w:adjustRightInd w:val="0"/>
              <w:snapToGrid w:val="0"/>
              <w:spacing w:line="360" w:lineRule="auto"/>
              <w:ind w:firstLine="482" w:firstLineChars="200"/>
              <w:rPr>
                <w:b/>
                <w:sz w:val="24"/>
              </w:rPr>
            </w:pPr>
            <w:r>
              <w:rPr>
                <w:rFonts w:hint="eastAsia"/>
                <w:b/>
                <w:sz w:val="24"/>
              </w:rPr>
              <w:t>2、依托集中污水处理厂可行性分析</w:t>
            </w:r>
          </w:p>
          <w:p w14:paraId="4E69141F">
            <w:pPr>
              <w:adjustRightInd w:val="0"/>
              <w:snapToGrid w:val="0"/>
              <w:spacing w:line="360" w:lineRule="auto"/>
              <w:ind w:firstLine="480" w:firstLineChars="200"/>
              <w:rPr>
                <w:sz w:val="24"/>
              </w:rPr>
            </w:pPr>
            <w:r>
              <w:rPr>
                <w:rFonts w:hint="eastAsia"/>
                <w:sz w:val="24"/>
              </w:rPr>
              <w:t>（1）污水处理厂概况</w:t>
            </w:r>
          </w:p>
          <w:p w14:paraId="579625E7">
            <w:pPr>
              <w:adjustRightInd w:val="0"/>
              <w:snapToGrid w:val="0"/>
              <w:spacing w:line="360" w:lineRule="auto"/>
              <w:ind w:firstLine="480" w:firstLineChars="200"/>
              <w:rPr>
                <w:sz w:val="24"/>
              </w:rPr>
            </w:pPr>
            <w:bookmarkStart w:id="119" w:name="OLE_LINK114"/>
            <w:bookmarkStart w:id="120" w:name="OLE_LINK113"/>
            <w:r>
              <w:rPr>
                <w:rFonts w:hint="eastAsia"/>
                <w:sz w:val="24"/>
              </w:rPr>
              <w:t>白果镇污水处理厂</w:t>
            </w:r>
            <w:bookmarkEnd w:id="119"/>
            <w:bookmarkEnd w:id="120"/>
            <w:r>
              <w:rPr>
                <w:rFonts w:hint="eastAsia"/>
                <w:sz w:val="24"/>
              </w:rPr>
              <w:t>位于衡山县衡山县白果镇白果供电所西侧400m，项目占地约4834m</w:t>
            </w:r>
            <w:r>
              <w:rPr>
                <w:rFonts w:hint="eastAsia"/>
                <w:sz w:val="24"/>
                <w:vertAlign w:val="superscript"/>
              </w:rPr>
              <w:t>2</w:t>
            </w:r>
            <w:r>
              <w:rPr>
                <w:rFonts w:hint="eastAsia"/>
                <w:sz w:val="24"/>
              </w:rPr>
              <w:t>。近期排放规模为500m</w:t>
            </w:r>
            <w:r>
              <w:rPr>
                <w:rFonts w:hint="eastAsia"/>
                <w:sz w:val="24"/>
                <w:vertAlign w:val="superscript"/>
              </w:rPr>
              <w:t>3</w:t>
            </w:r>
            <w:r>
              <w:rPr>
                <w:rFonts w:hint="eastAsia"/>
                <w:sz w:val="24"/>
              </w:rPr>
              <w:t>/d</w:t>
            </w:r>
            <w:bookmarkStart w:id="121" w:name="OLE_LINK110"/>
            <w:bookmarkStart w:id="122" w:name="OLE_LINK109"/>
            <w:r>
              <w:rPr>
                <w:rFonts w:hint="eastAsia"/>
                <w:sz w:val="24"/>
              </w:rPr>
              <w:t>，</w:t>
            </w:r>
            <w:bookmarkEnd w:id="121"/>
            <w:bookmarkEnd w:id="122"/>
            <w:r>
              <w:rPr>
                <w:rFonts w:hint="eastAsia"/>
                <w:sz w:val="24"/>
              </w:rPr>
              <w:t>项目污水处理工艺为：“预处理+AAO 工艺+二沉池+紫外</w:t>
            </w:r>
            <w:r>
              <w:rPr>
                <w:rFonts w:hint="eastAsia"/>
                <w:sz w:val="24"/>
                <w:lang w:val="en-US" w:eastAsia="zh-CN"/>
              </w:rPr>
              <w:t>线</w:t>
            </w:r>
            <w:r>
              <w:rPr>
                <w:rFonts w:hint="eastAsia"/>
                <w:sz w:val="24"/>
              </w:rPr>
              <w:t>消毒”。项目排污口排放的尾水满足《城镇污水处理厂污染物排放标准》（GB18918-2002）表1中的一级标准的B标准限值要求后排入涓水，</w:t>
            </w:r>
            <w:r>
              <w:rPr>
                <w:rFonts w:hint="eastAsia" w:hAnsi="宋体"/>
                <w:bCs/>
                <w:kern w:val="0"/>
                <w:sz w:val="24"/>
              </w:rPr>
              <w:t>已于2020年正式运营</w:t>
            </w:r>
            <w:r>
              <w:rPr>
                <w:rFonts w:hint="eastAsia"/>
                <w:sz w:val="24"/>
              </w:rPr>
              <w:t>。</w:t>
            </w:r>
          </w:p>
          <w:p w14:paraId="5BA4B590">
            <w:pPr>
              <w:adjustRightInd w:val="0"/>
              <w:snapToGrid w:val="0"/>
              <w:spacing w:line="360" w:lineRule="auto"/>
              <w:ind w:firstLine="480" w:firstLineChars="200"/>
              <w:rPr>
                <w:sz w:val="24"/>
              </w:rPr>
            </w:pPr>
            <w:r>
              <w:rPr>
                <w:rFonts w:hint="eastAsia"/>
                <w:sz w:val="24"/>
              </w:rPr>
              <w:t>（2）接管可行性分析</w:t>
            </w:r>
          </w:p>
          <w:p w14:paraId="34FAD6CB">
            <w:pPr>
              <w:adjustRightInd w:val="0"/>
              <w:snapToGrid w:val="0"/>
              <w:spacing w:line="360" w:lineRule="auto"/>
              <w:ind w:firstLine="480" w:firstLineChars="200"/>
              <w:rPr>
                <w:sz w:val="24"/>
              </w:rPr>
            </w:pPr>
            <w:r>
              <w:rPr>
                <w:rFonts w:hint="eastAsia" w:ascii="宋体" w:hAnsi="宋体" w:cs="宋体"/>
                <w:sz w:val="24"/>
              </w:rPr>
              <w:t>①</w:t>
            </w:r>
            <w:r>
              <w:rPr>
                <w:rFonts w:hint="eastAsia"/>
                <w:sz w:val="24"/>
              </w:rPr>
              <w:t>水质方面</w:t>
            </w:r>
          </w:p>
          <w:p w14:paraId="0CA26CE5">
            <w:pPr>
              <w:adjustRightInd w:val="0"/>
              <w:snapToGrid w:val="0"/>
              <w:spacing w:line="360" w:lineRule="auto"/>
              <w:ind w:firstLine="480" w:firstLineChars="200"/>
              <w:rPr>
                <w:sz w:val="24"/>
              </w:rPr>
            </w:pPr>
            <w:r>
              <w:rPr>
                <w:rFonts w:hint="eastAsia"/>
                <w:sz w:val="24"/>
              </w:rPr>
              <w:t>本项目外排废水主要污染物为</w:t>
            </w:r>
            <w:r>
              <w:rPr>
                <w:sz w:val="24"/>
              </w:rPr>
              <w:t>COD</w:t>
            </w:r>
            <w:r>
              <w:rPr>
                <w:rFonts w:hint="eastAsia"/>
                <w:sz w:val="24"/>
              </w:rPr>
              <w:t>、</w:t>
            </w:r>
            <w:r>
              <w:rPr>
                <w:sz w:val="24"/>
              </w:rPr>
              <w:t>BOD</w:t>
            </w:r>
            <w:r>
              <w:rPr>
                <w:sz w:val="24"/>
                <w:vertAlign w:val="subscript"/>
              </w:rPr>
              <w:t>5</w:t>
            </w:r>
            <w:r>
              <w:rPr>
                <w:rFonts w:hint="eastAsia"/>
                <w:sz w:val="24"/>
              </w:rPr>
              <w:t>、氨氮、</w:t>
            </w:r>
            <w:r>
              <w:rPr>
                <w:sz w:val="24"/>
              </w:rPr>
              <w:t>SS</w:t>
            </w:r>
            <w:r>
              <w:rPr>
                <w:rFonts w:hint="eastAsia"/>
                <w:sz w:val="24"/>
              </w:rPr>
              <w:t>等，没有特殊的污染因子，因此本项目生活污水排入</w:t>
            </w:r>
            <w:bookmarkStart w:id="123" w:name="OLE_LINK116"/>
            <w:bookmarkStart w:id="124" w:name="OLE_LINK115"/>
            <w:r>
              <w:rPr>
                <w:rFonts w:hint="eastAsia"/>
                <w:sz w:val="24"/>
              </w:rPr>
              <w:t>白果镇污水处理厂</w:t>
            </w:r>
            <w:bookmarkEnd w:id="123"/>
            <w:bookmarkEnd w:id="124"/>
            <w:r>
              <w:rPr>
                <w:rFonts w:hint="eastAsia"/>
                <w:sz w:val="24"/>
              </w:rPr>
              <w:t>后不会对其水质造成冲击，从水质角度接管是可行的。</w:t>
            </w:r>
          </w:p>
          <w:p w14:paraId="132F19E2">
            <w:pPr>
              <w:autoSpaceDE w:val="0"/>
              <w:autoSpaceDN w:val="0"/>
              <w:adjustRightInd w:val="0"/>
              <w:spacing w:line="360" w:lineRule="auto"/>
              <w:ind w:firstLine="480" w:firstLineChars="200"/>
              <w:rPr>
                <w:rFonts w:hAnsi="宋体"/>
                <w:bCs/>
                <w:kern w:val="0"/>
                <w:sz w:val="24"/>
              </w:rPr>
            </w:pPr>
            <w:r>
              <w:rPr>
                <w:rFonts w:hint="eastAsia" w:hAnsi="宋体"/>
                <w:bCs/>
                <w:kern w:val="0"/>
                <w:sz w:val="24"/>
              </w:rPr>
              <w:t>②水量方面</w:t>
            </w:r>
          </w:p>
          <w:p w14:paraId="2A169809">
            <w:pPr>
              <w:autoSpaceDE w:val="0"/>
              <w:autoSpaceDN w:val="0"/>
              <w:adjustRightInd w:val="0"/>
              <w:spacing w:line="360" w:lineRule="auto"/>
              <w:ind w:firstLine="480" w:firstLineChars="200"/>
              <w:rPr>
                <w:rFonts w:hAnsi="宋体"/>
                <w:bCs/>
                <w:kern w:val="0"/>
                <w:sz w:val="24"/>
              </w:rPr>
            </w:pPr>
            <w:r>
              <w:rPr>
                <w:rFonts w:hint="eastAsia" w:hAnsi="宋体"/>
                <w:bCs/>
                <w:kern w:val="0"/>
                <w:sz w:val="24"/>
              </w:rPr>
              <w:t>本项目外排废水量为</w:t>
            </w:r>
            <w:r>
              <w:rPr>
                <w:rFonts w:hAnsi="宋体"/>
                <w:kern w:val="0"/>
                <w:sz w:val="24"/>
              </w:rPr>
              <w:t>1.</w:t>
            </w:r>
            <w:r>
              <w:rPr>
                <w:rFonts w:hint="eastAsia" w:hAnsi="宋体"/>
                <w:kern w:val="0"/>
                <w:sz w:val="24"/>
              </w:rPr>
              <w:t>44</w:t>
            </w:r>
            <w:r>
              <w:rPr>
                <w:rFonts w:hAnsi="宋体"/>
                <w:kern w:val="0"/>
                <w:sz w:val="24"/>
              </w:rPr>
              <w:t>m</w:t>
            </w:r>
            <w:r>
              <w:rPr>
                <w:rFonts w:hAnsi="宋体"/>
                <w:kern w:val="0"/>
                <w:sz w:val="24"/>
                <w:vertAlign w:val="superscript"/>
              </w:rPr>
              <w:t>3</w:t>
            </w:r>
            <w:r>
              <w:rPr>
                <w:rFonts w:hAnsi="宋体"/>
                <w:kern w:val="0"/>
                <w:sz w:val="24"/>
              </w:rPr>
              <w:t>/d</w:t>
            </w:r>
            <w:r>
              <w:rPr>
                <w:rFonts w:hint="eastAsia" w:hAnsi="宋体"/>
                <w:kern w:val="0"/>
                <w:sz w:val="24"/>
              </w:rPr>
              <w:t>，</w:t>
            </w:r>
            <w:r>
              <w:rPr>
                <w:rFonts w:hint="eastAsia" w:hAnsi="宋体"/>
                <w:bCs/>
                <w:kern w:val="0"/>
                <w:sz w:val="24"/>
              </w:rPr>
              <w:t>仅</w:t>
            </w:r>
            <w:r>
              <w:rPr>
                <w:rFonts w:hint="eastAsia" w:hAnsi="宋体"/>
                <w:kern w:val="0"/>
                <w:sz w:val="24"/>
              </w:rPr>
              <w:t>占污水处理厂日处理量的</w:t>
            </w:r>
            <w:r>
              <w:rPr>
                <w:rFonts w:hAnsi="宋体"/>
                <w:kern w:val="0"/>
                <w:sz w:val="24"/>
              </w:rPr>
              <w:t>0.</w:t>
            </w:r>
            <w:r>
              <w:rPr>
                <w:rFonts w:hint="eastAsia" w:hAnsi="宋体"/>
                <w:kern w:val="0"/>
                <w:sz w:val="24"/>
              </w:rPr>
              <w:t>288</w:t>
            </w:r>
            <w:r>
              <w:rPr>
                <w:rFonts w:hAnsi="宋体"/>
                <w:kern w:val="0"/>
                <w:sz w:val="24"/>
              </w:rPr>
              <w:t>%</w:t>
            </w:r>
            <w:r>
              <w:rPr>
                <w:rFonts w:hint="eastAsia" w:hAnsi="宋体"/>
                <w:kern w:val="0"/>
                <w:sz w:val="24"/>
              </w:rPr>
              <w:t>，</w:t>
            </w:r>
            <w:r>
              <w:rPr>
                <w:rFonts w:hint="eastAsia"/>
                <w:sz w:val="24"/>
              </w:rPr>
              <w:t>排放水量相对于污水处理厂接管能力来说很小，不会对其水量造成冲击</w:t>
            </w:r>
            <w:r>
              <w:rPr>
                <w:rFonts w:hint="eastAsia" w:hAnsi="宋体"/>
                <w:kern w:val="0"/>
                <w:sz w:val="24"/>
              </w:rPr>
              <w:t>，且污水厂现有剩余处理能力能够接纳本项目污水量</w:t>
            </w:r>
            <w:r>
              <w:rPr>
                <w:rFonts w:hint="eastAsia"/>
                <w:sz w:val="24"/>
              </w:rPr>
              <w:t>，从水量角度接管是可行的。</w:t>
            </w:r>
          </w:p>
          <w:p w14:paraId="07BC557D">
            <w:pPr>
              <w:autoSpaceDE w:val="0"/>
              <w:autoSpaceDN w:val="0"/>
              <w:adjustRightInd w:val="0"/>
              <w:spacing w:line="360" w:lineRule="auto"/>
              <w:ind w:firstLine="480" w:firstLineChars="200"/>
              <w:rPr>
                <w:rFonts w:hAnsi="宋体"/>
                <w:bCs/>
                <w:kern w:val="0"/>
                <w:sz w:val="24"/>
              </w:rPr>
            </w:pPr>
            <w:r>
              <w:rPr>
                <w:rFonts w:hint="eastAsia" w:hAnsi="宋体"/>
                <w:bCs/>
                <w:kern w:val="0"/>
                <w:sz w:val="24"/>
              </w:rPr>
              <w:t>③</w:t>
            </w:r>
            <w:r>
              <w:rPr>
                <w:rFonts w:hint="eastAsia"/>
                <w:sz w:val="24"/>
              </w:rPr>
              <w:t>纳管范围</w:t>
            </w:r>
          </w:p>
          <w:p w14:paraId="7E87FB2E">
            <w:pPr>
              <w:autoSpaceDE w:val="0"/>
              <w:autoSpaceDN w:val="0"/>
              <w:adjustRightInd w:val="0"/>
              <w:spacing w:line="360" w:lineRule="auto"/>
              <w:ind w:firstLine="480" w:firstLineChars="200"/>
              <w:rPr>
                <w:rFonts w:hAnsi="宋体"/>
                <w:kern w:val="0"/>
                <w:sz w:val="24"/>
              </w:rPr>
            </w:pPr>
            <w:bookmarkStart w:id="125" w:name="OLE_LINK120"/>
            <w:bookmarkStart w:id="126" w:name="OLE_LINK119"/>
            <w:r>
              <w:rPr>
                <w:rFonts w:hint="eastAsia"/>
                <w:sz w:val="24"/>
              </w:rPr>
              <w:t>白果镇污水处理厂</w:t>
            </w:r>
            <w:bookmarkEnd w:id="125"/>
            <w:bookmarkEnd w:id="126"/>
            <w:r>
              <w:rPr>
                <w:rFonts w:hint="eastAsia" w:hAnsi="宋体"/>
                <w:bCs/>
                <w:kern w:val="0"/>
                <w:sz w:val="24"/>
              </w:rPr>
              <w:t>服务范围为白果镇规划区，</w:t>
            </w:r>
            <w:r>
              <w:rPr>
                <w:rFonts w:hint="eastAsia"/>
                <w:sz w:val="24"/>
              </w:rPr>
              <w:t>本项目位于白</w:t>
            </w:r>
            <w:r>
              <w:rPr>
                <w:rFonts w:hint="eastAsia"/>
                <w:sz w:val="24"/>
                <w:szCs w:val="28"/>
              </w:rPr>
              <w:t>果镇岳北村</w:t>
            </w:r>
            <w:r>
              <w:rPr>
                <w:rFonts w:hint="eastAsia"/>
                <w:sz w:val="24"/>
              </w:rPr>
              <w:t>，在白果镇污水处理厂污水管网规划范围内，根据现场调查。项目周边污水管网已铺设完成，因此废水能够通过市政污水管网进入白果镇污水处理厂</w:t>
            </w:r>
            <w:r>
              <w:rPr>
                <w:rFonts w:hint="eastAsia" w:hAnsi="宋体"/>
                <w:bCs/>
                <w:kern w:val="0"/>
                <w:sz w:val="24"/>
              </w:rPr>
              <w:t>。</w:t>
            </w:r>
          </w:p>
          <w:p w14:paraId="1693922A">
            <w:pPr>
              <w:adjustRightInd w:val="0"/>
              <w:snapToGrid w:val="0"/>
              <w:spacing w:line="360" w:lineRule="auto"/>
              <w:ind w:firstLine="480" w:firstLineChars="200"/>
              <w:rPr>
                <w:sz w:val="24"/>
              </w:rPr>
            </w:pPr>
            <w:r>
              <w:rPr>
                <w:rFonts w:hint="eastAsia" w:hAnsi="宋体"/>
                <w:bCs/>
                <w:kern w:val="0"/>
                <w:sz w:val="24"/>
              </w:rPr>
              <w:t>综上所述，</w:t>
            </w:r>
            <w:r>
              <w:rPr>
                <w:rFonts w:hint="eastAsia"/>
                <w:sz w:val="24"/>
              </w:rPr>
              <w:t>本项目废水外排去向可行。项目废水量很小，进入白果镇污水处理厂深度处理达标后，对地表水体不会造成不利影响</w:t>
            </w:r>
            <w:r>
              <w:rPr>
                <w:sz w:val="24"/>
              </w:rPr>
              <w:t>。</w:t>
            </w:r>
          </w:p>
          <w:p w14:paraId="08DB81F1">
            <w:pPr>
              <w:tabs>
                <w:tab w:val="left" w:pos="8580"/>
              </w:tabs>
              <w:adjustRightInd w:val="0"/>
              <w:snapToGrid w:val="0"/>
              <w:spacing w:line="360" w:lineRule="auto"/>
              <w:ind w:firstLine="482" w:firstLineChars="200"/>
              <w:rPr>
                <w:b/>
                <w:bCs/>
                <w:sz w:val="24"/>
              </w:rPr>
            </w:pPr>
            <w:r>
              <w:rPr>
                <w:rFonts w:hint="eastAsia"/>
                <w:b/>
                <w:sz w:val="24"/>
              </w:rPr>
              <w:t>3、</w:t>
            </w:r>
            <w:r>
              <w:rPr>
                <w:rFonts w:hint="eastAsia"/>
                <w:b/>
                <w:bCs/>
                <w:sz w:val="24"/>
              </w:rPr>
              <w:t>排放口情况</w:t>
            </w:r>
          </w:p>
          <w:p w14:paraId="10C8ABBE">
            <w:pPr>
              <w:spacing w:before="120" w:beforeLines="50"/>
              <w:jc w:val="center"/>
              <w:rPr>
                <w:b/>
                <w:bCs/>
                <w:szCs w:val="21"/>
              </w:rPr>
            </w:pPr>
            <w:r>
              <w:rPr>
                <w:rFonts w:hint="eastAsia"/>
                <w:b/>
                <w:bCs/>
                <w:szCs w:val="21"/>
              </w:rPr>
              <w:t>表</w:t>
            </w:r>
            <w:r>
              <w:rPr>
                <w:b/>
                <w:bCs/>
                <w:szCs w:val="21"/>
              </w:rPr>
              <w:t>4-</w:t>
            </w:r>
            <w:r>
              <w:rPr>
                <w:rFonts w:hint="eastAsia"/>
                <w:b/>
                <w:bCs/>
                <w:szCs w:val="21"/>
              </w:rPr>
              <w:t>11</w:t>
            </w:r>
            <w:r>
              <w:rPr>
                <w:b/>
                <w:bCs/>
                <w:szCs w:val="21"/>
              </w:rPr>
              <w:t xml:space="preserve">  </w:t>
            </w:r>
            <w:r>
              <w:rPr>
                <w:rFonts w:hint="eastAsia"/>
                <w:b/>
                <w:bCs/>
                <w:szCs w:val="21"/>
              </w:rPr>
              <w:t>废水类别、污染物及污染治理设施信息表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8"/>
              <w:gridCol w:w="1275"/>
              <w:gridCol w:w="1919"/>
              <w:gridCol w:w="1341"/>
              <w:gridCol w:w="1341"/>
              <w:gridCol w:w="1341"/>
              <w:gridCol w:w="1333"/>
            </w:tblGrid>
            <w:tr w14:paraId="584F6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top w:val="single" w:color="auto" w:sz="12" w:space="0"/>
                    <w:left w:val="single" w:color="auto" w:sz="12" w:space="0"/>
                    <w:bottom w:val="single" w:color="auto" w:sz="6" w:space="0"/>
                    <w:right w:val="single" w:color="auto" w:sz="6" w:space="0"/>
                  </w:tcBorders>
                  <w:vAlign w:val="center"/>
                </w:tcPr>
                <w:p w14:paraId="7298C19C">
                  <w:pPr>
                    <w:adjustRightInd w:val="0"/>
                    <w:snapToGrid w:val="0"/>
                    <w:jc w:val="center"/>
                    <w:rPr>
                      <w:b/>
                      <w:bCs/>
                      <w:szCs w:val="21"/>
                    </w:rPr>
                  </w:pPr>
                  <w:r>
                    <w:rPr>
                      <w:rFonts w:hint="eastAsia"/>
                      <w:b/>
                      <w:bCs/>
                      <w:szCs w:val="21"/>
                    </w:rPr>
                    <w:t>废水类别</w:t>
                  </w:r>
                </w:p>
              </w:tc>
              <w:tc>
                <w:tcPr>
                  <w:tcW w:w="679" w:type="pct"/>
                  <w:tcBorders>
                    <w:top w:val="single" w:color="auto" w:sz="12" w:space="0"/>
                    <w:left w:val="single" w:color="auto" w:sz="6" w:space="0"/>
                    <w:bottom w:val="single" w:color="auto" w:sz="6" w:space="0"/>
                    <w:right w:val="single" w:color="auto" w:sz="6" w:space="0"/>
                  </w:tcBorders>
                  <w:vAlign w:val="center"/>
                </w:tcPr>
                <w:p w14:paraId="1C9CDD7B">
                  <w:pPr>
                    <w:adjustRightInd w:val="0"/>
                    <w:snapToGrid w:val="0"/>
                    <w:jc w:val="center"/>
                    <w:rPr>
                      <w:b/>
                      <w:bCs/>
                      <w:szCs w:val="21"/>
                    </w:rPr>
                  </w:pPr>
                  <w:r>
                    <w:rPr>
                      <w:rFonts w:hint="eastAsia"/>
                      <w:b/>
                      <w:bCs/>
                      <w:szCs w:val="21"/>
                    </w:rPr>
                    <w:t>污染物种类</w:t>
                  </w:r>
                </w:p>
              </w:tc>
              <w:tc>
                <w:tcPr>
                  <w:tcW w:w="1022" w:type="pct"/>
                  <w:tcBorders>
                    <w:top w:val="single" w:color="auto" w:sz="12" w:space="0"/>
                    <w:left w:val="single" w:color="auto" w:sz="6" w:space="0"/>
                    <w:bottom w:val="single" w:color="auto" w:sz="6" w:space="0"/>
                    <w:right w:val="single" w:color="auto" w:sz="6" w:space="0"/>
                  </w:tcBorders>
                  <w:vAlign w:val="center"/>
                </w:tcPr>
                <w:p w14:paraId="26F67687">
                  <w:pPr>
                    <w:adjustRightInd w:val="0"/>
                    <w:snapToGrid w:val="0"/>
                    <w:jc w:val="center"/>
                    <w:rPr>
                      <w:b/>
                      <w:bCs/>
                      <w:szCs w:val="21"/>
                    </w:rPr>
                  </w:pPr>
                  <w:r>
                    <w:rPr>
                      <w:rFonts w:hint="eastAsia"/>
                      <w:b/>
                      <w:bCs/>
                      <w:szCs w:val="21"/>
                    </w:rPr>
                    <w:t>排放规律</w:t>
                  </w:r>
                </w:p>
              </w:tc>
              <w:tc>
                <w:tcPr>
                  <w:tcW w:w="714" w:type="pct"/>
                  <w:tcBorders>
                    <w:top w:val="single" w:color="auto" w:sz="12" w:space="0"/>
                    <w:left w:val="single" w:color="auto" w:sz="6" w:space="0"/>
                    <w:bottom w:val="single" w:color="auto" w:sz="6" w:space="0"/>
                    <w:right w:val="single" w:color="auto" w:sz="6" w:space="0"/>
                  </w:tcBorders>
                  <w:vAlign w:val="center"/>
                </w:tcPr>
                <w:p w14:paraId="5890322F">
                  <w:pPr>
                    <w:adjustRightInd w:val="0"/>
                    <w:snapToGrid w:val="0"/>
                    <w:jc w:val="center"/>
                    <w:rPr>
                      <w:b/>
                      <w:bCs/>
                      <w:szCs w:val="21"/>
                    </w:rPr>
                  </w:pPr>
                  <w:r>
                    <w:rPr>
                      <w:rFonts w:hint="eastAsia"/>
                      <w:b/>
                      <w:bCs/>
                      <w:szCs w:val="21"/>
                    </w:rPr>
                    <w:t>污染治理设施</w:t>
                  </w:r>
                </w:p>
              </w:tc>
              <w:tc>
                <w:tcPr>
                  <w:tcW w:w="714" w:type="pct"/>
                  <w:tcBorders>
                    <w:top w:val="single" w:color="auto" w:sz="12" w:space="0"/>
                    <w:left w:val="single" w:color="auto" w:sz="6" w:space="0"/>
                    <w:bottom w:val="single" w:color="auto" w:sz="6" w:space="0"/>
                    <w:right w:val="single" w:color="auto" w:sz="6" w:space="0"/>
                  </w:tcBorders>
                  <w:vAlign w:val="center"/>
                </w:tcPr>
                <w:p w14:paraId="0E5DCEDC">
                  <w:pPr>
                    <w:adjustRightInd w:val="0"/>
                    <w:snapToGrid w:val="0"/>
                    <w:jc w:val="center"/>
                    <w:rPr>
                      <w:b/>
                      <w:bCs/>
                      <w:szCs w:val="21"/>
                    </w:rPr>
                  </w:pPr>
                  <w:r>
                    <w:rPr>
                      <w:rFonts w:hint="eastAsia"/>
                      <w:b/>
                      <w:bCs/>
                      <w:szCs w:val="21"/>
                    </w:rPr>
                    <w:t>排放口编号</w:t>
                  </w:r>
                </w:p>
              </w:tc>
              <w:tc>
                <w:tcPr>
                  <w:tcW w:w="714" w:type="pct"/>
                  <w:tcBorders>
                    <w:top w:val="single" w:color="auto" w:sz="12" w:space="0"/>
                    <w:left w:val="single" w:color="auto" w:sz="6" w:space="0"/>
                    <w:bottom w:val="single" w:color="auto" w:sz="6" w:space="0"/>
                    <w:right w:val="single" w:color="auto" w:sz="6" w:space="0"/>
                  </w:tcBorders>
                  <w:vAlign w:val="center"/>
                </w:tcPr>
                <w:p w14:paraId="2C784710">
                  <w:pPr>
                    <w:adjustRightInd w:val="0"/>
                    <w:snapToGrid w:val="0"/>
                    <w:jc w:val="center"/>
                    <w:rPr>
                      <w:b/>
                      <w:bCs/>
                      <w:szCs w:val="21"/>
                    </w:rPr>
                  </w:pPr>
                  <w:r>
                    <w:rPr>
                      <w:rFonts w:hint="eastAsia"/>
                      <w:b/>
                      <w:bCs/>
                      <w:szCs w:val="21"/>
                    </w:rPr>
                    <w:t>排放口是否符合要求</w:t>
                  </w:r>
                </w:p>
              </w:tc>
              <w:tc>
                <w:tcPr>
                  <w:tcW w:w="710" w:type="pct"/>
                  <w:tcBorders>
                    <w:top w:val="single" w:color="auto" w:sz="12" w:space="0"/>
                    <w:left w:val="single" w:color="auto" w:sz="6" w:space="0"/>
                    <w:bottom w:val="single" w:color="auto" w:sz="6" w:space="0"/>
                    <w:right w:val="single" w:color="auto" w:sz="12" w:space="0"/>
                  </w:tcBorders>
                  <w:vAlign w:val="center"/>
                </w:tcPr>
                <w:p w14:paraId="4FC246EF">
                  <w:pPr>
                    <w:adjustRightInd w:val="0"/>
                    <w:snapToGrid w:val="0"/>
                    <w:jc w:val="center"/>
                    <w:rPr>
                      <w:b/>
                      <w:bCs/>
                      <w:szCs w:val="21"/>
                    </w:rPr>
                  </w:pPr>
                  <w:r>
                    <w:rPr>
                      <w:rFonts w:hint="eastAsia"/>
                      <w:b/>
                      <w:bCs/>
                      <w:szCs w:val="21"/>
                    </w:rPr>
                    <w:t>排放口类型</w:t>
                  </w:r>
                </w:p>
              </w:tc>
            </w:tr>
            <w:tr w14:paraId="27870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6" w:type="pct"/>
                  <w:tcBorders>
                    <w:top w:val="single" w:color="auto" w:sz="6" w:space="0"/>
                    <w:left w:val="single" w:color="auto" w:sz="12" w:space="0"/>
                    <w:bottom w:val="single" w:color="auto" w:sz="12" w:space="0"/>
                    <w:right w:val="single" w:color="auto" w:sz="6" w:space="0"/>
                  </w:tcBorders>
                  <w:vAlign w:val="center"/>
                </w:tcPr>
                <w:p w14:paraId="3C27543E">
                  <w:pPr>
                    <w:adjustRightInd w:val="0"/>
                    <w:snapToGrid w:val="0"/>
                    <w:jc w:val="center"/>
                    <w:rPr>
                      <w:szCs w:val="21"/>
                    </w:rPr>
                  </w:pPr>
                  <w:r>
                    <w:rPr>
                      <w:rFonts w:hint="eastAsia"/>
                      <w:szCs w:val="21"/>
                    </w:rPr>
                    <w:t>生活污水</w:t>
                  </w:r>
                </w:p>
              </w:tc>
              <w:tc>
                <w:tcPr>
                  <w:tcW w:w="679" w:type="pct"/>
                  <w:tcBorders>
                    <w:top w:val="single" w:color="auto" w:sz="6" w:space="0"/>
                    <w:left w:val="single" w:color="auto" w:sz="6" w:space="0"/>
                    <w:bottom w:val="single" w:color="auto" w:sz="12" w:space="0"/>
                    <w:right w:val="single" w:color="auto" w:sz="6" w:space="0"/>
                  </w:tcBorders>
                  <w:vAlign w:val="center"/>
                </w:tcPr>
                <w:p w14:paraId="403699B7">
                  <w:pPr>
                    <w:adjustRightInd w:val="0"/>
                    <w:snapToGrid w:val="0"/>
                    <w:jc w:val="center"/>
                    <w:rPr>
                      <w:szCs w:val="21"/>
                    </w:rPr>
                  </w:pPr>
                  <w:r>
                    <w:rPr>
                      <w:szCs w:val="21"/>
                    </w:rPr>
                    <w:t>COD</w:t>
                  </w:r>
                </w:p>
                <w:p w14:paraId="165CA40C">
                  <w:pPr>
                    <w:adjustRightInd w:val="0"/>
                    <w:snapToGrid w:val="0"/>
                    <w:jc w:val="center"/>
                    <w:rPr>
                      <w:szCs w:val="21"/>
                    </w:rPr>
                  </w:pPr>
                  <w:r>
                    <w:rPr>
                      <w:szCs w:val="21"/>
                    </w:rPr>
                    <w:t>BOD</w:t>
                  </w:r>
                  <w:r>
                    <w:rPr>
                      <w:szCs w:val="21"/>
                      <w:vertAlign w:val="subscript"/>
                    </w:rPr>
                    <w:t>5</w:t>
                  </w:r>
                </w:p>
                <w:p w14:paraId="6B11F2B1">
                  <w:pPr>
                    <w:adjustRightInd w:val="0"/>
                    <w:snapToGrid w:val="0"/>
                    <w:jc w:val="center"/>
                    <w:rPr>
                      <w:szCs w:val="21"/>
                    </w:rPr>
                  </w:pPr>
                  <w:r>
                    <w:rPr>
                      <w:szCs w:val="21"/>
                    </w:rPr>
                    <w:t>NH</w:t>
                  </w:r>
                  <w:r>
                    <w:rPr>
                      <w:szCs w:val="21"/>
                      <w:vertAlign w:val="subscript"/>
                    </w:rPr>
                    <w:t>3</w:t>
                  </w:r>
                  <w:r>
                    <w:rPr>
                      <w:szCs w:val="21"/>
                    </w:rPr>
                    <w:t>-N</w:t>
                  </w:r>
                </w:p>
                <w:p w14:paraId="3C0691B8">
                  <w:pPr>
                    <w:adjustRightInd w:val="0"/>
                    <w:snapToGrid w:val="0"/>
                    <w:jc w:val="center"/>
                    <w:rPr>
                      <w:szCs w:val="21"/>
                    </w:rPr>
                  </w:pPr>
                  <w:r>
                    <w:rPr>
                      <w:szCs w:val="21"/>
                    </w:rPr>
                    <w:t>SS</w:t>
                  </w:r>
                </w:p>
              </w:tc>
              <w:tc>
                <w:tcPr>
                  <w:tcW w:w="1022" w:type="pct"/>
                  <w:tcBorders>
                    <w:top w:val="single" w:color="auto" w:sz="6" w:space="0"/>
                    <w:left w:val="single" w:color="auto" w:sz="6" w:space="0"/>
                    <w:bottom w:val="single" w:color="auto" w:sz="12" w:space="0"/>
                    <w:right w:val="single" w:color="auto" w:sz="6" w:space="0"/>
                  </w:tcBorders>
                  <w:vAlign w:val="center"/>
                </w:tcPr>
                <w:p w14:paraId="0EF64C16">
                  <w:pPr>
                    <w:adjustRightInd w:val="0"/>
                    <w:snapToGrid w:val="0"/>
                    <w:jc w:val="center"/>
                    <w:rPr>
                      <w:szCs w:val="21"/>
                    </w:rPr>
                  </w:pPr>
                  <w:r>
                    <w:rPr>
                      <w:rFonts w:hint="eastAsia"/>
                      <w:szCs w:val="21"/>
                    </w:rPr>
                    <w:t>间断排放，排放期间流量不稳定且无规律，但不属于冲击型排放</w:t>
                  </w:r>
                </w:p>
              </w:tc>
              <w:tc>
                <w:tcPr>
                  <w:tcW w:w="714" w:type="pct"/>
                  <w:tcBorders>
                    <w:top w:val="single" w:color="auto" w:sz="6" w:space="0"/>
                    <w:left w:val="single" w:color="auto" w:sz="6" w:space="0"/>
                    <w:bottom w:val="single" w:color="auto" w:sz="12" w:space="0"/>
                    <w:right w:val="single" w:color="auto" w:sz="6" w:space="0"/>
                  </w:tcBorders>
                  <w:vAlign w:val="center"/>
                </w:tcPr>
                <w:p w14:paraId="171BD752">
                  <w:pPr>
                    <w:adjustRightInd w:val="0"/>
                    <w:snapToGrid w:val="0"/>
                    <w:jc w:val="center"/>
                    <w:rPr>
                      <w:szCs w:val="21"/>
                    </w:rPr>
                  </w:pPr>
                  <w:r>
                    <w:rPr>
                      <w:rFonts w:hint="eastAsia"/>
                      <w:szCs w:val="21"/>
                    </w:rPr>
                    <w:t>化粪池</w:t>
                  </w:r>
                </w:p>
              </w:tc>
              <w:tc>
                <w:tcPr>
                  <w:tcW w:w="714" w:type="pct"/>
                  <w:tcBorders>
                    <w:top w:val="single" w:color="auto" w:sz="6" w:space="0"/>
                    <w:left w:val="single" w:color="auto" w:sz="6" w:space="0"/>
                    <w:bottom w:val="single" w:color="auto" w:sz="12" w:space="0"/>
                    <w:right w:val="single" w:color="auto" w:sz="6" w:space="0"/>
                  </w:tcBorders>
                  <w:vAlign w:val="center"/>
                </w:tcPr>
                <w:p w14:paraId="12436EE6">
                  <w:pPr>
                    <w:adjustRightInd w:val="0"/>
                    <w:snapToGrid w:val="0"/>
                    <w:jc w:val="center"/>
                    <w:rPr>
                      <w:szCs w:val="21"/>
                    </w:rPr>
                  </w:pPr>
                  <w:r>
                    <w:rPr>
                      <w:szCs w:val="21"/>
                    </w:rPr>
                    <w:t>DW001</w:t>
                  </w:r>
                </w:p>
              </w:tc>
              <w:tc>
                <w:tcPr>
                  <w:tcW w:w="714" w:type="pct"/>
                  <w:tcBorders>
                    <w:top w:val="single" w:color="auto" w:sz="6" w:space="0"/>
                    <w:left w:val="single" w:color="auto" w:sz="6" w:space="0"/>
                    <w:bottom w:val="single" w:color="auto" w:sz="12" w:space="0"/>
                    <w:right w:val="single" w:color="auto" w:sz="6" w:space="0"/>
                  </w:tcBorders>
                  <w:vAlign w:val="center"/>
                </w:tcPr>
                <w:p w14:paraId="12CCB010">
                  <w:pPr>
                    <w:adjustRightInd w:val="0"/>
                    <w:snapToGrid w:val="0"/>
                    <w:jc w:val="center"/>
                    <w:rPr>
                      <w:szCs w:val="21"/>
                    </w:rPr>
                  </w:pPr>
                  <w:r>
                    <w:rPr>
                      <w:rFonts w:hint="eastAsia"/>
                      <w:szCs w:val="21"/>
                    </w:rPr>
                    <w:t>是</w:t>
                  </w:r>
                </w:p>
              </w:tc>
              <w:tc>
                <w:tcPr>
                  <w:tcW w:w="710" w:type="pct"/>
                  <w:tcBorders>
                    <w:top w:val="single" w:color="auto" w:sz="6" w:space="0"/>
                    <w:left w:val="single" w:color="auto" w:sz="6" w:space="0"/>
                    <w:bottom w:val="single" w:color="auto" w:sz="12" w:space="0"/>
                    <w:right w:val="single" w:color="auto" w:sz="12" w:space="0"/>
                  </w:tcBorders>
                  <w:vAlign w:val="center"/>
                </w:tcPr>
                <w:p w14:paraId="7AB90D1A">
                  <w:pPr>
                    <w:adjustRightInd w:val="0"/>
                    <w:snapToGrid w:val="0"/>
                    <w:jc w:val="center"/>
                    <w:rPr>
                      <w:szCs w:val="21"/>
                    </w:rPr>
                  </w:pPr>
                  <w:r>
                    <w:rPr>
                      <w:rFonts w:hint="eastAsia"/>
                      <w:szCs w:val="21"/>
                    </w:rPr>
                    <w:t>一般排放口</w:t>
                  </w:r>
                </w:p>
              </w:tc>
            </w:tr>
          </w:tbl>
          <w:p w14:paraId="5AB9CA97">
            <w:pPr>
              <w:spacing w:before="120" w:beforeLines="50"/>
              <w:jc w:val="center"/>
              <w:rPr>
                <w:b/>
                <w:bCs/>
                <w:szCs w:val="21"/>
              </w:rPr>
            </w:pPr>
            <w:r>
              <w:rPr>
                <w:rFonts w:hint="eastAsia"/>
                <w:b/>
                <w:bCs/>
                <w:szCs w:val="21"/>
              </w:rPr>
              <w:t>表</w:t>
            </w:r>
            <w:r>
              <w:rPr>
                <w:b/>
                <w:bCs/>
                <w:szCs w:val="21"/>
              </w:rPr>
              <w:t>4-</w:t>
            </w:r>
            <w:r>
              <w:rPr>
                <w:rFonts w:hint="eastAsia"/>
                <w:b/>
                <w:bCs/>
                <w:szCs w:val="21"/>
              </w:rPr>
              <w:t>12</w:t>
            </w:r>
            <w:r>
              <w:rPr>
                <w:b/>
                <w:bCs/>
                <w:szCs w:val="21"/>
              </w:rPr>
              <w:t xml:space="preserve">  </w:t>
            </w:r>
            <w:r>
              <w:rPr>
                <w:rFonts w:hint="eastAsia"/>
                <w:b/>
                <w:bCs/>
                <w:szCs w:val="21"/>
              </w:rPr>
              <w:t>废水排放口基本情况表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2"/>
              <w:gridCol w:w="1650"/>
              <w:gridCol w:w="1113"/>
              <w:gridCol w:w="1114"/>
              <w:gridCol w:w="1114"/>
              <w:gridCol w:w="1116"/>
              <w:gridCol w:w="1116"/>
              <w:gridCol w:w="1283"/>
            </w:tblGrid>
            <w:tr w14:paraId="50172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tcBorders>
                    <w:top w:val="single" w:color="auto" w:sz="12" w:space="0"/>
                    <w:left w:val="single" w:color="auto" w:sz="12" w:space="0"/>
                    <w:bottom w:val="single" w:color="auto" w:sz="6" w:space="0"/>
                    <w:right w:val="single" w:color="auto" w:sz="6" w:space="0"/>
                  </w:tcBorders>
                  <w:vAlign w:val="center"/>
                </w:tcPr>
                <w:p w14:paraId="3578D0AF">
                  <w:pPr>
                    <w:adjustRightInd w:val="0"/>
                    <w:snapToGrid w:val="0"/>
                    <w:jc w:val="center"/>
                    <w:rPr>
                      <w:b/>
                      <w:bCs/>
                      <w:szCs w:val="21"/>
                    </w:rPr>
                  </w:pPr>
                  <w:r>
                    <w:rPr>
                      <w:rFonts w:hint="eastAsia"/>
                      <w:b/>
                      <w:bCs/>
                      <w:szCs w:val="21"/>
                    </w:rPr>
                    <w:t>排放口编号</w:t>
                  </w:r>
                </w:p>
              </w:tc>
              <w:tc>
                <w:tcPr>
                  <w:tcW w:w="879" w:type="pct"/>
                  <w:tcBorders>
                    <w:top w:val="single" w:color="auto" w:sz="12" w:space="0"/>
                    <w:left w:val="single" w:color="auto" w:sz="6" w:space="0"/>
                    <w:bottom w:val="single" w:color="auto" w:sz="6" w:space="0"/>
                    <w:right w:val="single" w:color="auto" w:sz="6" w:space="0"/>
                  </w:tcBorders>
                  <w:vAlign w:val="center"/>
                </w:tcPr>
                <w:p w14:paraId="5F3E569E">
                  <w:pPr>
                    <w:adjustRightInd w:val="0"/>
                    <w:snapToGrid w:val="0"/>
                    <w:jc w:val="center"/>
                    <w:rPr>
                      <w:b/>
                      <w:bCs/>
                      <w:szCs w:val="21"/>
                    </w:rPr>
                  </w:pPr>
                  <w:r>
                    <w:rPr>
                      <w:rFonts w:hint="eastAsia"/>
                      <w:b/>
                      <w:bCs/>
                      <w:szCs w:val="21"/>
                    </w:rPr>
                    <w:t>排放口地理坐标</w:t>
                  </w:r>
                </w:p>
              </w:tc>
              <w:tc>
                <w:tcPr>
                  <w:tcW w:w="593" w:type="pct"/>
                  <w:tcBorders>
                    <w:top w:val="single" w:color="auto" w:sz="12" w:space="0"/>
                    <w:left w:val="single" w:color="auto" w:sz="6" w:space="0"/>
                    <w:bottom w:val="single" w:color="auto" w:sz="6" w:space="0"/>
                    <w:right w:val="single" w:color="auto" w:sz="6" w:space="0"/>
                  </w:tcBorders>
                  <w:vAlign w:val="center"/>
                </w:tcPr>
                <w:p w14:paraId="0E1BB474">
                  <w:pPr>
                    <w:adjustRightInd w:val="0"/>
                    <w:snapToGrid w:val="0"/>
                    <w:jc w:val="center"/>
                    <w:rPr>
                      <w:b/>
                      <w:bCs/>
                      <w:szCs w:val="21"/>
                    </w:rPr>
                  </w:pPr>
                  <w:r>
                    <w:rPr>
                      <w:rFonts w:hint="eastAsia"/>
                      <w:b/>
                      <w:bCs/>
                      <w:szCs w:val="21"/>
                    </w:rPr>
                    <w:t>废水排放量（</w:t>
                  </w:r>
                  <w:r>
                    <w:rPr>
                      <w:b/>
                      <w:bCs/>
                      <w:szCs w:val="21"/>
                    </w:rPr>
                    <w:t>t/a</w:t>
                  </w:r>
                  <w:r>
                    <w:rPr>
                      <w:rFonts w:hint="eastAsia"/>
                      <w:b/>
                      <w:bCs/>
                      <w:szCs w:val="21"/>
                    </w:rPr>
                    <w:t>）</w:t>
                  </w:r>
                </w:p>
              </w:tc>
              <w:tc>
                <w:tcPr>
                  <w:tcW w:w="593" w:type="pct"/>
                  <w:tcBorders>
                    <w:top w:val="single" w:color="auto" w:sz="12" w:space="0"/>
                    <w:left w:val="single" w:color="auto" w:sz="6" w:space="0"/>
                    <w:bottom w:val="single" w:color="auto" w:sz="6" w:space="0"/>
                    <w:right w:val="single" w:color="auto" w:sz="6" w:space="0"/>
                  </w:tcBorders>
                  <w:vAlign w:val="center"/>
                </w:tcPr>
                <w:p w14:paraId="7FAE3A5A">
                  <w:pPr>
                    <w:adjustRightInd w:val="0"/>
                    <w:snapToGrid w:val="0"/>
                    <w:jc w:val="center"/>
                    <w:rPr>
                      <w:b/>
                      <w:bCs/>
                      <w:szCs w:val="21"/>
                    </w:rPr>
                  </w:pPr>
                  <w:r>
                    <w:rPr>
                      <w:rFonts w:hint="eastAsia"/>
                      <w:b/>
                      <w:bCs/>
                      <w:szCs w:val="21"/>
                    </w:rPr>
                    <w:t>排放方式</w:t>
                  </w:r>
                </w:p>
              </w:tc>
              <w:tc>
                <w:tcPr>
                  <w:tcW w:w="593" w:type="pct"/>
                  <w:tcBorders>
                    <w:top w:val="single" w:color="auto" w:sz="12" w:space="0"/>
                    <w:left w:val="single" w:color="auto" w:sz="6" w:space="0"/>
                    <w:bottom w:val="single" w:color="auto" w:sz="6" w:space="0"/>
                    <w:right w:val="single" w:color="auto" w:sz="6" w:space="0"/>
                  </w:tcBorders>
                  <w:vAlign w:val="center"/>
                </w:tcPr>
                <w:p w14:paraId="50371D98">
                  <w:pPr>
                    <w:adjustRightInd w:val="0"/>
                    <w:snapToGrid w:val="0"/>
                    <w:jc w:val="center"/>
                    <w:rPr>
                      <w:b/>
                      <w:bCs/>
                      <w:szCs w:val="21"/>
                    </w:rPr>
                  </w:pPr>
                  <w:r>
                    <w:rPr>
                      <w:rFonts w:hint="eastAsia"/>
                      <w:b/>
                      <w:bCs/>
                      <w:szCs w:val="21"/>
                    </w:rPr>
                    <w:t>排放去向</w:t>
                  </w:r>
                </w:p>
              </w:tc>
              <w:tc>
                <w:tcPr>
                  <w:tcW w:w="1871" w:type="pct"/>
                  <w:gridSpan w:val="3"/>
                  <w:tcBorders>
                    <w:top w:val="single" w:color="auto" w:sz="12" w:space="0"/>
                    <w:left w:val="single" w:color="auto" w:sz="6" w:space="0"/>
                    <w:bottom w:val="single" w:color="auto" w:sz="6" w:space="0"/>
                    <w:right w:val="single" w:color="auto" w:sz="12" w:space="0"/>
                  </w:tcBorders>
                  <w:vAlign w:val="center"/>
                </w:tcPr>
                <w:p w14:paraId="64CC4F3B">
                  <w:pPr>
                    <w:adjustRightInd w:val="0"/>
                    <w:snapToGrid w:val="0"/>
                    <w:jc w:val="center"/>
                    <w:rPr>
                      <w:b/>
                      <w:bCs/>
                      <w:szCs w:val="21"/>
                    </w:rPr>
                  </w:pPr>
                  <w:r>
                    <w:rPr>
                      <w:rFonts w:hint="eastAsia"/>
                      <w:b/>
                      <w:bCs/>
                      <w:szCs w:val="21"/>
                    </w:rPr>
                    <w:t>受纳污水处理厂</w:t>
                  </w:r>
                  <w:r>
                    <w:rPr>
                      <w:b/>
                      <w:bCs/>
                      <w:szCs w:val="21"/>
                    </w:rPr>
                    <w:t>/</w:t>
                  </w:r>
                  <w:r>
                    <w:rPr>
                      <w:rFonts w:hint="eastAsia"/>
                      <w:b/>
                      <w:bCs/>
                      <w:szCs w:val="21"/>
                    </w:rPr>
                    <w:t>水体名称</w:t>
                  </w:r>
                </w:p>
              </w:tc>
            </w:tr>
            <w:tr w14:paraId="303C1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0" w:type="pct"/>
                  <w:vMerge w:val="restart"/>
                  <w:tcBorders>
                    <w:top w:val="single" w:color="auto" w:sz="6" w:space="0"/>
                    <w:left w:val="single" w:color="auto" w:sz="12" w:space="0"/>
                    <w:bottom w:val="single" w:color="auto" w:sz="12" w:space="0"/>
                    <w:right w:val="single" w:color="auto" w:sz="6" w:space="0"/>
                  </w:tcBorders>
                  <w:vAlign w:val="center"/>
                </w:tcPr>
                <w:p w14:paraId="0D412567">
                  <w:pPr>
                    <w:adjustRightInd w:val="0"/>
                    <w:snapToGrid w:val="0"/>
                    <w:jc w:val="center"/>
                    <w:rPr>
                      <w:szCs w:val="21"/>
                    </w:rPr>
                  </w:pPr>
                  <w:r>
                    <w:rPr>
                      <w:szCs w:val="21"/>
                    </w:rPr>
                    <w:t>DW001</w:t>
                  </w:r>
                </w:p>
              </w:tc>
              <w:tc>
                <w:tcPr>
                  <w:tcW w:w="879" w:type="pct"/>
                  <w:vMerge w:val="restart"/>
                  <w:tcBorders>
                    <w:top w:val="single" w:color="auto" w:sz="6" w:space="0"/>
                    <w:left w:val="single" w:color="auto" w:sz="6" w:space="0"/>
                    <w:bottom w:val="single" w:color="auto" w:sz="12" w:space="0"/>
                    <w:right w:val="single" w:color="auto" w:sz="6" w:space="0"/>
                  </w:tcBorders>
                  <w:vAlign w:val="center"/>
                </w:tcPr>
                <w:p w14:paraId="59A16F4A">
                  <w:pPr>
                    <w:adjustRightInd w:val="0"/>
                    <w:snapToGrid w:val="0"/>
                    <w:jc w:val="center"/>
                    <w:rPr>
                      <w:szCs w:val="21"/>
                    </w:rPr>
                  </w:pPr>
                  <w:r>
                    <w:rPr>
                      <w:szCs w:val="21"/>
                    </w:rPr>
                    <w:t>E 112.608013</w:t>
                  </w:r>
                </w:p>
                <w:p w14:paraId="085BA434">
                  <w:pPr>
                    <w:adjustRightInd w:val="0"/>
                    <w:snapToGrid w:val="0"/>
                    <w:jc w:val="center"/>
                    <w:rPr>
                      <w:szCs w:val="21"/>
                    </w:rPr>
                  </w:pPr>
                  <w:r>
                    <w:rPr>
                      <w:szCs w:val="21"/>
                    </w:rPr>
                    <w:t>N 27.38710</w:t>
                  </w:r>
                  <w:r>
                    <w:rPr>
                      <w:rFonts w:hint="eastAsia"/>
                      <w:szCs w:val="21"/>
                    </w:rPr>
                    <w:t>8</w:t>
                  </w:r>
                </w:p>
              </w:tc>
              <w:tc>
                <w:tcPr>
                  <w:tcW w:w="593" w:type="pct"/>
                  <w:vMerge w:val="restart"/>
                  <w:tcBorders>
                    <w:top w:val="single" w:color="auto" w:sz="6" w:space="0"/>
                    <w:left w:val="single" w:color="auto" w:sz="6" w:space="0"/>
                    <w:bottom w:val="single" w:color="auto" w:sz="12" w:space="0"/>
                    <w:right w:val="single" w:color="auto" w:sz="6" w:space="0"/>
                  </w:tcBorders>
                  <w:vAlign w:val="center"/>
                </w:tcPr>
                <w:p w14:paraId="27548558">
                  <w:pPr>
                    <w:adjustRightInd w:val="0"/>
                    <w:snapToGrid w:val="0"/>
                    <w:jc w:val="center"/>
                    <w:rPr>
                      <w:szCs w:val="21"/>
                    </w:rPr>
                  </w:pPr>
                  <w:r>
                    <w:rPr>
                      <w:rFonts w:hint="eastAsia"/>
                      <w:szCs w:val="21"/>
                    </w:rPr>
                    <w:t>432</w:t>
                  </w:r>
                </w:p>
              </w:tc>
              <w:tc>
                <w:tcPr>
                  <w:tcW w:w="593" w:type="pct"/>
                  <w:vMerge w:val="restart"/>
                  <w:tcBorders>
                    <w:top w:val="single" w:color="auto" w:sz="6" w:space="0"/>
                    <w:left w:val="single" w:color="auto" w:sz="6" w:space="0"/>
                    <w:bottom w:val="single" w:color="auto" w:sz="12" w:space="0"/>
                    <w:right w:val="single" w:color="auto" w:sz="6" w:space="0"/>
                  </w:tcBorders>
                  <w:vAlign w:val="center"/>
                </w:tcPr>
                <w:p w14:paraId="21A2B0BD">
                  <w:pPr>
                    <w:adjustRightInd w:val="0"/>
                    <w:snapToGrid w:val="0"/>
                    <w:jc w:val="center"/>
                    <w:rPr>
                      <w:szCs w:val="21"/>
                    </w:rPr>
                  </w:pPr>
                  <w:r>
                    <w:rPr>
                      <w:rFonts w:hint="eastAsia"/>
                      <w:szCs w:val="21"/>
                    </w:rPr>
                    <w:t>间接排放</w:t>
                  </w:r>
                </w:p>
              </w:tc>
              <w:tc>
                <w:tcPr>
                  <w:tcW w:w="593" w:type="pct"/>
                  <w:vMerge w:val="restart"/>
                  <w:tcBorders>
                    <w:top w:val="single" w:color="auto" w:sz="6" w:space="0"/>
                    <w:left w:val="single" w:color="auto" w:sz="6" w:space="0"/>
                    <w:bottom w:val="single" w:color="auto" w:sz="12" w:space="0"/>
                    <w:right w:val="single" w:color="auto" w:sz="6" w:space="0"/>
                  </w:tcBorders>
                  <w:vAlign w:val="center"/>
                </w:tcPr>
                <w:p w14:paraId="21881448">
                  <w:pPr>
                    <w:adjustRightInd w:val="0"/>
                    <w:snapToGrid w:val="0"/>
                    <w:jc w:val="center"/>
                    <w:rPr>
                      <w:szCs w:val="21"/>
                    </w:rPr>
                  </w:pPr>
                  <w:r>
                    <w:rPr>
                      <w:rFonts w:hint="eastAsia"/>
                      <w:szCs w:val="21"/>
                    </w:rPr>
                    <w:t>市政污水管网</w:t>
                  </w:r>
                </w:p>
              </w:tc>
              <w:tc>
                <w:tcPr>
                  <w:tcW w:w="594" w:type="pct"/>
                  <w:vMerge w:val="restart"/>
                  <w:tcBorders>
                    <w:top w:val="single" w:color="auto" w:sz="6" w:space="0"/>
                    <w:left w:val="single" w:color="auto" w:sz="6" w:space="0"/>
                    <w:bottom w:val="single" w:color="auto" w:sz="12" w:space="0"/>
                    <w:right w:val="single" w:color="auto" w:sz="6" w:space="0"/>
                  </w:tcBorders>
                  <w:vAlign w:val="center"/>
                </w:tcPr>
                <w:p w14:paraId="32A20718">
                  <w:pPr>
                    <w:adjustRightInd w:val="0"/>
                    <w:snapToGrid w:val="0"/>
                    <w:jc w:val="center"/>
                    <w:rPr>
                      <w:szCs w:val="21"/>
                    </w:rPr>
                  </w:pPr>
                  <w:r>
                    <w:rPr>
                      <w:rFonts w:hint="eastAsia"/>
                      <w:szCs w:val="21"/>
                    </w:rPr>
                    <w:t>白果镇污水处理厂</w:t>
                  </w:r>
                </w:p>
              </w:tc>
              <w:tc>
                <w:tcPr>
                  <w:tcW w:w="594" w:type="pct"/>
                  <w:tcBorders>
                    <w:top w:val="single" w:color="auto" w:sz="6" w:space="0"/>
                    <w:left w:val="single" w:color="auto" w:sz="6" w:space="0"/>
                    <w:bottom w:val="single" w:color="auto" w:sz="6" w:space="0"/>
                    <w:right w:val="single" w:color="auto" w:sz="6" w:space="0"/>
                  </w:tcBorders>
                  <w:vAlign w:val="center"/>
                </w:tcPr>
                <w:p w14:paraId="26B8F351">
                  <w:pPr>
                    <w:adjustRightInd w:val="0"/>
                    <w:snapToGrid w:val="0"/>
                    <w:jc w:val="center"/>
                    <w:rPr>
                      <w:szCs w:val="21"/>
                    </w:rPr>
                  </w:pPr>
                  <w:r>
                    <w:rPr>
                      <w:szCs w:val="21"/>
                    </w:rPr>
                    <w:t>COD</w:t>
                  </w:r>
                </w:p>
              </w:tc>
              <w:tc>
                <w:tcPr>
                  <w:tcW w:w="683" w:type="pct"/>
                  <w:tcBorders>
                    <w:top w:val="single" w:color="auto" w:sz="6" w:space="0"/>
                    <w:left w:val="single" w:color="auto" w:sz="6" w:space="0"/>
                    <w:bottom w:val="single" w:color="auto" w:sz="6" w:space="0"/>
                    <w:right w:val="single" w:color="auto" w:sz="12" w:space="0"/>
                  </w:tcBorders>
                  <w:vAlign w:val="center"/>
                </w:tcPr>
                <w:p w14:paraId="3B7002F1">
                  <w:pPr>
                    <w:adjustRightInd w:val="0"/>
                    <w:snapToGrid w:val="0"/>
                    <w:jc w:val="center"/>
                    <w:rPr>
                      <w:szCs w:val="21"/>
                    </w:rPr>
                  </w:pPr>
                  <w:r>
                    <w:rPr>
                      <w:rFonts w:hint="eastAsia"/>
                      <w:szCs w:val="21"/>
                    </w:rPr>
                    <w:t>6</w:t>
                  </w:r>
                  <w:r>
                    <w:rPr>
                      <w:szCs w:val="21"/>
                    </w:rPr>
                    <w:t>0mg/L</w:t>
                  </w:r>
                </w:p>
              </w:tc>
            </w:tr>
            <w:tr w14:paraId="17A3A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7650B78B">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00B59846">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60718E7C">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367D719C">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68485069">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45FE4EE4">
                  <w:pPr>
                    <w:widowControl/>
                    <w:jc w:val="left"/>
                    <w:rPr>
                      <w:szCs w:val="21"/>
                    </w:rPr>
                  </w:pPr>
                </w:p>
              </w:tc>
              <w:tc>
                <w:tcPr>
                  <w:tcW w:w="594" w:type="pct"/>
                  <w:tcBorders>
                    <w:top w:val="single" w:color="auto" w:sz="6" w:space="0"/>
                    <w:left w:val="single" w:color="auto" w:sz="6" w:space="0"/>
                    <w:bottom w:val="single" w:color="auto" w:sz="6" w:space="0"/>
                    <w:right w:val="single" w:color="auto" w:sz="6" w:space="0"/>
                  </w:tcBorders>
                  <w:vAlign w:val="center"/>
                </w:tcPr>
                <w:p w14:paraId="15A018B7">
                  <w:pPr>
                    <w:adjustRightInd w:val="0"/>
                    <w:snapToGrid w:val="0"/>
                    <w:jc w:val="center"/>
                    <w:rPr>
                      <w:szCs w:val="21"/>
                    </w:rPr>
                  </w:pPr>
                  <w:r>
                    <w:rPr>
                      <w:szCs w:val="21"/>
                    </w:rPr>
                    <w:t>BOD</w:t>
                  </w:r>
                  <w:r>
                    <w:rPr>
                      <w:szCs w:val="21"/>
                      <w:vertAlign w:val="subscript"/>
                    </w:rPr>
                    <w:t>5</w:t>
                  </w:r>
                </w:p>
              </w:tc>
              <w:tc>
                <w:tcPr>
                  <w:tcW w:w="683" w:type="pct"/>
                  <w:tcBorders>
                    <w:top w:val="single" w:color="auto" w:sz="6" w:space="0"/>
                    <w:left w:val="single" w:color="auto" w:sz="6" w:space="0"/>
                    <w:bottom w:val="single" w:color="auto" w:sz="6" w:space="0"/>
                    <w:right w:val="single" w:color="auto" w:sz="12" w:space="0"/>
                  </w:tcBorders>
                  <w:vAlign w:val="center"/>
                </w:tcPr>
                <w:p w14:paraId="6E607C16">
                  <w:pPr>
                    <w:adjustRightInd w:val="0"/>
                    <w:snapToGrid w:val="0"/>
                    <w:jc w:val="center"/>
                    <w:rPr>
                      <w:szCs w:val="21"/>
                    </w:rPr>
                  </w:pPr>
                  <w:r>
                    <w:rPr>
                      <w:rFonts w:hint="eastAsia"/>
                      <w:szCs w:val="21"/>
                    </w:rPr>
                    <w:t>2</w:t>
                  </w:r>
                  <w:r>
                    <w:rPr>
                      <w:szCs w:val="21"/>
                    </w:rPr>
                    <w:t>0mg/L</w:t>
                  </w:r>
                </w:p>
              </w:tc>
            </w:tr>
            <w:tr w14:paraId="297C7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01F5D814">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35130722">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76322C7C">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73B596A6">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0A37AB8E">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7CB702EA">
                  <w:pPr>
                    <w:widowControl/>
                    <w:jc w:val="left"/>
                    <w:rPr>
                      <w:szCs w:val="21"/>
                    </w:rPr>
                  </w:pPr>
                </w:p>
              </w:tc>
              <w:tc>
                <w:tcPr>
                  <w:tcW w:w="594" w:type="pct"/>
                  <w:tcBorders>
                    <w:top w:val="single" w:color="auto" w:sz="6" w:space="0"/>
                    <w:left w:val="single" w:color="auto" w:sz="6" w:space="0"/>
                    <w:bottom w:val="single" w:color="auto" w:sz="6" w:space="0"/>
                    <w:right w:val="single" w:color="auto" w:sz="6" w:space="0"/>
                  </w:tcBorders>
                  <w:vAlign w:val="center"/>
                </w:tcPr>
                <w:p w14:paraId="1616B9FB">
                  <w:pPr>
                    <w:adjustRightInd w:val="0"/>
                    <w:snapToGrid w:val="0"/>
                    <w:jc w:val="center"/>
                    <w:rPr>
                      <w:szCs w:val="21"/>
                    </w:rPr>
                  </w:pPr>
                  <w:r>
                    <w:rPr>
                      <w:szCs w:val="21"/>
                    </w:rPr>
                    <w:t>SS</w:t>
                  </w:r>
                </w:p>
              </w:tc>
              <w:tc>
                <w:tcPr>
                  <w:tcW w:w="683" w:type="pct"/>
                  <w:tcBorders>
                    <w:top w:val="single" w:color="auto" w:sz="6" w:space="0"/>
                    <w:left w:val="single" w:color="auto" w:sz="6" w:space="0"/>
                    <w:bottom w:val="single" w:color="auto" w:sz="6" w:space="0"/>
                    <w:right w:val="single" w:color="auto" w:sz="12" w:space="0"/>
                  </w:tcBorders>
                  <w:vAlign w:val="center"/>
                </w:tcPr>
                <w:p w14:paraId="2057992D">
                  <w:pPr>
                    <w:adjustRightInd w:val="0"/>
                    <w:snapToGrid w:val="0"/>
                    <w:jc w:val="center"/>
                    <w:rPr>
                      <w:szCs w:val="21"/>
                    </w:rPr>
                  </w:pPr>
                  <w:r>
                    <w:rPr>
                      <w:rFonts w:hint="eastAsia"/>
                      <w:szCs w:val="21"/>
                    </w:rPr>
                    <w:t>2</w:t>
                  </w:r>
                  <w:r>
                    <w:rPr>
                      <w:szCs w:val="21"/>
                    </w:rPr>
                    <w:t>0mg/L</w:t>
                  </w:r>
                </w:p>
              </w:tc>
            </w:tr>
            <w:tr w14:paraId="1E7FF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403951C5">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71AF5D7D">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6E101A74">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16C6281F">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42FEE146">
                  <w:pPr>
                    <w:widowControl/>
                    <w:jc w:val="left"/>
                    <w:rPr>
                      <w:szCs w:val="21"/>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4AF33A80">
                  <w:pPr>
                    <w:widowControl/>
                    <w:jc w:val="left"/>
                    <w:rPr>
                      <w:szCs w:val="21"/>
                    </w:rPr>
                  </w:pPr>
                </w:p>
              </w:tc>
              <w:tc>
                <w:tcPr>
                  <w:tcW w:w="594" w:type="pct"/>
                  <w:tcBorders>
                    <w:top w:val="single" w:color="auto" w:sz="6" w:space="0"/>
                    <w:left w:val="single" w:color="auto" w:sz="6" w:space="0"/>
                    <w:bottom w:val="single" w:color="auto" w:sz="12" w:space="0"/>
                    <w:right w:val="single" w:color="auto" w:sz="6" w:space="0"/>
                  </w:tcBorders>
                  <w:vAlign w:val="center"/>
                </w:tcPr>
                <w:p w14:paraId="6E1A1ACD">
                  <w:pPr>
                    <w:adjustRightInd w:val="0"/>
                    <w:snapToGrid w:val="0"/>
                    <w:jc w:val="center"/>
                    <w:rPr>
                      <w:szCs w:val="21"/>
                    </w:rPr>
                  </w:pPr>
                  <w:r>
                    <w:rPr>
                      <w:szCs w:val="21"/>
                    </w:rPr>
                    <w:t>NH</w:t>
                  </w:r>
                  <w:r>
                    <w:rPr>
                      <w:szCs w:val="21"/>
                      <w:vertAlign w:val="subscript"/>
                    </w:rPr>
                    <w:t>3</w:t>
                  </w:r>
                  <w:r>
                    <w:rPr>
                      <w:szCs w:val="21"/>
                    </w:rPr>
                    <w:t>-N</w:t>
                  </w:r>
                </w:p>
              </w:tc>
              <w:tc>
                <w:tcPr>
                  <w:tcW w:w="683" w:type="pct"/>
                  <w:tcBorders>
                    <w:top w:val="single" w:color="auto" w:sz="6" w:space="0"/>
                    <w:left w:val="single" w:color="auto" w:sz="6" w:space="0"/>
                    <w:bottom w:val="single" w:color="auto" w:sz="12" w:space="0"/>
                    <w:right w:val="single" w:color="auto" w:sz="12" w:space="0"/>
                  </w:tcBorders>
                  <w:vAlign w:val="center"/>
                </w:tcPr>
                <w:p w14:paraId="531832F5">
                  <w:pPr>
                    <w:adjustRightInd w:val="0"/>
                    <w:snapToGrid w:val="0"/>
                    <w:jc w:val="center"/>
                    <w:rPr>
                      <w:szCs w:val="21"/>
                    </w:rPr>
                  </w:pPr>
                  <w:r>
                    <w:rPr>
                      <w:rFonts w:hint="eastAsia"/>
                      <w:szCs w:val="21"/>
                    </w:rPr>
                    <w:t>8</w:t>
                  </w:r>
                  <w:r>
                    <w:rPr>
                      <w:szCs w:val="21"/>
                    </w:rPr>
                    <w:t>mg/L</w:t>
                  </w:r>
                </w:p>
              </w:tc>
            </w:tr>
          </w:tbl>
          <w:p w14:paraId="0793C9F1">
            <w:pPr>
              <w:tabs>
                <w:tab w:val="left" w:pos="8580"/>
              </w:tabs>
              <w:adjustRightInd w:val="0"/>
              <w:snapToGrid w:val="0"/>
              <w:spacing w:line="360" w:lineRule="auto"/>
              <w:ind w:firstLine="482" w:firstLineChars="200"/>
              <w:rPr>
                <w:b/>
                <w:bCs/>
                <w:sz w:val="24"/>
              </w:rPr>
            </w:pPr>
            <w:r>
              <w:rPr>
                <w:b/>
                <w:bCs/>
                <w:sz w:val="24"/>
              </w:rPr>
              <w:t>4</w:t>
            </w:r>
            <w:r>
              <w:rPr>
                <w:rFonts w:hint="eastAsia"/>
                <w:b/>
                <w:bCs/>
                <w:sz w:val="24"/>
              </w:rPr>
              <w:t>、污染物排放量核算</w:t>
            </w:r>
          </w:p>
          <w:p w14:paraId="2DA641CF">
            <w:pPr>
              <w:tabs>
                <w:tab w:val="left" w:pos="8580"/>
              </w:tabs>
              <w:adjustRightInd w:val="0"/>
              <w:snapToGrid w:val="0"/>
              <w:spacing w:line="360" w:lineRule="auto"/>
              <w:ind w:firstLine="480" w:firstLineChars="200"/>
              <w:rPr>
                <w:sz w:val="24"/>
              </w:rPr>
            </w:pPr>
            <w:r>
              <w:rPr>
                <w:rFonts w:hint="eastAsia"/>
                <w:sz w:val="24"/>
              </w:rPr>
              <w:t>根据《环境影响评价技术导则</w:t>
            </w:r>
            <w:r>
              <w:rPr>
                <w:sz w:val="24"/>
              </w:rPr>
              <w:t xml:space="preserve">  </w:t>
            </w:r>
            <w:r>
              <w:rPr>
                <w:rFonts w:hint="eastAsia"/>
                <w:sz w:val="24"/>
              </w:rPr>
              <w:t>地表水环境》（</w:t>
            </w:r>
            <w:r>
              <w:rPr>
                <w:sz w:val="24"/>
              </w:rPr>
              <w:t>HJ 2.3-2018</w:t>
            </w:r>
            <w:r>
              <w:rPr>
                <w:rFonts w:hint="eastAsia"/>
                <w:sz w:val="24"/>
              </w:rPr>
              <w:t>）：间接排放建设项目污染源排放量核算根据依托污水处理设施的控制要求核算确定。项目废水接管后最终纳入白果镇污水处理厂处置，则项目废水接管后污染排放量按照《城镇污水处理厂污染物排放标准》（</w:t>
            </w:r>
            <w:r>
              <w:rPr>
                <w:sz w:val="24"/>
              </w:rPr>
              <w:t>GB18918-2002</w:t>
            </w:r>
            <w:r>
              <w:rPr>
                <w:rFonts w:hint="eastAsia"/>
                <w:sz w:val="24"/>
              </w:rPr>
              <w:t>）一级B标准进行核算。</w:t>
            </w:r>
          </w:p>
          <w:p w14:paraId="6E22109B">
            <w:pPr>
              <w:spacing w:before="120" w:beforeLines="50"/>
              <w:jc w:val="center"/>
              <w:rPr>
                <w:b/>
                <w:bCs/>
                <w:szCs w:val="21"/>
              </w:rPr>
            </w:pPr>
            <w:r>
              <w:rPr>
                <w:rFonts w:hint="eastAsia"/>
                <w:b/>
                <w:bCs/>
                <w:szCs w:val="21"/>
              </w:rPr>
              <w:t>表</w:t>
            </w:r>
            <w:r>
              <w:rPr>
                <w:b/>
                <w:bCs/>
                <w:szCs w:val="21"/>
              </w:rPr>
              <w:t>4-</w:t>
            </w:r>
            <w:r>
              <w:rPr>
                <w:rFonts w:hint="eastAsia"/>
                <w:b/>
                <w:bCs/>
                <w:szCs w:val="21"/>
              </w:rPr>
              <w:t>13</w:t>
            </w:r>
            <w:r>
              <w:rPr>
                <w:b/>
                <w:bCs/>
                <w:szCs w:val="21"/>
              </w:rPr>
              <w:t xml:space="preserve">  </w:t>
            </w:r>
            <w:r>
              <w:rPr>
                <w:rFonts w:hint="eastAsia"/>
                <w:b/>
                <w:bCs/>
                <w:szCs w:val="21"/>
              </w:rPr>
              <w:t>废水污染物排放信息表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7"/>
              <w:gridCol w:w="2349"/>
              <w:gridCol w:w="2349"/>
              <w:gridCol w:w="2343"/>
            </w:tblGrid>
            <w:tr w14:paraId="76199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tcBorders>
                    <w:top w:val="single" w:color="auto" w:sz="12" w:space="0"/>
                    <w:left w:val="single" w:color="auto" w:sz="12" w:space="0"/>
                    <w:bottom w:val="single" w:color="auto" w:sz="6" w:space="0"/>
                    <w:right w:val="single" w:color="auto" w:sz="6" w:space="0"/>
                  </w:tcBorders>
                  <w:vAlign w:val="center"/>
                </w:tcPr>
                <w:p w14:paraId="775D0A96">
                  <w:pPr>
                    <w:adjustRightInd w:val="0"/>
                    <w:snapToGrid w:val="0"/>
                    <w:jc w:val="center"/>
                    <w:rPr>
                      <w:b/>
                      <w:bCs/>
                      <w:szCs w:val="21"/>
                    </w:rPr>
                  </w:pPr>
                  <w:r>
                    <w:rPr>
                      <w:rFonts w:hint="eastAsia"/>
                      <w:b/>
                      <w:bCs/>
                      <w:szCs w:val="21"/>
                    </w:rPr>
                    <w:t>编号</w:t>
                  </w:r>
                </w:p>
              </w:tc>
              <w:tc>
                <w:tcPr>
                  <w:tcW w:w="1251" w:type="pct"/>
                  <w:tcBorders>
                    <w:top w:val="single" w:color="auto" w:sz="12" w:space="0"/>
                    <w:left w:val="single" w:color="auto" w:sz="6" w:space="0"/>
                    <w:bottom w:val="single" w:color="auto" w:sz="6" w:space="0"/>
                    <w:right w:val="single" w:color="auto" w:sz="6" w:space="0"/>
                  </w:tcBorders>
                  <w:vAlign w:val="center"/>
                </w:tcPr>
                <w:p w14:paraId="68864280">
                  <w:pPr>
                    <w:adjustRightInd w:val="0"/>
                    <w:snapToGrid w:val="0"/>
                    <w:jc w:val="center"/>
                    <w:rPr>
                      <w:b/>
                      <w:bCs/>
                      <w:szCs w:val="21"/>
                    </w:rPr>
                  </w:pPr>
                  <w:r>
                    <w:rPr>
                      <w:rFonts w:hint="eastAsia"/>
                      <w:b/>
                      <w:bCs/>
                      <w:szCs w:val="21"/>
                    </w:rPr>
                    <w:t>污染物种类</w:t>
                  </w:r>
                </w:p>
              </w:tc>
              <w:tc>
                <w:tcPr>
                  <w:tcW w:w="1251" w:type="pct"/>
                  <w:tcBorders>
                    <w:top w:val="single" w:color="auto" w:sz="12" w:space="0"/>
                    <w:left w:val="single" w:color="auto" w:sz="6" w:space="0"/>
                    <w:bottom w:val="single" w:color="auto" w:sz="6" w:space="0"/>
                    <w:right w:val="single" w:color="auto" w:sz="6" w:space="0"/>
                  </w:tcBorders>
                  <w:vAlign w:val="center"/>
                </w:tcPr>
                <w:p w14:paraId="78BAC718">
                  <w:pPr>
                    <w:adjustRightInd w:val="0"/>
                    <w:snapToGrid w:val="0"/>
                    <w:jc w:val="center"/>
                    <w:rPr>
                      <w:b/>
                      <w:bCs/>
                      <w:szCs w:val="21"/>
                    </w:rPr>
                  </w:pPr>
                  <w:r>
                    <w:rPr>
                      <w:rFonts w:hint="eastAsia"/>
                      <w:b/>
                      <w:bCs/>
                      <w:szCs w:val="21"/>
                    </w:rPr>
                    <w:t>排放浓度</w:t>
                  </w:r>
                  <w:r>
                    <w:rPr>
                      <w:b/>
                      <w:bCs/>
                      <w:szCs w:val="21"/>
                    </w:rPr>
                    <w:t>mg/L</w:t>
                  </w:r>
                </w:p>
              </w:tc>
              <w:tc>
                <w:tcPr>
                  <w:tcW w:w="1248" w:type="pct"/>
                  <w:tcBorders>
                    <w:top w:val="single" w:color="auto" w:sz="12" w:space="0"/>
                    <w:left w:val="single" w:color="auto" w:sz="6" w:space="0"/>
                    <w:bottom w:val="single" w:color="auto" w:sz="6" w:space="0"/>
                    <w:right w:val="single" w:color="auto" w:sz="12" w:space="0"/>
                  </w:tcBorders>
                  <w:vAlign w:val="center"/>
                </w:tcPr>
                <w:p w14:paraId="34301C75">
                  <w:pPr>
                    <w:adjustRightInd w:val="0"/>
                    <w:snapToGrid w:val="0"/>
                    <w:jc w:val="center"/>
                    <w:rPr>
                      <w:b/>
                      <w:bCs/>
                      <w:szCs w:val="21"/>
                    </w:rPr>
                  </w:pPr>
                  <w:r>
                    <w:rPr>
                      <w:rFonts w:hint="eastAsia"/>
                      <w:b/>
                      <w:bCs/>
                      <w:szCs w:val="21"/>
                    </w:rPr>
                    <w:t>排放量</w:t>
                  </w:r>
                  <w:r>
                    <w:rPr>
                      <w:b/>
                      <w:bCs/>
                      <w:szCs w:val="21"/>
                    </w:rPr>
                    <w:t>t/a</w:t>
                  </w:r>
                </w:p>
              </w:tc>
            </w:tr>
            <w:tr w14:paraId="3A377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Merge w:val="restart"/>
                  <w:tcBorders>
                    <w:top w:val="single" w:color="auto" w:sz="6" w:space="0"/>
                    <w:left w:val="single" w:color="auto" w:sz="12" w:space="0"/>
                    <w:bottom w:val="single" w:color="auto" w:sz="12" w:space="0"/>
                    <w:right w:val="single" w:color="auto" w:sz="6" w:space="0"/>
                  </w:tcBorders>
                  <w:vAlign w:val="center"/>
                </w:tcPr>
                <w:p w14:paraId="1F7D4EB9">
                  <w:pPr>
                    <w:adjustRightInd w:val="0"/>
                    <w:snapToGrid w:val="0"/>
                    <w:jc w:val="center"/>
                    <w:rPr>
                      <w:szCs w:val="21"/>
                    </w:rPr>
                  </w:pPr>
                  <w:r>
                    <w:rPr>
                      <w:szCs w:val="21"/>
                    </w:rPr>
                    <w:t>DW001</w:t>
                  </w:r>
                  <w:r>
                    <w:rPr>
                      <w:rFonts w:hint="eastAsia"/>
                      <w:szCs w:val="21"/>
                    </w:rPr>
                    <w:t>（432</w:t>
                  </w:r>
                  <w:r>
                    <w:rPr>
                      <w:szCs w:val="21"/>
                    </w:rPr>
                    <w:t>m</w:t>
                  </w:r>
                  <w:r>
                    <w:rPr>
                      <w:szCs w:val="21"/>
                      <w:vertAlign w:val="superscript"/>
                    </w:rPr>
                    <w:t>3</w:t>
                  </w:r>
                  <w:r>
                    <w:rPr>
                      <w:szCs w:val="21"/>
                    </w:rPr>
                    <w:t>/a</w:t>
                  </w:r>
                  <w:r>
                    <w:rPr>
                      <w:rFonts w:hint="eastAsia"/>
                      <w:szCs w:val="21"/>
                    </w:rPr>
                    <w:t>）</w:t>
                  </w:r>
                </w:p>
              </w:tc>
              <w:tc>
                <w:tcPr>
                  <w:tcW w:w="1251" w:type="pct"/>
                  <w:tcBorders>
                    <w:top w:val="single" w:color="auto" w:sz="6" w:space="0"/>
                    <w:left w:val="single" w:color="auto" w:sz="6" w:space="0"/>
                    <w:bottom w:val="single" w:color="auto" w:sz="6" w:space="0"/>
                    <w:right w:val="single" w:color="auto" w:sz="6" w:space="0"/>
                  </w:tcBorders>
                  <w:vAlign w:val="center"/>
                </w:tcPr>
                <w:p w14:paraId="370F4620">
                  <w:pPr>
                    <w:adjustRightInd w:val="0"/>
                    <w:snapToGrid w:val="0"/>
                    <w:jc w:val="center"/>
                    <w:rPr>
                      <w:szCs w:val="21"/>
                    </w:rPr>
                  </w:pPr>
                  <w:r>
                    <w:rPr>
                      <w:szCs w:val="21"/>
                    </w:rPr>
                    <w:t>COD</w:t>
                  </w:r>
                </w:p>
              </w:tc>
              <w:tc>
                <w:tcPr>
                  <w:tcW w:w="1251" w:type="pct"/>
                  <w:tcBorders>
                    <w:top w:val="single" w:color="auto" w:sz="6" w:space="0"/>
                    <w:left w:val="single" w:color="auto" w:sz="6" w:space="0"/>
                    <w:bottom w:val="single" w:color="auto" w:sz="6" w:space="0"/>
                    <w:right w:val="single" w:color="auto" w:sz="6" w:space="0"/>
                  </w:tcBorders>
                  <w:vAlign w:val="center"/>
                </w:tcPr>
                <w:p w14:paraId="12107193">
                  <w:pPr>
                    <w:adjustRightInd w:val="0"/>
                    <w:snapToGrid w:val="0"/>
                    <w:jc w:val="center"/>
                    <w:rPr>
                      <w:szCs w:val="21"/>
                    </w:rPr>
                  </w:pPr>
                  <w:r>
                    <w:rPr>
                      <w:rFonts w:hint="eastAsia"/>
                      <w:szCs w:val="21"/>
                    </w:rPr>
                    <w:t>6</w:t>
                  </w:r>
                  <w:r>
                    <w:rPr>
                      <w:szCs w:val="21"/>
                    </w:rPr>
                    <w:t>0</w:t>
                  </w:r>
                </w:p>
              </w:tc>
              <w:tc>
                <w:tcPr>
                  <w:tcW w:w="1248" w:type="pct"/>
                  <w:tcBorders>
                    <w:top w:val="single" w:color="auto" w:sz="6" w:space="0"/>
                    <w:left w:val="single" w:color="auto" w:sz="6" w:space="0"/>
                    <w:bottom w:val="single" w:color="auto" w:sz="6" w:space="0"/>
                    <w:right w:val="single" w:color="auto" w:sz="12" w:space="0"/>
                  </w:tcBorders>
                  <w:vAlign w:val="center"/>
                </w:tcPr>
                <w:p w14:paraId="7E722C8B">
                  <w:pPr>
                    <w:adjustRightInd w:val="0"/>
                    <w:snapToGrid w:val="0"/>
                    <w:jc w:val="center"/>
                    <w:rPr>
                      <w:szCs w:val="21"/>
                    </w:rPr>
                  </w:pPr>
                  <w:r>
                    <w:rPr>
                      <w:rFonts w:hint="eastAsia"/>
                      <w:szCs w:val="21"/>
                    </w:rPr>
                    <w:t>0.026</w:t>
                  </w:r>
                </w:p>
              </w:tc>
            </w:tr>
            <w:tr w14:paraId="3A6E4B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43C08F17">
                  <w:pPr>
                    <w:widowControl/>
                    <w:jc w:val="left"/>
                    <w:rPr>
                      <w:szCs w:val="21"/>
                    </w:rPr>
                  </w:pPr>
                </w:p>
              </w:tc>
              <w:tc>
                <w:tcPr>
                  <w:tcW w:w="1251" w:type="pct"/>
                  <w:tcBorders>
                    <w:top w:val="single" w:color="auto" w:sz="6" w:space="0"/>
                    <w:left w:val="single" w:color="auto" w:sz="6" w:space="0"/>
                    <w:bottom w:val="single" w:color="auto" w:sz="6" w:space="0"/>
                    <w:right w:val="single" w:color="auto" w:sz="6" w:space="0"/>
                  </w:tcBorders>
                  <w:vAlign w:val="center"/>
                </w:tcPr>
                <w:p w14:paraId="7BD8A66C">
                  <w:pPr>
                    <w:adjustRightInd w:val="0"/>
                    <w:snapToGrid w:val="0"/>
                    <w:jc w:val="center"/>
                    <w:rPr>
                      <w:szCs w:val="21"/>
                    </w:rPr>
                  </w:pPr>
                  <w:r>
                    <w:rPr>
                      <w:szCs w:val="21"/>
                    </w:rPr>
                    <w:t>BOD</w:t>
                  </w:r>
                  <w:r>
                    <w:rPr>
                      <w:szCs w:val="21"/>
                      <w:vertAlign w:val="subscript"/>
                    </w:rPr>
                    <w:t>5</w:t>
                  </w:r>
                </w:p>
              </w:tc>
              <w:tc>
                <w:tcPr>
                  <w:tcW w:w="1251" w:type="pct"/>
                  <w:tcBorders>
                    <w:top w:val="single" w:color="auto" w:sz="6" w:space="0"/>
                    <w:left w:val="single" w:color="auto" w:sz="6" w:space="0"/>
                    <w:bottom w:val="single" w:color="auto" w:sz="6" w:space="0"/>
                    <w:right w:val="single" w:color="auto" w:sz="6" w:space="0"/>
                  </w:tcBorders>
                  <w:vAlign w:val="center"/>
                </w:tcPr>
                <w:p w14:paraId="34B70197">
                  <w:pPr>
                    <w:adjustRightInd w:val="0"/>
                    <w:snapToGrid w:val="0"/>
                    <w:jc w:val="center"/>
                    <w:rPr>
                      <w:szCs w:val="21"/>
                    </w:rPr>
                  </w:pPr>
                  <w:r>
                    <w:rPr>
                      <w:rFonts w:hint="eastAsia"/>
                      <w:szCs w:val="21"/>
                    </w:rPr>
                    <w:t>2</w:t>
                  </w:r>
                  <w:r>
                    <w:rPr>
                      <w:szCs w:val="21"/>
                    </w:rPr>
                    <w:t>0</w:t>
                  </w:r>
                </w:p>
              </w:tc>
              <w:tc>
                <w:tcPr>
                  <w:tcW w:w="1248" w:type="pct"/>
                  <w:tcBorders>
                    <w:top w:val="single" w:color="auto" w:sz="6" w:space="0"/>
                    <w:left w:val="single" w:color="auto" w:sz="6" w:space="0"/>
                    <w:bottom w:val="single" w:color="auto" w:sz="6" w:space="0"/>
                    <w:right w:val="single" w:color="auto" w:sz="12" w:space="0"/>
                  </w:tcBorders>
                  <w:vAlign w:val="center"/>
                </w:tcPr>
                <w:p w14:paraId="02D599EF">
                  <w:pPr>
                    <w:adjustRightInd w:val="0"/>
                    <w:snapToGrid w:val="0"/>
                    <w:jc w:val="center"/>
                    <w:rPr>
                      <w:szCs w:val="21"/>
                    </w:rPr>
                  </w:pPr>
                  <w:r>
                    <w:rPr>
                      <w:szCs w:val="21"/>
                    </w:rPr>
                    <w:t>0.00</w:t>
                  </w:r>
                  <w:r>
                    <w:rPr>
                      <w:rFonts w:hint="eastAsia"/>
                      <w:szCs w:val="21"/>
                    </w:rPr>
                    <w:t>9</w:t>
                  </w:r>
                </w:p>
              </w:tc>
            </w:tr>
            <w:tr w14:paraId="452F24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51DF496E">
                  <w:pPr>
                    <w:widowControl/>
                    <w:jc w:val="left"/>
                    <w:rPr>
                      <w:szCs w:val="21"/>
                    </w:rPr>
                  </w:pPr>
                </w:p>
              </w:tc>
              <w:tc>
                <w:tcPr>
                  <w:tcW w:w="1251" w:type="pct"/>
                  <w:tcBorders>
                    <w:top w:val="single" w:color="auto" w:sz="6" w:space="0"/>
                    <w:left w:val="single" w:color="auto" w:sz="6" w:space="0"/>
                    <w:bottom w:val="single" w:color="auto" w:sz="6" w:space="0"/>
                    <w:right w:val="single" w:color="auto" w:sz="6" w:space="0"/>
                  </w:tcBorders>
                  <w:vAlign w:val="center"/>
                </w:tcPr>
                <w:p w14:paraId="2F22A7E4">
                  <w:pPr>
                    <w:adjustRightInd w:val="0"/>
                    <w:snapToGrid w:val="0"/>
                    <w:jc w:val="center"/>
                    <w:rPr>
                      <w:szCs w:val="21"/>
                    </w:rPr>
                  </w:pPr>
                  <w:r>
                    <w:rPr>
                      <w:szCs w:val="21"/>
                    </w:rPr>
                    <w:t>SS</w:t>
                  </w:r>
                </w:p>
              </w:tc>
              <w:tc>
                <w:tcPr>
                  <w:tcW w:w="1251" w:type="pct"/>
                  <w:tcBorders>
                    <w:top w:val="single" w:color="auto" w:sz="6" w:space="0"/>
                    <w:left w:val="single" w:color="auto" w:sz="6" w:space="0"/>
                    <w:bottom w:val="single" w:color="auto" w:sz="6" w:space="0"/>
                    <w:right w:val="single" w:color="auto" w:sz="6" w:space="0"/>
                  </w:tcBorders>
                  <w:vAlign w:val="center"/>
                </w:tcPr>
                <w:p w14:paraId="0B7CC400">
                  <w:pPr>
                    <w:adjustRightInd w:val="0"/>
                    <w:snapToGrid w:val="0"/>
                    <w:jc w:val="center"/>
                    <w:rPr>
                      <w:szCs w:val="21"/>
                    </w:rPr>
                  </w:pPr>
                  <w:r>
                    <w:rPr>
                      <w:rFonts w:hint="eastAsia"/>
                      <w:szCs w:val="21"/>
                    </w:rPr>
                    <w:t>20</w:t>
                  </w:r>
                </w:p>
              </w:tc>
              <w:tc>
                <w:tcPr>
                  <w:tcW w:w="1248" w:type="pct"/>
                  <w:tcBorders>
                    <w:top w:val="single" w:color="auto" w:sz="6" w:space="0"/>
                    <w:left w:val="single" w:color="auto" w:sz="6" w:space="0"/>
                    <w:bottom w:val="single" w:color="auto" w:sz="6" w:space="0"/>
                    <w:right w:val="single" w:color="auto" w:sz="12" w:space="0"/>
                  </w:tcBorders>
                  <w:vAlign w:val="center"/>
                </w:tcPr>
                <w:p w14:paraId="2E0D6793">
                  <w:pPr>
                    <w:adjustRightInd w:val="0"/>
                    <w:snapToGrid w:val="0"/>
                    <w:jc w:val="center"/>
                    <w:rPr>
                      <w:szCs w:val="21"/>
                    </w:rPr>
                  </w:pPr>
                  <w:r>
                    <w:rPr>
                      <w:szCs w:val="21"/>
                    </w:rPr>
                    <w:t>0.00</w:t>
                  </w:r>
                  <w:r>
                    <w:rPr>
                      <w:rFonts w:hint="eastAsia"/>
                      <w:szCs w:val="21"/>
                    </w:rPr>
                    <w:t>9</w:t>
                  </w:r>
                </w:p>
              </w:tc>
            </w:tr>
            <w:tr w14:paraId="6F5A6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Merge w:val="continue"/>
                  <w:tcBorders>
                    <w:top w:val="single" w:color="auto" w:sz="6" w:space="0"/>
                    <w:left w:val="single" w:color="auto" w:sz="12" w:space="0"/>
                    <w:bottom w:val="single" w:color="auto" w:sz="12" w:space="0"/>
                    <w:right w:val="single" w:color="auto" w:sz="6" w:space="0"/>
                  </w:tcBorders>
                  <w:vAlign w:val="center"/>
                </w:tcPr>
                <w:p w14:paraId="31A9769B">
                  <w:pPr>
                    <w:widowControl/>
                    <w:jc w:val="left"/>
                    <w:rPr>
                      <w:szCs w:val="21"/>
                    </w:rPr>
                  </w:pPr>
                </w:p>
              </w:tc>
              <w:tc>
                <w:tcPr>
                  <w:tcW w:w="1251" w:type="pct"/>
                  <w:tcBorders>
                    <w:top w:val="single" w:color="auto" w:sz="6" w:space="0"/>
                    <w:left w:val="single" w:color="auto" w:sz="6" w:space="0"/>
                    <w:bottom w:val="single" w:color="auto" w:sz="12" w:space="0"/>
                    <w:right w:val="single" w:color="auto" w:sz="6" w:space="0"/>
                  </w:tcBorders>
                  <w:vAlign w:val="center"/>
                </w:tcPr>
                <w:p w14:paraId="2D27E1A8">
                  <w:pPr>
                    <w:adjustRightInd w:val="0"/>
                    <w:snapToGrid w:val="0"/>
                    <w:jc w:val="center"/>
                    <w:rPr>
                      <w:szCs w:val="21"/>
                    </w:rPr>
                  </w:pPr>
                  <w:r>
                    <w:rPr>
                      <w:szCs w:val="21"/>
                    </w:rPr>
                    <w:t>NH</w:t>
                  </w:r>
                  <w:r>
                    <w:rPr>
                      <w:szCs w:val="21"/>
                      <w:vertAlign w:val="subscript"/>
                    </w:rPr>
                    <w:t>3</w:t>
                  </w:r>
                  <w:r>
                    <w:rPr>
                      <w:szCs w:val="21"/>
                    </w:rPr>
                    <w:t>-N</w:t>
                  </w:r>
                </w:p>
              </w:tc>
              <w:tc>
                <w:tcPr>
                  <w:tcW w:w="1251" w:type="pct"/>
                  <w:tcBorders>
                    <w:top w:val="single" w:color="auto" w:sz="6" w:space="0"/>
                    <w:left w:val="single" w:color="auto" w:sz="6" w:space="0"/>
                    <w:bottom w:val="single" w:color="auto" w:sz="12" w:space="0"/>
                    <w:right w:val="single" w:color="auto" w:sz="6" w:space="0"/>
                  </w:tcBorders>
                  <w:vAlign w:val="center"/>
                </w:tcPr>
                <w:p w14:paraId="1BBC4C89">
                  <w:pPr>
                    <w:adjustRightInd w:val="0"/>
                    <w:snapToGrid w:val="0"/>
                    <w:jc w:val="center"/>
                    <w:rPr>
                      <w:szCs w:val="21"/>
                    </w:rPr>
                  </w:pPr>
                  <w:r>
                    <w:rPr>
                      <w:rFonts w:hint="eastAsia"/>
                      <w:szCs w:val="21"/>
                    </w:rPr>
                    <w:t>8</w:t>
                  </w:r>
                </w:p>
              </w:tc>
              <w:tc>
                <w:tcPr>
                  <w:tcW w:w="1248" w:type="pct"/>
                  <w:tcBorders>
                    <w:top w:val="single" w:color="auto" w:sz="6" w:space="0"/>
                    <w:left w:val="single" w:color="auto" w:sz="6" w:space="0"/>
                    <w:bottom w:val="single" w:color="auto" w:sz="12" w:space="0"/>
                    <w:right w:val="single" w:color="auto" w:sz="12" w:space="0"/>
                  </w:tcBorders>
                  <w:vAlign w:val="center"/>
                </w:tcPr>
                <w:p w14:paraId="00BCDB1A">
                  <w:pPr>
                    <w:adjustRightInd w:val="0"/>
                    <w:snapToGrid w:val="0"/>
                    <w:jc w:val="center"/>
                    <w:rPr>
                      <w:szCs w:val="21"/>
                    </w:rPr>
                  </w:pPr>
                  <w:r>
                    <w:rPr>
                      <w:szCs w:val="21"/>
                    </w:rPr>
                    <w:t>0.00</w:t>
                  </w:r>
                  <w:r>
                    <w:rPr>
                      <w:rFonts w:hint="eastAsia"/>
                      <w:szCs w:val="21"/>
                    </w:rPr>
                    <w:t>3</w:t>
                  </w:r>
                </w:p>
              </w:tc>
            </w:tr>
          </w:tbl>
          <w:p w14:paraId="43C5AFEE">
            <w:pPr>
              <w:adjustRightInd w:val="0"/>
              <w:snapToGrid w:val="0"/>
              <w:spacing w:line="360" w:lineRule="auto"/>
              <w:ind w:firstLine="482" w:firstLineChars="200"/>
              <w:rPr>
                <w:b/>
                <w:bCs/>
                <w:sz w:val="24"/>
              </w:rPr>
            </w:pPr>
            <w:r>
              <w:rPr>
                <w:b/>
                <w:bCs/>
                <w:sz w:val="24"/>
              </w:rPr>
              <w:t>5</w:t>
            </w:r>
            <w:r>
              <w:rPr>
                <w:rFonts w:hint="eastAsia"/>
                <w:b/>
                <w:bCs/>
                <w:sz w:val="24"/>
              </w:rPr>
              <w:t>、监测要求</w:t>
            </w:r>
          </w:p>
          <w:p w14:paraId="5BB2D332">
            <w:pPr>
              <w:adjustRightInd w:val="0"/>
              <w:snapToGrid w:val="0"/>
              <w:spacing w:line="360" w:lineRule="auto"/>
              <w:ind w:firstLine="480" w:firstLineChars="200"/>
              <w:rPr>
                <w:sz w:val="24"/>
              </w:rPr>
            </w:pPr>
            <w:r>
              <w:rPr>
                <w:rFonts w:hint="eastAsia"/>
                <w:sz w:val="24"/>
              </w:rPr>
              <w:t>依据《排污单位自行监测技术指南</w:t>
            </w:r>
            <w:r>
              <w:rPr>
                <w:sz w:val="24"/>
              </w:rPr>
              <w:t xml:space="preserve"> </w:t>
            </w:r>
            <w:r>
              <w:rPr>
                <w:rFonts w:hint="eastAsia"/>
                <w:sz w:val="24"/>
              </w:rPr>
              <w:t>总则》（</w:t>
            </w:r>
            <w:r>
              <w:rPr>
                <w:sz w:val="24"/>
              </w:rPr>
              <w:t>HJ 819-2017</w:t>
            </w:r>
            <w:r>
              <w:rPr>
                <w:rFonts w:hint="eastAsia"/>
                <w:sz w:val="24"/>
              </w:rPr>
              <w:t>）、《排污许可证申请与核发技术规范</w:t>
            </w:r>
            <w:r>
              <w:rPr>
                <w:sz w:val="24"/>
              </w:rPr>
              <w:t xml:space="preserve"> </w:t>
            </w:r>
            <w:r>
              <w:rPr>
                <w:rFonts w:hint="eastAsia"/>
                <w:sz w:val="24"/>
              </w:rPr>
              <w:t>总则》（</w:t>
            </w:r>
            <w:r>
              <w:rPr>
                <w:sz w:val="24"/>
              </w:rPr>
              <w:t>HJ942-2018</w:t>
            </w:r>
            <w:r>
              <w:rPr>
                <w:rFonts w:hint="eastAsia"/>
                <w:sz w:val="24"/>
              </w:rPr>
              <w:t>）、《环境影响评价技术导则</w:t>
            </w:r>
            <w:r>
              <w:rPr>
                <w:sz w:val="24"/>
              </w:rPr>
              <w:t xml:space="preserve">  </w:t>
            </w:r>
            <w:r>
              <w:rPr>
                <w:rFonts w:hint="eastAsia"/>
                <w:sz w:val="24"/>
              </w:rPr>
              <w:t>地表水环境》（</w:t>
            </w:r>
            <w:r>
              <w:rPr>
                <w:sz w:val="24"/>
              </w:rPr>
              <w:t>HJ2.3-2018</w:t>
            </w:r>
            <w:r>
              <w:rPr>
                <w:rFonts w:hint="eastAsia"/>
                <w:sz w:val="24"/>
              </w:rPr>
              <w:t>），本项目属于间接排放且仅排放生活污水，水污染源无需开展环境监测</w:t>
            </w:r>
            <w:r>
              <w:rPr>
                <w:rFonts w:hint="eastAsia"/>
                <w:kern w:val="0"/>
                <w:sz w:val="24"/>
              </w:rPr>
              <w:t>。</w:t>
            </w:r>
          </w:p>
          <w:p w14:paraId="45FC2D2D">
            <w:pPr>
              <w:adjustRightInd w:val="0"/>
              <w:snapToGrid w:val="0"/>
              <w:spacing w:line="360" w:lineRule="auto"/>
              <w:ind w:firstLine="482" w:firstLineChars="200"/>
              <w:rPr>
                <w:b/>
                <w:sz w:val="24"/>
              </w:rPr>
            </w:pPr>
            <w:r>
              <w:rPr>
                <w:rFonts w:hint="eastAsia"/>
                <w:b/>
                <w:sz w:val="24"/>
              </w:rPr>
              <w:t>三、噪声</w:t>
            </w:r>
          </w:p>
          <w:p w14:paraId="40503AA2">
            <w:pPr>
              <w:spacing w:line="360" w:lineRule="auto"/>
              <w:ind w:firstLine="482" w:firstLineChars="200"/>
              <w:rPr>
                <w:rFonts w:hAnsi="宋体"/>
                <w:b/>
                <w:kern w:val="0"/>
                <w:sz w:val="24"/>
              </w:rPr>
            </w:pPr>
            <w:r>
              <w:rPr>
                <w:rFonts w:hint="eastAsia" w:hAnsi="宋体"/>
                <w:b/>
                <w:kern w:val="0"/>
                <w:sz w:val="24"/>
              </w:rPr>
              <w:t>1、噪声源强分析</w:t>
            </w:r>
          </w:p>
          <w:p w14:paraId="10211A17">
            <w:pPr>
              <w:adjustRightInd w:val="0"/>
              <w:snapToGrid w:val="0"/>
              <w:spacing w:line="360" w:lineRule="auto"/>
              <w:ind w:firstLine="480" w:firstLineChars="200"/>
              <w:rPr>
                <w:rFonts w:hAnsi="宋体"/>
                <w:kern w:val="0"/>
                <w:sz w:val="24"/>
              </w:rPr>
            </w:pPr>
            <w:r>
              <w:rPr>
                <w:rFonts w:hint="eastAsia" w:hAnsi="宋体"/>
                <w:kern w:val="0"/>
                <w:sz w:val="24"/>
              </w:rPr>
              <w:t>项目在生产过程中产生的噪声主要源自圆筒筛、提升机、风机等，这些设备产生的噪声声级一般在75~85dB（A）。主要噪声源排放情况见表4-14、表4-15。</w:t>
            </w:r>
          </w:p>
          <w:p w14:paraId="0D5C5FBF">
            <w:pPr>
              <w:spacing w:before="120" w:beforeLines="50"/>
              <w:jc w:val="center"/>
              <w:rPr>
                <w:b/>
              </w:rPr>
            </w:pPr>
            <w:r>
              <w:rPr>
                <w:rFonts w:hint="eastAsia"/>
                <w:b/>
              </w:rPr>
              <w:t>表4-14  工业企业噪声源强调查清单（室内声源）</w:t>
            </w:r>
          </w:p>
          <w:tbl>
            <w:tblPr>
              <w:tblStyle w:val="2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484"/>
              <w:gridCol w:w="653"/>
              <w:gridCol w:w="824"/>
              <w:gridCol w:w="682"/>
              <w:gridCol w:w="772"/>
              <w:gridCol w:w="712"/>
              <w:gridCol w:w="524"/>
              <w:gridCol w:w="952"/>
              <w:gridCol w:w="745"/>
              <w:gridCol w:w="513"/>
              <w:gridCol w:w="704"/>
              <w:gridCol w:w="745"/>
              <w:gridCol w:w="641"/>
            </w:tblGrid>
            <w:tr w14:paraId="73D32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Merge w:val="restart"/>
                  <w:vAlign w:val="center"/>
                </w:tcPr>
                <w:p w14:paraId="420EBF77">
                  <w:pPr>
                    <w:jc w:val="center"/>
                    <w:rPr>
                      <w:rFonts w:eastAsiaTheme="minorEastAsia"/>
                      <w:b/>
                      <w:sz w:val="18"/>
                      <w:szCs w:val="18"/>
                    </w:rPr>
                  </w:pPr>
                  <w:r>
                    <w:rPr>
                      <w:rFonts w:hAnsiTheme="minorEastAsia" w:eastAsiaTheme="minorEastAsia"/>
                      <w:b/>
                      <w:sz w:val="18"/>
                      <w:szCs w:val="18"/>
                    </w:rPr>
                    <w:t>序号</w:t>
                  </w:r>
                </w:p>
              </w:tc>
              <w:tc>
                <w:tcPr>
                  <w:tcW w:w="258" w:type="pct"/>
                  <w:vMerge w:val="restart"/>
                  <w:vAlign w:val="center"/>
                </w:tcPr>
                <w:p w14:paraId="68C1CF74">
                  <w:pPr>
                    <w:jc w:val="center"/>
                    <w:rPr>
                      <w:rFonts w:eastAsiaTheme="minorEastAsia"/>
                      <w:b/>
                      <w:sz w:val="18"/>
                      <w:szCs w:val="18"/>
                    </w:rPr>
                  </w:pPr>
                  <w:r>
                    <w:rPr>
                      <w:rFonts w:hAnsiTheme="minorEastAsia" w:eastAsiaTheme="minorEastAsia"/>
                      <w:b/>
                      <w:sz w:val="18"/>
                      <w:szCs w:val="18"/>
                    </w:rPr>
                    <w:t>建筑物名称</w:t>
                  </w:r>
                </w:p>
              </w:tc>
              <w:tc>
                <w:tcPr>
                  <w:tcW w:w="348" w:type="pct"/>
                  <w:vMerge w:val="restart"/>
                  <w:vAlign w:val="center"/>
                </w:tcPr>
                <w:p w14:paraId="20CD00C3">
                  <w:pPr>
                    <w:jc w:val="center"/>
                    <w:rPr>
                      <w:rFonts w:eastAsiaTheme="minorEastAsia"/>
                      <w:b/>
                      <w:sz w:val="18"/>
                      <w:szCs w:val="18"/>
                    </w:rPr>
                  </w:pPr>
                  <w:r>
                    <w:rPr>
                      <w:rFonts w:hAnsiTheme="minorEastAsia" w:eastAsiaTheme="minorEastAsia"/>
                      <w:b/>
                      <w:sz w:val="18"/>
                      <w:szCs w:val="18"/>
                    </w:rPr>
                    <w:t>声源名称</w:t>
                  </w:r>
                </w:p>
              </w:tc>
              <w:tc>
                <w:tcPr>
                  <w:tcW w:w="439" w:type="pct"/>
                  <w:vMerge w:val="restart"/>
                  <w:vAlign w:val="center"/>
                </w:tcPr>
                <w:p w14:paraId="6C5FAB59">
                  <w:pPr>
                    <w:jc w:val="center"/>
                    <w:rPr>
                      <w:rFonts w:eastAsiaTheme="minorEastAsia"/>
                      <w:b/>
                      <w:sz w:val="18"/>
                      <w:szCs w:val="18"/>
                    </w:rPr>
                  </w:pPr>
                  <w:r>
                    <w:rPr>
                      <w:rFonts w:hAnsiTheme="minorEastAsia" w:eastAsiaTheme="minorEastAsia"/>
                      <w:b/>
                      <w:sz w:val="18"/>
                      <w:szCs w:val="18"/>
                    </w:rPr>
                    <w:t>声功率级</w:t>
                  </w:r>
                  <w:r>
                    <w:rPr>
                      <w:rFonts w:eastAsiaTheme="minorEastAsia"/>
                      <w:b/>
                      <w:sz w:val="18"/>
                      <w:szCs w:val="18"/>
                    </w:rPr>
                    <w:t>/dB</w:t>
                  </w:r>
                  <w:r>
                    <w:rPr>
                      <w:rFonts w:hAnsiTheme="minorEastAsia" w:eastAsiaTheme="minorEastAsia"/>
                      <w:b/>
                      <w:sz w:val="18"/>
                      <w:szCs w:val="18"/>
                    </w:rPr>
                    <w:t>（</w:t>
                  </w:r>
                  <w:r>
                    <w:rPr>
                      <w:rFonts w:eastAsiaTheme="minorEastAsia"/>
                      <w:b/>
                      <w:sz w:val="18"/>
                      <w:szCs w:val="18"/>
                    </w:rPr>
                    <w:t>A</w:t>
                  </w:r>
                  <w:r>
                    <w:rPr>
                      <w:rFonts w:hAnsiTheme="minorEastAsia" w:eastAsiaTheme="minorEastAsia"/>
                      <w:b/>
                      <w:sz w:val="18"/>
                      <w:szCs w:val="18"/>
                    </w:rPr>
                    <w:t>）</w:t>
                  </w:r>
                </w:p>
              </w:tc>
              <w:tc>
                <w:tcPr>
                  <w:tcW w:w="363" w:type="pct"/>
                  <w:vMerge w:val="restart"/>
                  <w:vAlign w:val="center"/>
                </w:tcPr>
                <w:p w14:paraId="575C5651">
                  <w:pPr>
                    <w:jc w:val="center"/>
                    <w:rPr>
                      <w:rFonts w:eastAsiaTheme="minorEastAsia"/>
                      <w:b/>
                      <w:sz w:val="18"/>
                      <w:szCs w:val="18"/>
                    </w:rPr>
                  </w:pPr>
                  <w:r>
                    <w:rPr>
                      <w:rFonts w:hAnsiTheme="minorEastAsia" w:eastAsiaTheme="minorEastAsia"/>
                      <w:b/>
                      <w:sz w:val="18"/>
                      <w:szCs w:val="18"/>
                    </w:rPr>
                    <w:t>声源控制措施</w:t>
                  </w:r>
                </w:p>
              </w:tc>
              <w:tc>
                <w:tcPr>
                  <w:tcW w:w="1069" w:type="pct"/>
                  <w:gridSpan w:val="3"/>
                  <w:vAlign w:val="center"/>
                </w:tcPr>
                <w:p w14:paraId="7E03B0B2">
                  <w:pPr>
                    <w:jc w:val="center"/>
                    <w:rPr>
                      <w:rFonts w:eastAsiaTheme="minorEastAsia"/>
                      <w:b/>
                      <w:sz w:val="18"/>
                      <w:szCs w:val="18"/>
                    </w:rPr>
                  </w:pPr>
                  <w:r>
                    <w:rPr>
                      <w:rFonts w:hAnsiTheme="minorEastAsia" w:eastAsiaTheme="minorEastAsia"/>
                      <w:b/>
                      <w:sz w:val="18"/>
                      <w:szCs w:val="18"/>
                    </w:rPr>
                    <w:t>空间相对位置</w:t>
                  </w:r>
                  <w:r>
                    <w:rPr>
                      <w:rFonts w:eastAsiaTheme="minorEastAsia"/>
                      <w:b/>
                      <w:sz w:val="18"/>
                      <w:szCs w:val="18"/>
                    </w:rPr>
                    <w:t>/m</w:t>
                  </w:r>
                </w:p>
              </w:tc>
              <w:tc>
                <w:tcPr>
                  <w:tcW w:w="507" w:type="pct"/>
                  <w:vMerge w:val="restart"/>
                  <w:vAlign w:val="center"/>
                </w:tcPr>
                <w:p w14:paraId="28CA0729">
                  <w:pPr>
                    <w:pStyle w:val="2"/>
                    <w:jc w:val="center"/>
                    <w:rPr>
                      <w:rFonts w:ascii="Times New Roman" w:cs="Times New Roman" w:eastAsiaTheme="minorEastAsia"/>
                      <w:b/>
                      <w:color w:val="auto"/>
                      <w:sz w:val="18"/>
                      <w:szCs w:val="18"/>
                    </w:rPr>
                  </w:pPr>
                  <w:r>
                    <w:rPr>
                      <w:rFonts w:ascii="Times New Roman" w:cs="Times New Roman" w:hAnsiTheme="minorEastAsia" w:eastAsiaTheme="minorEastAsia"/>
                      <w:b/>
                      <w:color w:val="auto"/>
                      <w:sz w:val="18"/>
                      <w:szCs w:val="18"/>
                    </w:rPr>
                    <w:t>距室内边界距离</w:t>
                  </w:r>
                  <w:r>
                    <w:rPr>
                      <w:rFonts w:ascii="Times New Roman" w:cs="Times New Roman" w:eastAsiaTheme="minorEastAsia"/>
                      <w:b/>
                      <w:color w:val="auto"/>
                      <w:sz w:val="18"/>
                      <w:szCs w:val="18"/>
                    </w:rPr>
                    <w:t>/m</w:t>
                  </w:r>
                </w:p>
              </w:tc>
              <w:tc>
                <w:tcPr>
                  <w:tcW w:w="397" w:type="pct"/>
                  <w:vMerge w:val="restart"/>
                  <w:vAlign w:val="center"/>
                </w:tcPr>
                <w:p w14:paraId="30476161">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室内边界声压级</w:t>
                  </w:r>
                  <w:r>
                    <w:rPr>
                      <w:rFonts w:hint="eastAsia" w:ascii="Times New Roman" w:cs="Times New Roman" w:eastAsiaTheme="minorEastAsia"/>
                      <w:b/>
                      <w:color w:val="auto"/>
                      <w:sz w:val="18"/>
                      <w:szCs w:val="18"/>
                    </w:rPr>
                    <w:t>/dB（A）</w:t>
                  </w:r>
                </w:p>
              </w:tc>
              <w:tc>
                <w:tcPr>
                  <w:tcW w:w="273" w:type="pct"/>
                  <w:vMerge w:val="restart"/>
                  <w:vAlign w:val="center"/>
                </w:tcPr>
                <w:p w14:paraId="6936705B">
                  <w:pPr>
                    <w:pStyle w:val="2"/>
                    <w:jc w:val="center"/>
                    <w:rPr>
                      <w:rFonts w:ascii="Times New Roman" w:cs="Times New Roman" w:hAnsiTheme="minorEastAsia" w:eastAsiaTheme="minorEastAsia"/>
                      <w:b/>
                      <w:color w:val="auto"/>
                      <w:sz w:val="18"/>
                      <w:szCs w:val="18"/>
                    </w:rPr>
                  </w:pPr>
                  <w:r>
                    <w:rPr>
                      <w:rFonts w:ascii="Times New Roman" w:cs="Times New Roman" w:eastAsiaTheme="minorEastAsia"/>
                      <w:b/>
                      <w:color w:val="auto"/>
                      <w:sz w:val="18"/>
                      <w:szCs w:val="18"/>
                    </w:rPr>
                    <w:t>运行时段</w:t>
                  </w:r>
                </w:p>
              </w:tc>
              <w:tc>
                <w:tcPr>
                  <w:tcW w:w="375" w:type="pct"/>
                  <w:vMerge w:val="restart"/>
                  <w:vAlign w:val="center"/>
                </w:tcPr>
                <w:p w14:paraId="78DF801F">
                  <w:pPr>
                    <w:pStyle w:val="2"/>
                    <w:jc w:val="center"/>
                    <w:rPr>
                      <w:rFonts w:ascii="Times New Roman" w:cs="Times New Roman" w:hAnsiTheme="minorEastAsia" w:eastAsiaTheme="minorEastAsia"/>
                      <w:b/>
                      <w:color w:val="auto"/>
                      <w:sz w:val="18"/>
                      <w:szCs w:val="18"/>
                    </w:rPr>
                  </w:pPr>
                  <w:r>
                    <w:rPr>
                      <w:rFonts w:eastAsiaTheme="minorEastAsia"/>
                      <w:b/>
                      <w:color w:val="auto"/>
                      <w:sz w:val="18"/>
                      <w:szCs w:val="18"/>
                    </w:rPr>
                    <w:t>建筑物插入损失/dB（A）</w:t>
                  </w:r>
                </w:p>
              </w:tc>
              <w:tc>
                <w:tcPr>
                  <w:tcW w:w="738" w:type="pct"/>
                  <w:gridSpan w:val="2"/>
                  <w:vAlign w:val="center"/>
                </w:tcPr>
                <w:p w14:paraId="53402660">
                  <w:pPr>
                    <w:pStyle w:val="2"/>
                    <w:jc w:val="center"/>
                    <w:rPr>
                      <w:rFonts w:eastAsiaTheme="minorEastAsia"/>
                      <w:b/>
                      <w:color w:val="auto"/>
                      <w:sz w:val="18"/>
                      <w:szCs w:val="18"/>
                    </w:rPr>
                  </w:pPr>
                  <w:r>
                    <w:rPr>
                      <w:rFonts w:eastAsiaTheme="minorEastAsia"/>
                      <w:b/>
                      <w:color w:val="auto"/>
                      <w:sz w:val="18"/>
                      <w:szCs w:val="18"/>
                    </w:rPr>
                    <w:t>建筑外噪声</w:t>
                  </w:r>
                </w:p>
              </w:tc>
            </w:tr>
            <w:tr w14:paraId="159B0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Merge w:val="continue"/>
                  <w:vAlign w:val="center"/>
                </w:tcPr>
                <w:p w14:paraId="313DBD8F">
                  <w:pPr>
                    <w:jc w:val="center"/>
                    <w:rPr>
                      <w:rFonts w:eastAsiaTheme="minorEastAsia"/>
                      <w:b/>
                      <w:sz w:val="18"/>
                      <w:szCs w:val="18"/>
                    </w:rPr>
                  </w:pPr>
                </w:p>
              </w:tc>
              <w:tc>
                <w:tcPr>
                  <w:tcW w:w="258" w:type="pct"/>
                  <w:vMerge w:val="continue"/>
                  <w:vAlign w:val="center"/>
                </w:tcPr>
                <w:p w14:paraId="0ABFC657">
                  <w:pPr>
                    <w:jc w:val="center"/>
                    <w:rPr>
                      <w:rFonts w:eastAsiaTheme="minorEastAsia"/>
                      <w:b/>
                      <w:sz w:val="18"/>
                      <w:szCs w:val="18"/>
                    </w:rPr>
                  </w:pPr>
                </w:p>
              </w:tc>
              <w:tc>
                <w:tcPr>
                  <w:tcW w:w="348" w:type="pct"/>
                  <w:vMerge w:val="continue"/>
                  <w:vAlign w:val="center"/>
                </w:tcPr>
                <w:p w14:paraId="24D8107B">
                  <w:pPr>
                    <w:jc w:val="center"/>
                    <w:rPr>
                      <w:rFonts w:eastAsiaTheme="minorEastAsia"/>
                      <w:b/>
                      <w:sz w:val="18"/>
                      <w:szCs w:val="18"/>
                    </w:rPr>
                  </w:pPr>
                </w:p>
              </w:tc>
              <w:tc>
                <w:tcPr>
                  <w:tcW w:w="439" w:type="pct"/>
                  <w:vMerge w:val="continue"/>
                  <w:vAlign w:val="center"/>
                </w:tcPr>
                <w:p w14:paraId="3940695A">
                  <w:pPr>
                    <w:pStyle w:val="2"/>
                    <w:jc w:val="center"/>
                    <w:rPr>
                      <w:rFonts w:ascii="Times New Roman" w:cs="Times New Roman" w:eastAsiaTheme="minorEastAsia"/>
                      <w:b/>
                      <w:color w:val="auto"/>
                      <w:sz w:val="18"/>
                      <w:szCs w:val="18"/>
                    </w:rPr>
                  </w:pPr>
                </w:p>
              </w:tc>
              <w:tc>
                <w:tcPr>
                  <w:tcW w:w="363" w:type="pct"/>
                  <w:vMerge w:val="continue"/>
                  <w:vAlign w:val="center"/>
                </w:tcPr>
                <w:p w14:paraId="661AEC3E">
                  <w:pPr>
                    <w:jc w:val="center"/>
                    <w:rPr>
                      <w:rFonts w:eastAsiaTheme="minorEastAsia"/>
                      <w:b/>
                      <w:sz w:val="18"/>
                      <w:szCs w:val="18"/>
                    </w:rPr>
                  </w:pPr>
                </w:p>
              </w:tc>
              <w:tc>
                <w:tcPr>
                  <w:tcW w:w="411" w:type="pct"/>
                  <w:vAlign w:val="center"/>
                </w:tcPr>
                <w:p w14:paraId="3AA6D2B6">
                  <w:pPr>
                    <w:jc w:val="center"/>
                    <w:rPr>
                      <w:rFonts w:eastAsiaTheme="minorEastAsia"/>
                      <w:b/>
                      <w:sz w:val="18"/>
                      <w:szCs w:val="18"/>
                    </w:rPr>
                  </w:pPr>
                  <w:r>
                    <w:rPr>
                      <w:rFonts w:eastAsiaTheme="minorEastAsia"/>
                      <w:b/>
                      <w:sz w:val="18"/>
                      <w:szCs w:val="18"/>
                    </w:rPr>
                    <w:t>X</w:t>
                  </w:r>
                </w:p>
              </w:tc>
              <w:tc>
                <w:tcPr>
                  <w:tcW w:w="379" w:type="pct"/>
                  <w:vAlign w:val="center"/>
                </w:tcPr>
                <w:p w14:paraId="0376EDF7">
                  <w:pPr>
                    <w:jc w:val="center"/>
                    <w:rPr>
                      <w:rFonts w:eastAsiaTheme="minorEastAsia"/>
                      <w:b/>
                      <w:sz w:val="18"/>
                      <w:szCs w:val="18"/>
                    </w:rPr>
                  </w:pPr>
                  <w:r>
                    <w:rPr>
                      <w:rFonts w:eastAsiaTheme="minorEastAsia"/>
                      <w:b/>
                      <w:sz w:val="18"/>
                      <w:szCs w:val="18"/>
                    </w:rPr>
                    <w:t>Y</w:t>
                  </w:r>
                </w:p>
              </w:tc>
              <w:tc>
                <w:tcPr>
                  <w:tcW w:w="279" w:type="pct"/>
                  <w:vAlign w:val="center"/>
                </w:tcPr>
                <w:p w14:paraId="328B3C73">
                  <w:pPr>
                    <w:jc w:val="center"/>
                    <w:rPr>
                      <w:rFonts w:eastAsiaTheme="minorEastAsia"/>
                      <w:b/>
                      <w:sz w:val="18"/>
                      <w:szCs w:val="18"/>
                    </w:rPr>
                  </w:pPr>
                  <w:r>
                    <w:rPr>
                      <w:rFonts w:eastAsiaTheme="minorEastAsia"/>
                      <w:b/>
                      <w:sz w:val="18"/>
                      <w:szCs w:val="18"/>
                    </w:rPr>
                    <w:t>Z</w:t>
                  </w:r>
                </w:p>
              </w:tc>
              <w:tc>
                <w:tcPr>
                  <w:tcW w:w="507" w:type="pct"/>
                  <w:vMerge w:val="continue"/>
                  <w:vAlign w:val="center"/>
                </w:tcPr>
                <w:p w14:paraId="114A3B9A">
                  <w:pPr>
                    <w:pStyle w:val="2"/>
                    <w:jc w:val="center"/>
                    <w:rPr>
                      <w:rFonts w:ascii="Times New Roman" w:cs="Times New Roman" w:eastAsiaTheme="minorEastAsia"/>
                      <w:b/>
                      <w:color w:val="auto"/>
                      <w:sz w:val="18"/>
                      <w:szCs w:val="18"/>
                    </w:rPr>
                  </w:pPr>
                </w:p>
              </w:tc>
              <w:tc>
                <w:tcPr>
                  <w:tcW w:w="397" w:type="pct"/>
                  <w:vMerge w:val="continue"/>
                  <w:vAlign w:val="center"/>
                </w:tcPr>
                <w:p w14:paraId="52A4FD5A">
                  <w:pPr>
                    <w:pStyle w:val="2"/>
                    <w:jc w:val="center"/>
                    <w:rPr>
                      <w:rFonts w:ascii="Times New Roman" w:cs="Times New Roman" w:eastAsiaTheme="minorEastAsia"/>
                      <w:b/>
                      <w:color w:val="auto"/>
                      <w:sz w:val="18"/>
                      <w:szCs w:val="18"/>
                    </w:rPr>
                  </w:pPr>
                </w:p>
              </w:tc>
              <w:tc>
                <w:tcPr>
                  <w:tcW w:w="273" w:type="pct"/>
                  <w:vMerge w:val="continue"/>
                  <w:vAlign w:val="center"/>
                </w:tcPr>
                <w:p w14:paraId="670EE076">
                  <w:pPr>
                    <w:pStyle w:val="2"/>
                    <w:jc w:val="center"/>
                    <w:rPr>
                      <w:rFonts w:ascii="Times New Roman" w:cs="Times New Roman" w:eastAsiaTheme="minorEastAsia"/>
                      <w:b/>
                      <w:color w:val="auto"/>
                      <w:sz w:val="18"/>
                      <w:szCs w:val="18"/>
                    </w:rPr>
                  </w:pPr>
                </w:p>
              </w:tc>
              <w:tc>
                <w:tcPr>
                  <w:tcW w:w="375" w:type="pct"/>
                  <w:vMerge w:val="continue"/>
                  <w:vAlign w:val="center"/>
                </w:tcPr>
                <w:p w14:paraId="1ED9350E">
                  <w:pPr>
                    <w:pStyle w:val="2"/>
                    <w:jc w:val="center"/>
                    <w:rPr>
                      <w:rFonts w:ascii="Times New Roman" w:cs="Times New Roman" w:eastAsiaTheme="minorEastAsia"/>
                      <w:b/>
                      <w:color w:val="auto"/>
                      <w:sz w:val="18"/>
                      <w:szCs w:val="18"/>
                    </w:rPr>
                  </w:pPr>
                </w:p>
              </w:tc>
              <w:tc>
                <w:tcPr>
                  <w:tcW w:w="397" w:type="pct"/>
                  <w:vAlign w:val="center"/>
                </w:tcPr>
                <w:p w14:paraId="6A306CF1">
                  <w:pPr>
                    <w:jc w:val="center"/>
                    <w:rPr>
                      <w:rFonts w:eastAsiaTheme="minorEastAsia"/>
                      <w:b/>
                      <w:sz w:val="18"/>
                      <w:szCs w:val="18"/>
                    </w:rPr>
                  </w:pPr>
                  <w:r>
                    <w:rPr>
                      <w:rFonts w:eastAsiaTheme="minorEastAsia"/>
                      <w:b/>
                      <w:sz w:val="18"/>
                      <w:szCs w:val="18"/>
                    </w:rPr>
                    <w:t>声压级/dB（A）</w:t>
                  </w:r>
                </w:p>
              </w:tc>
              <w:tc>
                <w:tcPr>
                  <w:tcW w:w="341" w:type="pct"/>
                  <w:vAlign w:val="center"/>
                </w:tcPr>
                <w:p w14:paraId="088B5C42">
                  <w:pPr>
                    <w:pStyle w:val="2"/>
                    <w:jc w:val="center"/>
                    <w:rPr>
                      <w:rFonts w:ascii="Times New Roman" w:cs="Times New Roman" w:eastAsiaTheme="minorEastAsia"/>
                      <w:b/>
                      <w:color w:val="auto"/>
                      <w:sz w:val="18"/>
                      <w:szCs w:val="18"/>
                    </w:rPr>
                  </w:pPr>
                  <w:r>
                    <w:rPr>
                      <w:rFonts w:ascii="Times New Roman" w:cs="Times New Roman" w:eastAsiaTheme="minorEastAsia"/>
                      <w:b/>
                      <w:color w:val="auto"/>
                      <w:sz w:val="18"/>
                      <w:szCs w:val="18"/>
                    </w:rPr>
                    <w:t>建筑物外距离</w:t>
                  </w:r>
                </w:p>
              </w:tc>
            </w:tr>
            <w:tr w14:paraId="761AD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2BA95EF3">
                  <w:pPr>
                    <w:jc w:val="center"/>
                    <w:rPr>
                      <w:rFonts w:eastAsiaTheme="minorEastAsia"/>
                      <w:sz w:val="18"/>
                      <w:szCs w:val="18"/>
                    </w:rPr>
                  </w:pPr>
                  <w:r>
                    <w:rPr>
                      <w:rFonts w:eastAsiaTheme="minorEastAsia"/>
                      <w:sz w:val="18"/>
                      <w:szCs w:val="18"/>
                    </w:rPr>
                    <w:t>1</w:t>
                  </w:r>
                </w:p>
              </w:tc>
              <w:tc>
                <w:tcPr>
                  <w:tcW w:w="258" w:type="pct"/>
                  <w:vMerge w:val="restart"/>
                  <w:vAlign w:val="center"/>
                </w:tcPr>
                <w:p w14:paraId="3622A8B7">
                  <w:pPr>
                    <w:jc w:val="center"/>
                    <w:rPr>
                      <w:rFonts w:eastAsiaTheme="minorEastAsia"/>
                      <w:sz w:val="18"/>
                      <w:szCs w:val="18"/>
                    </w:rPr>
                  </w:pPr>
                  <w:r>
                    <w:rPr>
                      <w:rFonts w:hint="eastAsia" w:eastAsiaTheme="minorEastAsia"/>
                      <w:sz w:val="18"/>
                      <w:szCs w:val="18"/>
                    </w:rPr>
                    <w:t>平方仓1</w:t>
                  </w:r>
                </w:p>
              </w:tc>
              <w:tc>
                <w:tcPr>
                  <w:tcW w:w="348" w:type="pct"/>
                  <w:vAlign w:val="center"/>
                </w:tcPr>
                <w:p w14:paraId="2B72D1BF">
                  <w:pPr>
                    <w:widowControl/>
                    <w:jc w:val="center"/>
                    <w:rPr>
                      <w:kern w:val="0"/>
                      <w:sz w:val="18"/>
                      <w:szCs w:val="18"/>
                    </w:rPr>
                  </w:pPr>
                  <w:r>
                    <w:rPr>
                      <w:rFonts w:hint="eastAsia"/>
                      <w:kern w:val="0"/>
                      <w:sz w:val="18"/>
                      <w:szCs w:val="18"/>
                    </w:rPr>
                    <w:t>接料机</w:t>
                  </w:r>
                </w:p>
              </w:tc>
              <w:tc>
                <w:tcPr>
                  <w:tcW w:w="439" w:type="pct"/>
                  <w:vAlign w:val="center"/>
                </w:tcPr>
                <w:p w14:paraId="3131E248">
                  <w:pPr>
                    <w:jc w:val="center"/>
                    <w:rPr>
                      <w:sz w:val="18"/>
                      <w:szCs w:val="18"/>
                    </w:rPr>
                  </w:pPr>
                  <w:r>
                    <w:rPr>
                      <w:rFonts w:hint="eastAsia"/>
                      <w:sz w:val="18"/>
                      <w:szCs w:val="18"/>
                    </w:rPr>
                    <w:t>75</w:t>
                  </w:r>
                </w:p>
              </w:tc>
              <w:tc>
                <w:tcPr>
                  <w:tcW w:w="363" w:type="pct"/>
                  <w:vAlign w:val="center"/>
                </w:tcPr>
                <w:p w14:paraId="47D7A3B8">
                  <w:pPr>
                    <w:jc w:val="center"/>
                    <w:rPr>
                      <w:rFonts w:hAnsiTheme="minorEastAsia" w:eastAsiaTheme="minorEastAsia"/>
                      <w:sz w:val="18"/>
                      <w:szCs w:val="18"/>
                    </w:rPr>
                  </w:pPr>
                  <w:r>
                    <w:rPr>
                      <w:rFonts w:hAnsiTheme="minorEastAsia" w:eastAsiaTheme="minorEastAsia"/>
                      <w:sz w:val="18"/>
                      <w:szCs w:val="18"/>
                    </w:rPr>
                    <w:t>减振</w:t>
                  </w:r>
                </w:p>
                <w:p w14:paraId="4A685FFD">
                  <w:pPr>
                    <w:jc w:val="center"/>
                    <w:rPr>
                      <w:rFonts w:hAnsiTheme="minorEastAsia"/>
                      <w:sz w:val="18"/>
                      <w:szCs w:val="18"/>
                    </w:rPr>
                  </w:pPr>
                  <w:r>
                    <w:rPr>
                      <w:rFonts w:hAnsiTheme="minorEastAsia" w:eastAsiaTheme="minorEastAsia"/>
                      <w:sz w:val="18"/>
                      <w:szCs w:val="18"/>
                    </w:rPr>
                    <w:t>隔声</w:t>
                  </w:r>
                </w:p>
              </w:tc>
              <w:tc>
                <w:tcPr>
                  <w:tcW w:w="411" w:type="pct"/>
                  <w:vAlign w:val="center"/>
                </w:tcPr>
                <w:p w14:paraId="71047BFB">
                  <w:pPr>
                    <w:autoSpaceDE w:val="0"/>
                    <w:autoSpaceDN w:val="0"/>
                    <w:jc w:val="center"/>
                    <w:rPr>
                      <w:kern w:val="0"/>
                      <w:sz w:val="18"/>
                      <w:szCs w:val="18"/>
                    </w:rPr>
                  </w:pPr>
                  <w:r>
                    <w:rPr>
                      <w:rFonts w:hint="eastAsia"/>
                      <w:kern w:val="0"/>
                      <w:sz w:val="18"/>
                      <w:szCs w:val="18"/>
                    </w:rPr>
                    <w:t>4.68</w:t>
                  </w:r>
                </w:p>
              </w:tc>
              <w:tc>
                <w:tcPr>
                  <w:tcW w:w="379" w:type="pct"/>
                  <w:vAlign w:val="center"/>
                </w:tcPr>
                <w:p w14:paraId="2A41089C">
                  <w:pPr>
                    <w:autoSpaceDE w:val="0"/>
                    <w:autoSpaceDN w:val="0"/>
                    <w:jc w:val="center"/>
                    <w:rPr>
                      <w:kern w:val="0"/>
                      <w:sz w:val="18"/>
                      <w:szCs w:val="18"/>
                    </w:rPr>
                  </w:pPr>
                  <w:r>
                    <w:rPr>
                      <w:rFonts w:hint="eastAsia"/>
                      <w:kern w:val="0"/>
                      <w:sz w:val="18"/>
                      <w:szCs w:val="18"/>
                    </w:rPr>
                    <w:t>111.06</w:t>
                  </w:r>
                </w:p>
              </w:tc>
              <w:tc>
                <w:tcPr>
                  <w:tcW w:w="279" w:type="pct"/>
                  <w:vAlign w:val="center"/>
                </w:tcPr>
                <w:p w14:paraId="39F3E376">
                  <w:pPr>
                    <w:autoSpaceDE w:val="0"/>
                    <w:autoSpaceDN w:val="0"/>
                    <w:jc w:val="center"/>
                    <w:rPr>
                      <w:kern w:val="0"/>
                      <w:sz w:val="18"/>
                      <w:szCs w:val="18"/>
                    </w:rPr>
                  </w:pPr>
                  <w:r>
                    <w:rPr>
                      <w:rFonts w:hint="eastAsia"/>
                      <w:kern w:val="0"/>
                      <w:sz w:val="18"/>
                      <w:szCs w:val="18"/>
                    </w:rPr>
                    <w:t>1.2</w:t>
                  </w:r>
                </w:p>
              </w:tc>
              <w:tc>
                <w:tcPr>
                  <w:tcW w:w="507" w:type="pct"/>
                  <w:vAlign w:val="center"/>
                </w:tcPr>
                <w:p w14:paraId="102F82E5">
                  <w:pPr>
                    <w:jc w:val="center"/>
                    <w:rPr>
                      <w:sz w:val="18"/>
                      <w:szCs w:val="18"/>
                    </w:rPr>
                  </w:pPr>
                  <w:r>
                    <w:rPr>
                      <w:rFonts w:hint="eastAsia"/>
                      <w:sz w:val="18"/>
                      <w:szCs w:val="18"/>
                    </w:rPr>
                    <w:t>东9.01</w:t>
                  </w:r>
                </w:p>
                <w:p w14:paraId="6AE8AE77">
                  <w:pPr>
                    <w:jc w:val="center"/>
                    <w:rPr>
                      <w:sz w:val="18"/>
                      <w:szCs w:val="18"/>
                    </w:rPr>
                  </w:pPr>
                  <w:r>
                    <w:rPr>
                      <w:rFonts w:hint="eastAsia"/>
                      <w:sz w:val="18"/>
                      <w:szCs w:val="18"/>
                    </w:rPr>
                    <w:t>南8.37</w:t>
                  </w:r>
                </w:p>
                <w:p w14:paraId="750B3569">
                  <w:pPr>
                    <w:jc w:val="center"/>
                    <w:rPr>
                      <w:sz w:val="18"/>
                      <w:szCs w:val="18"/>
                    </w:rPr>
                  </w:pPr>
                  <w:r>
                    <w:rPr>
                      <w:rFonts w:hint="eastAsia"/>
                      <w:sz w:val="18"/>
                      <w:szCs w:val="18"/>
                    </w:rPr>
                    <w:t>西69.23</w:t>
                  </w:r>
                </w:p>
                <w:p w14:paraId="03A5270D">
                  <w:pPr>
                    <w:jc w:val="center"/>
                    <w:rPr>
                      <w:sz w:val="18"/>
                      <w:szCs w:val="18"/>
                    </w:rPr>
                  </w:pPr>
                  <w:r>
                    <w:rPr>
                      <w:rFonts w:hint="eastAsia"/>
                      <w:sz w:val="18"/>
                      <w:szCs w:val="18"/>
                    </w:rPr>
                    <w:t>北6.65</w:t>
                  </w:r>
                </w:p>
              </w:tc>
              <w:tc>
                <w:tcPr>
                  <w:tcW w:w="397" w:type="pct"/>
                  <w:vAlign w:val="center"/>
                </w:tcPr>
                <w:p w14:paraId="76D32673">
                  <w:pPr>
                    <w:jc w:val="center"/>
                    <w:rPr>
                      <w:kern w:val="0"/>
                      <w:sz w:val="18"/>
                      <w:szCs w:val="18"/>
                    </w:rPr>
                  </w:pPr>
                  <w:r>
                    <w:rPr>
                      <w:rFonts w:hint="eastAsia"/>
                      <w:kern w:val="0"/>
                      <w:sz w:val="18"/>
                      <w:szCs w:val="18"/>
                    </w:rPr>
                    <w:t>68.48</w:t>
                  </w:r>
                </w:p>
              </w:tc>
              <w:tc>
                <w:tcPr>
                  <w:tcW w:w="273" w:type="pct"/>
                  <w:vMerge w:val="restart"/>
                  <w:vAlign w:val="center"/>
                </w:tcPr>
                <w:p w14:paraId="12DE86A5">
                  <w:pPr>
                    <w:jc w:val="center"/>
                    <w:rPr>
                      <w:sz w:val="18"/>
                      <w:szCs w:val="18"/>
                    </w:rPr>
                  </w:pPr>
                  <w:r>
                    <w:rPr>
                      <w:sz w:val="18"/>
                      <w:szCs w:val="18"/>
                    </w:rPr>
                    <w:t>昼间</w:t>
                  </w:r>
                </w:p>
              </w:tc>
              <w:tc>
                <w:tcPr>
                  <w:tcW w:w="375" w:type="pct"/>
                  <w:vAlign w:val="center"/>
                </w:tcPr>
                <w:p w14:paraId="12FE5992">
                  <w:pPr>
                    <w:jc w:val="center"/>
                    <w:rPr>
                      <w:sz w:val="18"/>
                      <w:szCs w:val="18"/>
                    </w:rPr>
                  </w:pPr>
                  <w:r>
                    <w:rPr>
                      <w:rFonts w:hint="eastAsia"/>
                      <w:sz w:val="18"/>
                      <w:szCs w:val="18"/>
                    </w:rPr>
                    <w:t>26</w:t>
                  </w:r>
                </w:p>
              </w:tc>
              <w:tc>
                <w:tcPr>
                  <w:tcW w:w="397" w:type="pct"/>
                  <w:vAlign w:val="center"/>
                </w:tcPr>
                <w:p w14:paraId="04EA1B28">
                  <w:pPr>
                    <w:autoSpaceDE w:val="0"/>
                    <w:autoSpaceDN w:val="0"/>
                    <w:jc w:val="center"/>
                    <w:rPr>
                      <w:kern w:val="0"/>
                      <w:sz w:val="18"/>
                      <w:szCs w:val="18"/>
                    </w:rPr>
                  </w:pPr>
                  <w:r>
                    <w:rPr>
                      <w:rFonts w:hint="eastAsia"/>
                      <w:kern w:val="0"/>
                      <w:sz w:val="18"/>
                      <w:szCs w:val="18"/>
                    </w:rPr>
                    <w:t>42.48</w:t>
                  </w:r>
                </w:p>
              </w:tc>
              <w:tc>
                <w:tcPr>
                  <w:tcW w:w="341" w:type="pct"/>
                  <w:vAlign w:val="center"/>
                </w:tcPr>
                <w:p w14:paraId="1175AD86">
                  <w:pPr>
                    <w:jc w:val="center"/>
                    <w:rPr>
                      <w:sz w:val="18"/>
                      <w:szCs w:val="18"/>
                    </w:rPr>
                  </w:pPr>
                  <w:r>
                    <w:rPr>
                      <w:rFonts w:hint="eastAsia"/>
                      <w:sz w:val="18"/>
                      <w:szCs w:val="18"/>
                    </w:rPr>
                    <w:t>1</w:t>
                  </w:r>
                </w:p>
              </w:tc>
            </w:tr>
            <w:tr w14:paraId="3CCE7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04A4968B">
                  <w:pPr>
                    <w:jc w:val="center"/>
                    <w:rPr>
                      <w:rFonts w:eastAsiaTheme="minorEastAsia"/>
                      <w:sz w:val="18"/>
                      <w:szCs w:val="18"/>
                    </w:rPr>
                  </w:pPr>
                  <w:r>
                    <w:rPr>
                      <w:rFonts w:eastAsiaTheme="minorEastAsia"/>
                      <w:sz w:val="18"/>
                      <w:szCs w:val="18"/>
                    </w:rPr>
                    <w:t>2</w:t>
                  </w:r>
                </w:p>
              </w:tc>
              <w:tc>
                <w:tcPr>
                  <w:tcW w:w="258" w:type="pct"/>
                  <w:vMerge w:val="continue"/>
                  <w:vAlign w:val="center"/>
                </w:tcPr>
                <w:p w14:paraId="0144D378">
                  <w:pPr>
                    <w:jc w:val="center"/>
                    <w:rPr>
                      <w:rFonts w:eastAsiaTheme="minorEastAsia"/>
                      <w:sz w:val="18"/>
                      <w:szCs w:val="18"/>
                    </w:rPr>
                  </w:pPr>
                </w:p>
              </w:tc>
              <w:tc>
                <w:tcPr>
                  <w:tcW w:w="348" w:type="pct"/>
                  <w:vAlign w:val="center"/>
                </w:tcPr>
                <w:p w14:paraId="417117CC">
                  <w:pPr>
                    <w:widowControl/>
                    <w:jc w:val="center"/>
                    <w:rPr>
                      <w:kern w:val="0"/>
                      <w:sz w:val="18"/>
                      <w:szCs w:val="18"/>
                    </w:rPr>
                  </w:pPr>
                  <w:r>
                    <w:rPr>
                      <w:rFonts w:hint="eastAsia"/>
                      <w:sz w:val="18"/>
                      <w:szCs w:val="18"/>
                    </w:rPr>
                    <w:t>输送机</w:t>
                  </w:r>
                  <w:r>
                    <w:rPr>
                      <w:rFonts w:hint="eastAsia"/>
                      <w:kern w:val="0"/>
                      <w:sz w:val="18"/>
                      <w:szCs w:val="18"/>
                    </w:rPr>
                    <w:t>（3台）</w:t>
                  </w:r>
                </w:p>
              </w:tc>
              <w:tc>
                <w:tcPr>
                  <w:tcW w:w="439" w:type="pct"/>
                  <w:vAlign w:val="center"/>
                </w:tcPr>
                <w:p w14:paraId="56F94F1F">
                  <w:pPr>
                    <w:jc w:val="center"/>
                    <w:rPr>
                      <w:sz w:val="18"/>
                      <w:szCs w:val="18"/>
                    </w:rPr>
                  </w:pPr>
                  <w:r>
                    <w:rPr>
                      <w:rFonts w:hint="eastAsia"/>
                      <w:sz w:val="18"/>
                      <w:szCs w:val="18"/>
                    </w:rPr>
                    <w:t>75（等效后79.8）</w:t>
                  </w:r>
                </w:p>
              </w:tc>
              <w:tc>
                <w:tcPr>
                  <w:tcW w:w="363" w:type="pct"/>
                  <w:vAlign w:val="center"/>
                </w:tcPr>
                <w:p w14:paraId="77615B1E">
                  <w:pPr>
                    <w:jc w:val="center"/>
                    <w:rPr>
                      <w:rFonts w:hAnsiTheme="minorEastAsia" w:eastAsiaTheme="minorEastAsia"/>
                      <w:sz w:val="18"/>
                      <w:szCs w:val="18"/>
                    </w:rPr>
                  </w:pPr>
                  <w:r>
                    <w:rPr>
                      <w:rFonts w:hAnsiTheme="minorEastAsia" w:eastAsiaTheme="minorEastAsia"/>
                      <w:sz w:val="18"/>
                      <w:szCs w:val="18"/>
                    </w:rPr>
                    <w:t>减振</w:t>
                  </w:r>
                </w:p>
                <w:p w14:paraId="17D45FC1">
                  <w:pPr>
                    <w:jc w:val="center"/>
                    <w:rPr>
                      <w:rFonts w:hAnsiTheme="minorEastAsia"/>
                      <w:sz w:val="18"/>
                      <w:szCs w:val="18"/>
                    </w:rPr>
                  </w:pPr>
                  <w:r>
                    <w:rPr>
                      <w:rFonts w:hAnsiTheme="minorEastAsia" w:eastAsiaTheme="minorEastAsia"/>
                      <w:sz w:val="18"/>
                      <w:szCs w:val="18"/>
                    </w:rPr>
                    <w:t>隔声</w:t>
                  </w:r>
                </w:p>
              </w:tc>
              <w:tc>
                <w:tcPr>
                  <w:tcW w:w="411" w:type="pct"/>
                  <w:vAlign w:val="center"/>
                </w:tcPr>
                <w:p w14:paraId="4FD549C2">
                  <w:pPr>
                    <w:jc w:val="center"/>
                    <w:rPr>
                      <w:rFonts w:ascii="宋体" w:hAnsi="宋体" w:cs="宋体"/>
                      <w:sz w:val="18"/>
                      <w:szCs w:val="18"/>
                    </w:rPr>
                  </w:pPr>
                  <w:r>
                    <w:rPr>
                      <w:rFonts w:hint="eastAsia"/>
                      <w:sz w:val="18"/>
                      <w:szCs w:val="18"/>
                    </w:rPr>
                    <w:t>-1.15</w:t>
                  </w:r>
                </w:p>
              </w:tc>
              <w:tc>
                <w:tcPr>
                  <w:tcW w:w="379" w:type="pct"/>
                  <w:vAlign w:val="center"/>
                </w:tcPr>
                <w:p w14:paraId="2F8EA2CD">
                  <w:pPr>
                    <w:jc w:val="center"/>
                    <w:rPr>
                      <w:rFonts w:ascii="宋体" w:hAnsi="宋体" w:cs="宋体"/>
                      <w:sz w:val="18"/>
                      <w:szCs w:val="18"/>
                    </w:rPr>
                  </w:pPr>
                  <w:r>
                    <w:rPr>
                      <w:rFonts w:hint="eastAsia"/>
                      <w:sz w:val="18"/>
                      <w:szCs w:val="18"/>
                    </w:rPr>
                    <w:t>78.28</w:t>
                  </w:r>
                </w:p>
              </w:tc>
              <w:tc>
                <w:tcPr>
                  <w:tcW w:w="279" w:type="pct"/>
                  <w:vAlign w:val="center"/>
                </w:tcPr>
                <w:p w14:paraId="234A1985">
                  <w:pPr>
                    <w:autoSpaceDE w:val="0"/>
                    <w:autoSpaceDN w:val="0"/>
                    <w:jc w:val="center"/>
                    <w:rPr>
                      <w:kern w:val="0"/>
                      <w:sz w:val="18"/>
                      <w:szCs w:val="18"/>
                    </w:rPr>
                  </w:pPr>
                  <w:r>
                    <w:rPr>
                      <w:rFonts w:hint="eastAsia"/>
                      <w:kern w:val="0"/>
                      <w:sz w:val="18"/>
                      <w:szCs w:val="18"/>
                    </w:rPr>
                    <w:t>1.2</w:t>
                  </w:r>
                </w:p>
              </w:tc>
              <w:tc>
                <w:tcPr>
                  <w:tcW w:w="507" w:type="pct"/>
                  <w:vAlign w:val="center"/>
                </w:tcPr>
                <w:p w14:paraId="2AABAE2F">
                  <w:pPr>
                    <w:jc w:val="center"/>
                    <w:rPr>
                      <w:sz w:val="18"/>
                      <w:szCs w:val="18"/>
                    </w:rPr>
                  </w:pPr>
                  <w:r>
                    <w:rPr>
                      <w:rFonts w:hint="eastAsia"/>
                      <w:sz w:val="18"/>
                      <w:szCs w:val="18"/>
                    </w:rPr>
                    <w:t>东36.06</w:t>
                  </w:r>
                </w:p>
                <w:p w14:paraId="0ECF2CD1">
                  <w:pPr>
                    <w:jc w:val="center"/>
                    <w:rPr>
                      <w:sz w:val="18"/>
                      <w:szCs w:val="18"/>
                    </w:rPr>
                  </w:pPr>
                  <w:r>
                    <w:rPr>
                      <w:rFonts w:hint="eastAsia"/>
                      <w:sz w:val="18"/>
                      <w:szCs w:val="18"/>
                    </w:rPr>
                    <w:t>南10.60</w:t>
                  </w:r>
                </w:p>
                <w:p w14:paraId="3FE2D73D">
                  <w:pPr>
                    <w:jc w:val="center"/>
                    <w:rPr>
                      <w:sz w:val="18"/>
                      <w:szCs w:val="18"/>
                    </w:rPr>
                  </w:pPr>
                  <w:r>
                    <w:rPr>
                      <w:rFonts w:hint="eastAsia"/>
                      <w:sz w:val="18"/>
                      <w:szCs w:val="18"/>
                    </w:rPr>
                    <w:t>西42.78</w:t>
                  </w:r>
                </w:p>
                <w:p w14:paraId="7C330551">
                  <w:pPr>
                    <w:jc w:val="center"/>
                    <w:rPr>
                      <w:sz w:val="18"/>
                      <w:szCs w:val="18"/>
                    </w:rPr>
                  </w:pPr>
                  <w:r>
                    <w:rPr>
                      <w:rFonts w:hint="eastAsia"/>
                      <w:sz w:val="18"/>
                      <w:szCs w:val="18"/>
                    </w:rPr>
                    <w:t>北11.32</w:t>
                  </w:r>
                </w:p>
              </w:tc>
              <w:tc>
                <w:tcPr>
                  <w:tcW w:w="397" w:type="pct"/>
                  <w:vAlign w:val="center"/>
                </w:tcPr>
                <w:p w14:paraId="4402AFC8">
                  <w:pPr>
                    <w:jc w:val="center"/>
                    <w:rPr>
                      <w:kern w:val="0"/>
                      <w:sz w:val="18"/>
                      <w:szCs w:val="18"/>
                    </w:rPr>
                  </w:pPr>
                  <w:r>
                    <w:rPr>
                      <w:rFonts w:hint="eastAsia"/>
                      <w:kern w:val="0"/>
                      <w:sz w:val="18"/>
                      <w:szCs w:val="18"/>
                    </w:rPr>
                    <w:t>72.76</w:t>
                  </w:r>
                </w:p>
              </w:tc>
              <w:tc>
                <w:tcPr>
                  <w:tcW w:w="273" w:type="pct"/>
                  <w:vMerge w:val="continue"/>
                  <w:vAlign w:val="center"/>
                </w:tcPr>
                <w:p w14:paraId="102EAE64">
                  <w:pPr>
                    <w:jc w:val="center"/>
                    <w:rPr>
                      <w:sz w:val="18"/>
                      <w:szCs w:val="18"/>
                    </w:rPr>
                  </w:pPr>
                </w:p>
              </w:tc>
              <w:tc>
                <w:tcPr>
                  <w:tcW w:w="375" w:type="pct"/>
                  <w:vAlign w:val="center"/>
                </w:tcPr>
                <w:p w14:paraId="28A90EAE">
                  <w:pPr>
                    <w:jc w:val="center"/>
                    <w:rPr>
                      <w:sz w:val="18"/>
                      <w:szCs w:val="18"/>
                    </w:rPr>
                  </w:pPr>
                  <w:r>
                    <w:rPr>
                      <w:rFonts w:hint="eastAsia"/>
                      <w:sz w:val="18"/>
                      <w:szCs w:val="18"/>
                    </w:rPr>
                    <w:t>26</w:t>
                  </w:r>
                </w:p>
              </w:tc>
              <w:tc>
                <w:tcPr>
                  <w:tcW w:w="397" w:type="pct"/>
                  <w:vAlign w:val="center"/>
                </w:tcPr>
                <w:p w14:paraId="6A5F7367">
                  <w:pPr>
                    <w:autoSpaceDE w:val="0"/>
                    <w:autoSpaceDN w:val="0"/>
                    <w:jc w:val="center"/>
                    <w:rPr>
                      <w:kern w:val="0"/>
                      <w:sz w:val="18"/>
                      <w:szCs w:val="18"/>
                    </w:rPr>
                  </w:pPr>
                  <w:r>
                    <w:rPr>
                      <w:rFonts w:hint="eastAsia"/>
                      <w:kern w:val="0"/>
                      <w:sz w:val="18"/>
                      <w:szCs w:val="18"/>
                    </w:rPr>
                    <w:t>46.76</w:t>
                  </w:r>
                </w:p>
              </w:tc>
              <w:tc>
                <w:tcPr>
                  <w:tcW w:w="341" w:type="pct"/>
                  <w:vAlign w:val="center"/>
                </w:tcPr>
                <w:p w14:paraId="23081F88">
                  <w:pPr>
                    <w:jc w:val="center"/>
                    <w:rPr>
                      <w:sz w:val="18"/>
                      <w:szCs w:val="18"/>
                    </w:rPr>
                  </w:pPr>
                  <w:r>
                    <w:rPr>
                      <w:rFonts w:hint="eastAsia"/>
                      <w:sz w:val="18"/>
                      <w:szCs w:val="18"/>
                    </w:rPr>
                    <w:t>1</w:t>
                  </w:r>
                </w:p>
              </w:tc>
            </w:tr>
            <w:tr w14:paraId="16BC3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2F5C6DBB">
                  <w:pPr>
                    <w:jc w:val="center"/>
                    <w:rPr>
                      <w:rFonts w:eastAsiaTheme="minorEastAsia"/>
                      <w:sz w:val="18"/>
                      <w:szCs w:val="18"/>
                    </w:rPr>
                  </w:pPr>
                  <w:r>
                    <w:rPr>
                      <w:rFonts w:eastAsiaTheme="minorEastAsia"/>
                      <w:sz w:val="18"/>
                      <w:szCs w:val="18"/>
                    </w:rPr>
                    <w:t>3</w:t>
                  </w:r>
                </w:p>
              </w:tc>
              <w:tc>
                <w:tcPr>
                  <w:tcW w:w="258" w:type="pct"/>
                  <w:vMerge w:val="continue"/>
                  <w:vAlign w:val="center"/>
                </w:tcPr>
                <w:p w14:paraId="43E7BAF7">
                  <w:pPr>
                    <w:jc w:val="center"/>
                    <w:rPr>
                      <w:rFonts w:eastAsiaTheme="minorEastAsia"/>
                      <w:sz w:val="18"/>
                      <w:szCs w:val="18"/>
                    </w:rPr>
                  </w:pPr>
                </w:p>
              </w:tc>
              <w:tc>
                <w:tcPr>
                  <w:tcW w:w="348" w:type="pct"/>
                  <w:vAlign w:val="center"/>
                </w:tcPr>
                <w:p w14:paraId="2799A91F">
                  <w:pPr>
                    <w:adjustRightInd w:val="0"/>
                    <w:snapToGrid w:val="0"/>
                    <w:jc w:val="center"/>
                    <w:rPr>
                      <w:sz w:val="18"/>
                      <w:szCs w:val="18"/>
                    </w:rPr>
                  </w:pPr>
                  <w:r>
                    <w:rPr>
                      <w:rFonts w:hint="eastAsia"/>
                      <w:sz w:val="18"/>
                      <w:szCs w:val="18"/>
                    </w:rPr>
                    <w:t>装仓机</w:t>
                  </w:r>
                </w:p>
              </w:tc>
              <w:tc>
                <w:tcPr>
                  <w:tcW w:w="439" w:type="pct"/>
                  <w:vAlign w:val="center"/>
                </w:tcPr>
                <w:p w14:paraId="50F5697C">
                  <w:pPr>
                    <w:jc w:val="center"/>
                    <w:rPr>
                      <w:sz w:val="18"/>
                      <w:szCs w:val="18"/>
                    </w:rPr>
                  </w:pPr>
                  <w:r>
                    <w:rPr>
                      <w:rFonts w:hint="eastAsia"/>
                      <w:sz w:val="18"/>
                      <w:szCs w:val="18"/>
                    </w:rPr>
                    <w:t>80</w:t>
                  </w:r>
                </w:p>
              </w:tc>
              <w:tc>
                <w:tcPr>
                  <w:tcW w:w="363" w:type="pct"/>
                  <w:vAlign w:val="center"/>
                </w:tcPr>
                <w:p w14:paraId="2267AC4F">
                  <w:pPr>
                    <w:jc w:val="center"/>
                    <w:rPr>
                      <w:rFonts w:hAnsiTheme="minorEastAsia" w:eastAsiaTheme="minorEastAsia"/>
                      <w:sz w:val="18"/>
                      <w:szCs w:val="18"/>
                    </w:rPr>
                  </w:pPr>
                  <w:r>
                    <w:rPr>
                      <w:rFonts w:hAnsiTheme="minorEastAsia" w:eastAsiaTheme="minorEastAsia"/>
                      <w:sz w:val="18"/>
                      <w:szCs w:val="18"/>
                    </w:rPr>
                    <w:t>减振</w:t>
                  </w:r>
                </w:p>
                <w:p w14:paraId="1C656F9E">
                  <w:pPr>
                    <w:jc w:val="center"/>
                    <w:rPr>
                      <w:sz w:val="18"/>
                      <w:szCs w:val="18"/>
                    </w:rPr>
                  </w:pPr>
                  <w:r>
                    <w:rPr>
                      <w:rFonts w:hAnsiTheme="minorEastAsia" w:eastAsiaTheme="minorEastAsia"/>
                      <w:sz w:val="18"/>
                      <w:szCs w:val="18"/>
                    </w:rPr>
                    <w:t>隔声</w:t>
                  </w:r>
                </w:p>
              </w:tc>
              <w:tc>
                <w:tcPr>
                  <w:tcW w:w="411" w:type="pct"/>
                  <w:vAlign w:val="center"/>
                </w:tcPr>
                <w:p w14:paraId="72AF7A8E">
                  <w:pPr>
                    <w:jc w:val="center"/>
                    <w:rPr>
                      <w:rFonts w:ascii="宋体" w:hAnsi="宋体" w:cs="宋体"/>
                      <w:sz w:val="18"/>
                      <w:szCs w:val="18"/>
                    </w:rPr>
                  </w:pPr>
                  <w:r>
                    <w:rPr>
                      <w:rFonts w:hint="eastAsia"/>
                      <w:sz w:val="18"/>
                      <w:szCs w:val="18"/>
                    </w:rPr>
                    <w:t>4.23</w:t>
                  </w:r>
                </w:p>
              </w:tc>
              <w:tc>
                <w:tcPr>
                  <w:tcW w:w="379" w:type="pct"/>
                  <w:vAlign w:val="center"/>
                </w:tcPr>
                <w:p w14:paraId="5ECF2475">
                  <w:pPr>
                    <w:jc w:val="center"/>
                    <w:rPr>
                      <w:rFonts w:ascii="宋体" w:hAnsi="宋体" w:cs="宋体"/>
                      <w:sz w:val="18"/>
                      <w:szCs w:val="18"/>
                    </w:rPr>
                  </w:pPr>
                  <w:r>
                    <w:rPr>
                      <w:rFonts w:hint="eastAsia"/>
                      <w:sz w:val="18"/>
                      <w:szCs w:val="18"/>
                    </w:rPr>
                    <w:t>84.12</w:t>
                  </w:r>
                </w:p>
              </w:tc>
              <w:tc>
                <w:tcPr>
                  <w:tcW w:w="279" w:type="pct"/>
                  <w:vAlign w:val="center"/>
                </w:tcPr>
                <w:p w14:paraId="5146C5C6">
                  <w:pPr>
                    <w:autoSpaceDE w:val="0"/>
                    <w:autoSpaceDN w:val="0"/>
                    <w:jc w:val="center"/>
                    <w:rPr>
                      <w:kern w:val="0"/>
                      <w:sz w:val="18"/>
                      <w:szCs w:val="18"/>
                    </w:rPr>
                  </w:pPr>
                  <w:r>
                    <w:rPr>
                      <w:rFonts w:hint="eastAsia"/>
                      <w:kern w:val="0"/>
                      <w:sz w:val="18"/>
                      <w:szCs w:val="18"/>
                    </w:rPr>
                    <w:t>1.2</w:t>
                  </w:r>
                </w:p>
              </w:tc>
              <w:tc>
                <w:tcPr>
                  <w:tcW w:w="507" w:type="pct"/>
                  <w:vAlign w:val="center"/>
                </w:tcPr>
                <w:p w14:paraId="7D4AAEC8">
                  <w:pPr>
                    <w:jc w:val="center"/>
                    <w:rPr>
                      <w:sz w:val="18"/>
                      <w:szCs w:val="18"/>
                    </w:rPr>
                  </w:pPr>
                  <w:r>
                    <w:rPr>
                      <w:rFonts w:hint="eastAsia"/>
                      <w:sz w:val="18"/>
                      <w:szCs w:val="18"/>
                    </w:rPr>
                    <w:t>东28.12</w:t>
                  </w:r>
                </w:p>
                <w:p w14:paraId="38DC2D0E">
                  <w:pPr>
                    <w:jc w:val="center"/>
                    <w:rPr>
                      <w:sz w:val="18"/>
                      <w:szCs w:val="18"/>
                    </w:rPr>
                  </w:pPr>
                  <w:r>
                    <w:rPr>
                      <w:rFonts w:hint="eastAsia"/>
                      <w:sz w:val="18"/>
                      <w:szCs w:val="18"/>
                    </w:rPr>
                    <w:t>南10.99</w:t>
                  </w:r>
                </w:p>
                <w:p w14:paraId="45751E26">
                  <w:pPr>
                    <w:jc w:val="center"/>
                    <w:rPr>
                      <w:sz w:val="18"/>
                      <w:szCs w:val="18"/>
                    </w:rPr>
                  </w:pPr>
                  <w:r>
                    <w:rPr>
                      <w:rFonts w:hint="eastAsia"/>
                      <w:sz w:val="18"/>
                      <w:szCs w:val="18"/>
                    </w:rPr>
                    <w:t>西50.71</w:t>
                  </w:r>
                </w:p>
                <w:p w14:paraId="41ED2BBF">
                  <w:pPr>
                    <w:jc w:val="center"/>
                    <w:rPr>
                      <w:sz w:val="18"/>
                      <w:szCs w:val="18"/>
                    </w:rPr>
                  </w:pPr>
                  <w:r>
                    <w:rPr>
                      <w:rFonts w:hint="eastAsia"/>
                      <w:sz w:val="18"/>
                      <w:szCs w:val="18"/>
                    </w:rPr>
                    <w:t>北10.874</w:t>
                  </w:r>
                </w:p>
              </w:tc>
              <w:tc>
                <w:tcPr>
                  <w:tcW w:w="397" w:type="pct"/>
                  <w:vAlign w:val="center"/>
                </w:tcPr>
                <w:p w14:paraId="5BBE86C7">
                  <w:pPr>
                    <w:jc w:val="center"/>
                    <w:rPr>
                      <w:sz w:val="18"/>
                      <w:szCs w:val="18"/>
                    </w:rPr>
                  </w:pPr>
                  <w:r>
                    <w:rPr>
                      <w:rFonts w:hint="eastAsia"/>
                      <w:sz w:val="18"/>
                      <w:szCs w:val="18"/>
                    </w:rPr>
                    <w:t>72.96</w:t>
                  </w:r>
                </w:p>
              </w:tc>
              <w:tc>
                <w:tcPr>
                  <w:tcW w:w="273" w:type="pct"/>
                  <w:vMerge w:val="continue"/>
                  <w:vAlign w:val="center"/>
                </w:tcPr>
                <w:p w14:paraId="320ADC78">
                  <w:pPr>
                    <w:jc w:val="center"/>
                    <w:rPr>
                      <w:sz w:val="18"/>
                      <w:szCs w:val="18"/>
                    </w:rPr>
                  </w:pPr>
                </w:p>
              </w:tc>
              <w:tc>
                <w:tcPr>
                  <w:tcW w:w="375" w:type="pct"/>
                  <w:vAlign w:val="center"/>
                </w:tcPr>
                <w:p w14:paraId="0F29804F">
                  <w:pPr>
                    <w:jc w:val="center"/>
                    <w:rPr>
                      <w:sz w:val="18"/>
                      <w:szCs w:val="18"/>
                    </w:rPr>
                  </w:pPr>
                  <w:r>
                    <w:rPr>
                      <w:rFonts w:hint="eastAsia"/>
                      <w:sz w:val="18"/>
                      <w:szCs w:val="18"/>
                    </w:rPr>
                    <w:t>26</w:t>
                  </w:r>
                </w:p>
              </w:tc>
              <w:tc>
                <w:tcPr>
                  <w:tcW w:w="397" w:type="pct"/>
                  <w:vAlign w:val="center"/>
                </w:tcPr>
                <w:p w14:paraId="7F16E47B">
                  <w:pPr>
                    <w:autoSpaceDE w:val="0"/>
                    <w:autoSpaceDN w:val="0"/>
                    <w:jc w:val="center"/>
                    <w:rPr>
                      <w:kern w:val="0"/>
                      <w:sz w:val="18"/>
                      <w:szCs w:val="18"/>
                    </w:rPr>
                  </w:pPr>
                  <w:r>
                    <w:rPr>
                      <w:rFonts w:hint="eastAsia"/>
                      <w:kern w:val="0"/>
                      <w:sz w:val="18"/>
                      <w:szCs w:val="18"/>
                    </w:rPr>
                    <w:t>46.96</w:t>
                  </w:r>
                </w:p>
              </w:tc>
              <w:tc>
                <w:tcPr>
                  <w:tcW w:w="341" w:type="pct"/>
                  <w:vAlign w:val="center"/>
                </w:tcPr>
                <w:p w14:paraId="7C2EDF69">
                  <w:pPr>
                    <w:jc w:val="center"/>
                    <w:rPr>
                      <w:sz w:val="18"/>
                      <w:szCs w:val="18"/>
                    </w:rPr>
                  </w:pPr>
                  <w:r>
                    <w:rPr>
                      <w:rFonts w:hint="eastAsia"/>
                      <w:sz w:val="18"/>
                      <w:szCs w:val="18"/>
                    </w:rPr>
                    <w:t>1</w:t>
                  </w:r>
                </w:p>
              </w:tc>
            </w:tr>
            <w:tr w14:paraId="6CF14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704C6498">
                  <w:pPr>
                    <w:jc w:val="center"/>
                    <w:rPr>
                      <w:rFonts w:eastAsiaTheme="minorEastAsia"/>
                      <w:sz w:val="18"/>
                      <w:szCs w:val="18"/>
                    </w:rPr>
                  </w:pPr>
                  <w:r>
                    <w:rPr>
                      <w:rFonts w:eastAsiaTheme="minorEastAsia"/>
                      <w:sz w:val="18"/>
                      <w:szCs w:val="18"/>
                    </w:rPr>
                    <w:t>4</w:t>
                  </w:r>
                </w:p>
              </w:tc>
              <w:tc>
                <w:tcPr>
                  <w:tcW w:w="258" w:type="pct"/>
                  <w:vMerge w:val="continue"/>
                  <w:vAlign w:val="center"/>
                </w:tcPr>
                <w:p w14:paraId="7030296B">
                  <w:pPr>
                    <w:jc w:val="center"/>
                    <w:rPr>
                      <w:rFonts w:eastAsiaTheme="minorEastAsia"/>
                      <w:sz w:val="18"/>
                      <w:szCs w:val="18"/>
                    </w:rPr>
                  </w:pPr>
                </w:p>
              </w:tc>
              <w:tc>
                <w:tcPr>
                  <w:tcW w:w="348" w:type="pct"/>
                  <w:vAlign w:val="center"/>
                </w:tcPr>
                <w:p w14:paraId="4D45C545">
                  <w:pPr>
                    <w:adjustRightInd w:val="0"/>
                    <w:snapToGrid w:val="0"/>
                    <w:jc w:val="center"/>
                    <w:rPr>
                      <w:sz w:val="18"/>
                      <w:szCs w:val="18"/>
                    </w:rPr>
                  </w:pPr>
                  <w:r>
                    <w:rPr>
                      <w:rFonts w:hint="eastAsia"/>
                      <w:sz w:val="18"/>
                      <w:szCs w:val="18"/>
                    </w:rPr>
                    <w:t>振动筛</w:t>
                  </w:r>
                </w:p>
              </w:tc>
              <w:tc>
                <w:tcPr>
                  <w:tcW w:w="439" w:type="pct"/>
                  <w:vAlign w:val="center"/>
                </w:tcPr>
                <w:p w14:paraId="2A271709">
                  <w:pPr>
                    <w:jc w:val="center"/>
                    <w:rPr>
                      <w:sz w:val="18"/>
                      <w:szCs w:val="18"/>
                    </w:rPr>
                  </w:pPr>
                  <w:r>
                    <w:rPr>
                      <w:rFonts w:hint="eastAsia"/>
                      <w:sz w:val="18"/>
                      <w:szCs w:val="18"/>
                    </w:rPr>
                    <w:t>85</w:t>
                  </w:r>
                </w:p>
              </w:tc>
              <w:tc>
                <w:tcPr>
                  <w:tcW w:w="363" w:type="pct"/>
                  <w:vAlign w:val="center"/>
                </w:tcPr>
                <w:p w14:paraId="2C91BF24">
                  <w:pPr>
                    <w:jc w:val="center"/>
                    <w:rPr>
                      <w:rFonts w:hAnsiTheme="minorEastAsia" w:eastAsiaTheme="minorEastAsia"/>
                      <w:sz w:val="18"/>
                      <w:szCs w:val="18"/>
                    </w:rPr>
                  </w:pPr>
                  <w:r>
                    <w:rPr>
                      <w:rFonts w:hAnsiTheme="minorEastAsia" w:eastAsiaTheme="minorEastAsia"/>
                      <w:sz w:val="18"/>
                      <w:szCs w:val="18"/>
                    </w:rPr>
                    <w:t>减振</w:t>
                  </w:r>
                </w:p>
                <w:p w14:paraId="2C7E6049">
                  <w:pPr>
                    <w:jc w:val="center"/>
                    <w:rPr>
                      <w:rFonts w:hAnsiTheme="minorEastAsia"/>
                      <w:sz w:val="18"/>
                      <w:szCs w:val="18"/>
                    </w:rPr>
                  </w:pPr>
                  <w:r>
                    <w:rPr>
                      <w:rFonts w:hAnsiTheme="minorEastAsia" w:eastAsiaTheme="minorEastAsia"/>
                      <w:sz w:val="18"/>
                      <w:szCs w:val="18"/>
                    </w:rPr>
                    <w:t>隔声</w:t>
                  </w:r>
                </w:p>
              </w:tc>
              <w:tc>
                <w:tcPr>
                  <w:tcW w:w="411" w:type="pct"/>
                  <w:vAlign w:val="center"/>
                </w:tcPr>
                <w:p w14:paraId="33B7C4EE">
                  <w:pPr>
                    <w:jc w:val="center"/>
                    <w:rPr>
                      <w:rFonts w:ascii="宋体" w:hAnsi="宋体" w:cs="宋体"/>
                      <w:sz w:val="18"/>
                      <w:szCs w:val="18"/>
                    </w:rPr>
                  </w:pPr>
                  <w:r>
                    <w:rPr>
                      <w:rFonts w:hint="eastAsia"/>
                      <w:sz w:val="18"/>
                      <w:szCs w:val="18"/>
                    </w:rPr>
                    <w:t>10.07</w:t>
                  </w:r>
                </w:p>
              </w:tc>
              <w:tc>
                <w:tcPr>
                  <w:tcW w:w="379" w:type="pct"/>
                  <w:vAlign w:val="center"/>
                </w:tcPr>
                <w:p w14:paraId="382620C9">
                  <w:pPr>
                    <w:jc w:val="center"/>
                    <w:rPr>
                      <w:rFonts w:ascii="宋体" w:hAnsi="宋体" w:cs="宋体"/>
                      <w:sz w:val="18"/>
                      <w:szCs w:val="18"/>
                    </w:rPr>
                  </w:pPr>
                  <w:r>
                    <w:rPr>
                      <w:rFonts w:hint="eastAsia"/>
                      <w:sz w:val="18"/>
                      <w:szCs w:val="18"/>
                    </w:rPr>
                    <w:t>92.88</w:t>
                  </w:r>
                </w:p>
              </w:tc>
              <w:tc>
                <w:tcPr>
                  <w:tcW w:w="279" w:type="pct"/>
                  <w:vAlign w:val="center"/>
                </w:tcPr>
                <w:p w14:paraId="32852E50">
                  <w:pPr>
                    <w:autoSpaceDE w:val="0"/>
                    <w:autoSpaceDN w:val="0"/>
                    <w:jc w:val="center"/>
                    <w:rPr>
                      <w:kern w:val="0"/>
                      <w:sz w:val="18"/>
                      <w:szCs w:val="18"/>
                    </w:rPr>
                  </w:pPr>
                  <w:r>
                    <w:rPr>
                      <w:rFonts w:hint="eastAsia"/>
                      <w:kern w:val="0"/>
                      <w:sz w:val="18"/>
                      <w:szCs w:val="18"/>
                    </w:rPr>
                    <w:t>1.2</w:t>
                  </w:r>
                </w:p>
              </w:tc>
              <w:tc>
                <w:tcPr>
                  <w:tcW w:w="507" w:type="pct"/>
                  <w:vAlign w:val="center"/>
                </w:tcPr>
                <w:p w14:paraId="39239D85">
                  <w:pPr>
                    <w:jc w:val="center"/>
                    <w:rPr>
                      <w:sz w:val="18"/>
                      <w:szCs w:val="18"/>
                    </w:rPr>
                  </w:pPr>
                  <w:r>
                    <w:rPr>
                      <w:rFonts w:hint="eastAsia"/>
                      <w:sz w:val="18"/>
                      <w:szCs w:val="18"/>
                    </w:rPr>
                    <w:t>东17.81</w:t>
                  </w:r>
                </w:p>
                <w:p w14:paraId="12B70766">
                  <w:pPr>
                    <w:jc w:val="center"/>
                    <w:rPr>
                      <w:sz w:val="18"/>
                      <w:szCs w:val="18"/>
                    </w:rPr>
                  </w:pPr>
                  <w:r>
                    <w:rPr>
                      <w:rFonts w:hint="eastAsia"/>
                      <w:sz w:val="18"/>
                      <w:szCs w:val="18"/>
                    </w:rPr>
                    <w:t>南13.14</w:t>
                  </w:r>
                </w:p>
                <w:p w14:paraId="23EE4F0A">
                  <w:pPr>
                    <w:jc w:val="center"/>
                    <w:rPr>
                      <w:sz w:val="18"/>
                      <w:szCs w:val="18"/>
                    </w:rPr>
                  </w:pPr>
                  <w:r>
                    <w:rPr>
                      <w:rFonts w:hint="eastAsia"/>
                      <w:sz w:val="18"/>
                      <w:szCs w:val="18"/>
                    </w:rPr>
                    <w:t>西61.01</w:t>
                  </w:r>
                </w:p>
                <w:p w14:paraId="382CFE13">
                  <w:pPr>
                    <w:jc w:val="center"/>
                    <w:rPr>
                      <w:sz w:val="18"/>
                      <w:szCs w:val="18"/>
                    </w:rPr>
                  </w:pPr>
                  <w:r>
                    <w:rPr>
                      <w:rFonts w:hint="eastAsia"/>
                      <w:sz w:val="18"/>
                      <w:szCs w:val="18"/>
                    </w:rPr>
                    <w:t>北8.65</w:t>
                  </w:r>
                </w:p>
              </w:tc>
              <w:tc>
                <w:tcPr>
                  <w:tcW w:w="397" w:type="pct"/>
                  <w:vAlign w:val="center"/>
                </w:tcPr>
                <w:p w14:paraId="24220F0E">
                  <w:pPr>
                    <w:jc w:val="center"/>
                    <w:rPr>
                      <w:sz w:val="18"/>
                      <w:szCs w:val="18"/>
                    </w:rPr>
                  </w:pPr>
                  <w:r>
                    <w:rPr>
                      <w:rFonts w:hint="eastAsia"/>
                      <w:sz w:val="18"/>
                      <w:szCs w:val="18"/>
                    </w:rPr>
                    <w:t>77.96</w:t>
                  </w:r>
                </w:p>
              </w:tc>
              <w:tc>
                <w:tcPr>
                  <w:tcW w:w="273" w:type="pct"/>
                  <w:vMerge w:val="continue"/>
                  <w:vAlign w:val="center"/>
                </w:tcPr>
                <w:p w14:paraId="511E7DEF">
                  <w:pPr>
                    <w:jc w:val="center"/>
                    <w:rPr>
                      <w:sz w:val="18"/>
                      <w:szCs w:val="18"/>
                    </w:rPr>
                  </w:pPr>
                </w:p>
              </w:tc>
              <w:tc>
                <w:tcPr>
                  <w:tcW w:w="375" w:type="pct"/>
                  <w:vAlign w:val="center"/>
                </w:tcPr>
                <w:p w14:paraId="68D4B432">
                  <w:pPr>
                    <w:jc w:val="center"/>
                    <w:rPr>
                      <w:sz w:val="18"/>
                      <w:szCs w:val="18"/>
                    </w:rPr>
                  </w:pPr>
                  <w:r>
                    <w:rPr>
                      <w:rFonts w:hint="eastAsia"/>
                      <w:sz w:val="18"/>
                      <w:szCs w:val="18"/>
                    </w:rPr>
                    <w:t>26</w:t>
                  </w:r>
                </w:p>
              </w:tc>
              <w:tc>
                <w:tcPr>
                  <w:tcW w:w="397" w:type="pct"/>
                  <w:vAlign w:val="center"/>
                </w:tcPr>
                <w:p w14:paraId="7109814B">
                  <w:pPr>
                    <w:autoSpaceDE w:val="0"/>
                    <w:autoSpaceDN w:val="0"/>
                    <w:jc w:val="center"/>
                    <w:rPr>
                      <w:kern w:val="0"/>
                      <w:sz w:val="18"/>
                      <w:szCs w:val="18"/>
                    </w:rPr>
                  </w:pPr>
                  <w:r>
                    <w:rPr>
                      <w:rFonts w:hint="eastAsia"/>
                      <w:kern w:val="0"/>
                      <w:sz w:val="18"/>
                      <w:szCs w:val="18"/>
                    </w:rPr>
                    <w:t>51.96</w:t>
                  </w:r>
                </w:p>
              </w:tc>
              <w:tc>
                <w:tcPr>
                  <w:tcW w:w="341" w:type="pct"/>
                  <w:vAlign w:val="center"/>
                </w:tcPr>
                <w:p w14:paraId="33B1B935">
                  <w:pPr>
                    <w:jc w:val="center"/>
                    <w:rPr>
                      <w:sz w:val="18"/>
                      <w:szCs w:val="18"/>
                    </w:rPr>
                  </w:pPr>
                  <w:r>
                    <w:rPr>
                      <w:rFonts w:hint="eastAsia"/>
                      <w:sz w:val="18"/>
                      <w:szCs w:val="18"/>
                    </w:rPr>
                    <w:t>1</w:t>
                  </w:r>
                </w:p>
              </w:tc>
            </w:tr>
            <w:tr w14:paraId="6B87B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40C696F4">
                  <w:pPr>
                    <w:jc w:val="center"/>
                    <w:rPr>
                      <w:rFonts w:eastAsiaTheme="minorEastAsia"/>
                      <w:sz w:val="18"/>
                      <w:szCs w:val="18"/>
                    </w:rPr>
                  </w:pPr>
                  <w:r>
                    <w:rPr>
                      <w:rFonts w:hint="eastAsia" w:eastAsiaTheme="minorEastAsia"/>
                      <w:sz w:val="18"/>
                      <w:szCs w:val="18"/>
                    </w:rPr>
                    <w:t>5</w:t>
                  </w:r>
                </w:p>
              </w:tc>
              <w:tc>
                <w:tcPr>
                  <w:tcW w:w="258" w:type="pct"/>
                  <w:vMerge w:val="continue"/>
                  <w:vAlign w:val="center"/>
                </w:tcPr>
                <w:p w14:paraId="36924528">
                  <w:pPr>
                    <w:jc w:val="center"/>
                    <w:rPr>
                      <w:rFonts w:eastAsiaTheme="minorEastAsia"/>
                      <w:sz w:val="18"/>
                      <w:szCs w:val="18"/>
                    </w:rPr>
                  </w:pPr>
                </w:p>
              </w:tc>
              <w:tc>
                <w:tcPr>
                  <w:tcW w:w="348" w:type="pct"/>
                  <w:vAlign w:val="center"/>
                </w:tcPr>
                <w:p w14:paraId="05314B9C">
                  <w:pPr>
                    <w:adjustRightInd w:val="0"/>
                    <w:snapToGrid w:val="0"/>
                    <w:jc w:val="center"/>
                    <w:rPr>
                      <w:sz w:val="18"/>
                      <w:szCs w:val="18"/>
                    </w:rPr>
                  </w:pPr>
                  <w:r>
                    <w:rPr>
                      <w:sz w:val="18"/>
                      <w:szCs w:val="18"/>
                    </w:rPr>
                    <w:t>灌包机</w:t>
                  </w:r>
                </w:p>
              </w:tc>
              <w:tc>
                <w:tcPr>
                  <w:tcW w:w="439" w:type="pct"/>
                  <w:vAlign w:val="center"/>
                </w:tcPr>
                <w:p w14:paraId="70CCD26F">
                  <w:pPr>
                    <w:jc w:val="center"/>
                    <w:rPr>
                      <w:rFonts w:eastAsiaTheme="minorEastAsia"/>
                      <w:sz w:val="18"/>
                      <w:szCs w:val="18"/>
                    </w:rPr>
                  </w:pPr>
                  <w:r>
                    <w:rPr>
                      <w:rFonts w:hint="eastAsia" w:eastAsiaTheme="minorEastAsia"/>
                      <w:sz w:val="18"/>
                      <w:szCs w:val="18"/>
                    </w:rPr>
                    <w:t>80</w:t>
                  </w:r>
                </w:p>
              </w:tc>
              <w:tc>
                <w:tcPr>
                  <w:tcW w:w="363" w:type="pct"/>
                  <w:vAlign w:val="center"/>
                </w:tcPr>
                <w:p w14:paraId="624F291D">
                  <w:pPr>
                    <w:jc w:val="center"/>
                    <w:rPr>
                      <w:rFonts w:hAnsiTheme="minorEastAsia" w:eastAsiaTheme="minorEastAsia"/>
                      <w:sz w:val="18"/>
                      <w:szCs w:val="18"/>
                    </w:rPr>
                  </w:pPr>
                  <w:r>
                    <w:rPr>
                      <w:rFonts w:hAnsiTheme="minorEastAsia" w:eastAsiaTheme="minorEastAsia"/>
                      <w:sz w:val="18"/>
                      <w:szCs w:val="18"/>
                    </w:rPr>
                    <w:t>减振</w:t>
                  </w:r>
                </w:p>
                <w:p w14:paraId="5005409C">
                  <w:pPr>
                    <w:jc w:val="center"/>
                    <w:rPr>
                      <w:sz w:val="18"/>
                      <w:szCs w:val="18"/>
                    </w:rPr>
                  </w:pPr>
                  <w:r>
                    <w:rPr>
                      <w:rFonts w:hAnsiTheme="minorEastAsia" w:eastAsiaTheme="minorEastAsia"/>
                      <w:sz w:val="18"/>
                      <w:szCs w:val="18"/>
                    </w:rPr>
                    <w:t>隔声</w:t>
                  </w:r>
                </w:p>
              </w:tc>
              <w:tc>
                <w:tcPr>
                  <w:tcW w:w="411" w:type="pct"/>
                  <w:vAlign w:val="center"/>
                </w:tcPr>
                <w:p w14:paraId="74BB6887">
                  <w:pPr>
                    <w:jc w:val="center"/>
                    <w:rPr>
                      <w:rFonts w:ascii="宋体" w:hAnsi="宋体" w:cs="宋体"/>
                      <w:sz w:val="18"/>
                      <w:szCs w:val="18"/>
                    </w:rPr>
                  </w:pPr>
                  <w:r>
                    <w:rPr>
                      <w:rFonts w:hint="eastAsia"/>
                      <w:sz w:val="18"/>
                      <w:szCs w:val="18"/>
                    </w:rPr>
                    <w:t>-11.93</w:t>
                  </w:r>
                </w:p>
              </w:tc>
              <w:tc>
                <w:tcPr>
                  <w:tcW w:w="379" w:type="pct"/>
                  <w:vAlign w:val="center"/>
                </w:tcPr>
                <w:p w14:paraId="1122BB63">
                  <w:pPr>
                    <w:jc w:val="center"/>
                    <w:rPr>
                      <w:rFonts w:ascii="宋体" w:hAnsi="宋体" w:cs="宋体"/>
                      <w:sz w:val="18"/>
                      <w:szCs w:val="18"/>
                    </w:rPr>
                  </w:pPr>
                  <w:r>
                    <w:rPr>
                      <w:rFonts w:hint="eastAsia"/>
                      <w:sz w:val="18"/>
                      <w:szCs w:val="18"/>
                    </w:rPr>
                    <w:t>68.63</w:t>
                  </w:r>
                </w:p>
              </w:tc>
              <w:tc>
                <w:tcPr>
                  <w:tcW w:w="279" w:type="pct"/>
                  <w:vAlign w:val="center"/>
                </w:tcPr>
                <w:p w14:paraId="32729EA7">
                  <w:pPr>
                    <w:autoSpaceDE w:val="0"/>
                    <w:autoSpaceDN w:val="0"/>
                    <w:jc w:val="center"/>
                    <w:rPr>
                      <w:kern w:val="0"/>
                      <w:sz w:val="18"/>
                      <w:szCs w:val="18"/>
                    </w:rPr>
                  </w:pPr>
                  <w:r>
                    <w:rPr>
                      <w:rFonts w:hint="eastAsia"/>
                      <w:kern w:val="0"/>
                      <w:sz w:val="18"/>
                      <w:szCs w:val="18"/>
                    </w:rPr>
                    <w:t>1.2</w:t>
                  </w:r>
                </w:p>
              </w:tc>
              <w:tc>
                <w:tcPr>
                  <w:tcW w:w="507" w:type="pct"/>
                  <w:vAlign w:val="center"/>
                </w:tcPr>
                <w:p w14:paraId="0BE0D892">
                  <w:pPr>
                    <w:jc w:val="center"/>
                    <w:rPr>
                      <w:sz w:val="18"/>
                      <w:szCs w:val="18"/>
                    </w:rPr>
                  </w:pPr>
                  <w:r>
                    <w:rPr>
                      <w:rFonts w:hint="eastAsia"/>
                      <w:sz w:val="18"/>
                      <w:szCs w:val="18"/>
                    </w:rPr>
                    <w:t>东50.51</w:t>
                  </w:r>
                </w:p>
                <w:p w14:paraId="36676216">
                  <w:pPr>
                    <w:jc w:val="center"/>
                    <w:rPr>
                      <w:sz w:val="18"/>
                      <w:szCs w:val="18"/>
                    </w:rPr>
                  </w:pPr>
                  <w:r>
                    <w:rPr>
                      <w:rFonts w:hint="eastAsia"/>
                      <w:sz w:val="18"/>
                      <w:szCs w:val="18"/>
                    </w:rPr>
                    <w:t>南11.29</w:t>
                  </w:r>
                </w:p>
                <w:p w14:paraId="17391FB3">
                  <w:pPr>
                    <w:jc w:val="center"/>
                    <w:rPr>
                      <w:sz w:val="18"/>
                      <w:szCs w:val="18"/>
                    </w:rPr>
                  </w:pPr>
                  <w:r>
                    <w:rPr>
                      <w:rFonts w:hint="eastAsia"/>
                      <w:sz w:val="18"/>
                      <w:szCs w:val="18"/>
                    </w:rPr>
                    <w:t>西28.33</w:t>
                  </w:r>
                </w:p>
                <w:p w14:paraId="10C3F3A6">
                  <w:pPr>
                    <w:jc w:val="center"/>
                    <w:rPr>
                      <w:sz w:val="18"/>
                      <w:szCs w:val="18"/>
                    </w:rPr>
                  </w:pPr>
                  <w:r>
                    <w:rPr>
                      <w:rFonts w:hint="eastAsia"/>
                      <w:sz w:val="18"/>
                      <w:szCs w:val="18"/>
                    </w:rPr>
                    <w:t>北10.74</w:t>
                  </w:r>
                </w:p>
              </w:tc>
              <w:tc>
                <w:tcPr>
                  <w:tcW w:w="397" w:type="pct"/>
                  <w:vAlign w:val="center"/>
                </w:tcPr>
                <w:p w14:paraId="5164F3E1">
                  <w:pPr>
                    <w:jc w:val="center"/>
                    <w:rPr>
                      <w:sz w:val="18"/>
                      <w:szCs w:val="18"/>
                    </w:rPr>
                  </w:pPr>
                  <w:r>
                    <w:rPr>
                      <w:rFonts w:hint="eastAsia"/>
                      <w:sz w:val="18"/>
                      <w:szCs w:val="18"/>
                    </w:rPr>
                    <w:t>72.96</w:t>
                  </w:r>
                </w:p>
              </w:tc>
              <w:tc>
                <w:tcPr>
                  <w:tcW w:w="273" w:type="pct"/>
                  <w:vMerge w:val="continue"/>
                  <w:vAlign w:val="center"/>
                </w:tcPr>
                <w:p w14:paraId="7B5DA6BC">
                  <w:pPr>
                    <w:jc w:val="center"/>
                    <w:rPr>
                      <w:sz w:val="18"/>
                      <w:szCs w:val="18"/>
                    </w:rPr>
                  </w:pPr>
                </w:p>
              </w:tc>
              <w:tc>
                <w:tcPr>
                  <w:tcW w:w="375" w:type="pct"/>
                  <w:vAlign w:val="center"/>
                </w:tcPr>
                <w:p w14:paraId="25EA043D">
                  <w:pPr>
                    <w:jc w:val="center"/>
                    <w:rPr>
                      <w:sz w:val="18"/>
                      <w:szCs w:val="18"/>
                    </w:rPr>
                  </w:pPr>
                  <w:r>
                    <w:rPr>
                      <w:rFonts w:hint="eastAsia"/>
                      <w:sz w:val="18"/>
                      <w:szCs w:val="18"/>
                    </w:rPr>
                    <w:t>26</w:t>
                  </w:r>
                </w:p>
              </w:tc>
              <w:tc>
                <w:tcPr>
                  <w:tcW w:w="397" w:type="pct"/>
                  <w:vAlign w:val="center"/>
                </w:tcPr>
                <w:p w14:paraId="63AD13E8">
                  <w:pPr>
                    <w:autoSpaceDE w:val="0"/>
                    <w:autoSpaceDN w:val="0"/>
                    <w:jc w:val="center"/>
                    <w:rPr>
                      <w:kern w:val="0"/>
                      <w:sz w:val="18"/>
                      <w:szCs w:val="18"/>
                    </w:rPr>
                  </w:pPr>
                  <w:r>
                    <w:rPr>
                      <w:rFonts w:hint="eastAsia"/>
                      <w:kern w:val="0"/>
                      <w:sz w:val="18"/>
                      <w:szCs w:val="18"/>
                    </w:rPr>
                    <w:t>46.96</w:t>
                  </w:r>
                </w:p>
              </w:tc>
              <w:tc>
                <w:tcPr>
                  <w:tcW w:w="341" w:type="pct"/>
                  <w:vAlign w:val="center"/>
                </w:tcPr>
                <w:p w14:paraId="6A48E791">
                  <w:pPr>
                    <w:jc w:val="center"/>
                    <w:rPr>
                      <w:sz w:val="18"/>
                      <w:szCs w:val="18"/>
                    </w:rPr>
                  </w:pPr>
                  <w:r>
                    <w:rPr>
                      <w:rFonts w:hint="eastAsia"/>
                      <w:sz w:val="18"/>
                      <w:szCs w:val="18"/>
                    </w:rPr>
                    <w:t>1</w:t>
                  </w:r>
                </w:p>
              </w:tc>
            </w:tr>
            <w:tr w14:paraId="224CB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1897BAAC">
                  <w:pPr>
                    <w:jc w:val="center"/>
                    <w:rPr>
                      <w:rFonts w:eastAsiaTheme="minorEastAsia"/>
                      <w:sz w:val="18"/>
                      <w:szCs w:val="18"/>
                    </w:rPr>
                  </w:pPr>
                  <w:r>
                    <w:rPr>
                      <w:rFonts w:hint="eastAsia" w:eastAsiaTheme="minorEastAsia"/>
                      <w:sz w:val="18"/>
                      <w:szCs w:val="18"/>
                    </w:rPr>
                    <w:t>6</w:t>
                  </w:r>
                </w:p>
              </w:tc>
              <w:tc>
                <w:tcPr>
                  <w:tcW w:w="258" w:type="pct"/>
                  <w:vMerge w:val="continue"/>
                  <w:vAlign w:val="center"/>
                </w:tcPr>
                <w:p w14:paraId="2976E692">
                  <w:pPr>
                    <w:jc w:val="center"/>
                    <w:rPr>
                      <w:rFonts w:eastAsiaTheme="minorEastAsia"/>
                      <w:sz w:val="18"/>
                      <w:szCs w:val="18"/>
                    </w:rPr>
                  </w:pPr>
                </w:p>
              </w:tc>
              <w:tc>
                <w:tcPr>
                  <w:tcW w:w="348" w:type="pct"/>
                  <w:vAlign w:val="center"/>
                </w:tcPr>
                <w:p w14:paraId="4DA92422">
                  <w:pPr>
                    <w:adjustRightInd w:val="0"/>
                    <w:snapToGrid w:val="0"/>
                    <w:jc w:val="center"/>
                    <w:rPr>
                      <w:sz w:val="18"/>
                      <w:szCs w:val="18"/>
                    </w:rPr>
                  </w:pPr>
                  <w:r>
                    <w:rPr>
                      <w:sz w:val="18"/>
                      <w:szCs w:val="18"/>
                    </w:rPr>
                    <w:t>清理筛</w:t>
                  </w:r>
                </w:p>
              </w:tc>
              <w:tc>
                <w:tcPr>
                  <w:tcW w:w="439" w:type="pct"/>
                  <w:vAlign w:val="center"/>
                </w:tcPr>
                <w:p w14:paraId="07A20C58">
                  <w:pPr>
                    <w:jc w:val="center"/>
                    <w:rPr>
                      <w:rFonts w:eastAsiaTheme="minorEastAsia"/>
                      <w:sz w:val="18"/>
                      <w:szCs w:val="18"/>
                    </w:rPr>
                  </w:pPr>
                  <w:r>
                    <w:rPr>
                      <w:rFonts w:hint="eastAsia" w:eastAsiaTheme="minorEastAsia"/>
                      <w:sz w:val="18"/>
                      <w:szCs w:val="18"/>
                    </w:rPr>
                    <w:t>85</w:t>
                  </w:r>
                </w:p>
              </w:tc>
              <w:tc>
                <w:tcPr>
                  <w:tcW w:w="363" w:type="pct"/>
                  <w:vAlign w:val="center"/>
                </w:tcPr>
                <w:p w14:paraId="09B16726">
                  <w:pPr>
                    <w:jc w:val="center"/>
                    <w:rPr>
                      <w:rFonts w:hAnsiTheme="minorEastAsia" w:eastAsiaTheme="minorEastAsia"/>
                      <w:sz w:val="18"/>
                      <w:szCs w:val="18"/>
                    </w:rPr>
                  </w:pPr>
                  <w:r>
                    <w:rPr>
                      <w:rFonts w:hAnsiTheme="minorEastAsia" w:eastAsiaTheme="minorEastAsia"/>
                      <w:sz w:val="18"/>
                      <w:szCs w:val="18"/>
                    </w:rPr>
                    <w:t>减振</w:t>
                  </w:r>
                </w:p>
                <w:p w14:paraId="3F657290">
                  <w:pPr>
                    <w:jc w:val="center"/>
                    <w:rPr>
                      <w:rFonts w:hAnsiTheme="minorEastAsia"/>
                      <w:sz w:val="18"/>
                      <w:szCs w:val="18"/>
                    </w:rPr>
                  </w:pPr>
                  <w:r>
                    <w:rPr>
                      <w:rFonts w:hAnsiTheme="minorEastAsia" w:eastAsiaTheme="minorEastAsia"/>
                      <w:sz w:val="18"/>
                      <w:szCs w:val="18"/>
                    </w:rPr>
                    <w:t>隔声</w:t>
                  </w:r>
                </w:p>
              </w:tc>
              <w:tc>
                <w:tcPr>
                  <w:tcW w:w="411" w:type="pct"/>
                  <w:vAlign w:val="center"/>
                </w:tcPr>
                <w:p w14:paraId="787748DC">
                  <w:pPr>
                    <w:jc w:val="center"/>
                    <w:rPr>
                      <w:rFonts w:ascii="宋体" w:hAnsi="宋体" w:cs="宋体"/>
                      <w:sz w:val="18"/>
                      <w:szCs w:val="18"/>
                    </w:rPr>
                  </w:pPr>
                  <w:r>
                    <w:rPr>
                      <w:rFonts w:hint="eastAsia"/>
                      <w:sz w:val="18"/>
                      <w:szCs w:val="18"/>
                    </w:rPr>
                    <w:t>-22.71</w:t>
                  </w:r>
                </w:p>
              </w:tc>
              <w:tc>
                <w:tcPr>
                  <w:tcW w:w="379" w:type="pct"/>
                  <w:vAlign w:val="center"/>
                </w:tcPr>
                <w:p w14:paraId="05F6D71B">
                  <w:pPr>
                    <w:jc w:val="center"/>
                    <w:rPr>
                      <w:rFonts w:ascii="宋体" w:hAnsi="宋体" w:cs="宋体"/>
                      <w:sz w:val="18"/>
                      <w:szCs w:val="18"/>
                    </w:rPr>
                  </w:pPr>
                  <w:r>
                    <w:rPr>
                      <w:rFonts w:hint="eastAsia"/>
                      <w:sz w:val="18"/>
                      <w:szCs w:val="18"/>
                    </w:rPr>
                    <w:t>61</w:t>
                  </w:r>
                </w:p>
              </w:tc>
              <w:tc>
                <w:tcPr>
                  <w:tcW w:w="279" w:type="pct"/>
                  <w:vAlign w:val="center"/>
                </w:tcPr>
                <w:p w14:paraId="1A8963F1">
                  <w:pPr>
                    <w:autoSpaceDE w:val="0"/>
                    <w:autoSpaceDN w:val="0"/>
                    <w:jc w:val="center"/>
                    <w:rPr>
                      <w:kern w:val="0"/>
                      <w:sz w:val="18"/>
                      <w:szCs w:val="18"/>
                    </w:rPr>
                  </w:pPr>
                  <w:r>
                    <w:rPr>
                      <w:rFonts w:hint="eastAsia"/>
                      <w:kern w:val="0"/>
                      <w:sz w:val="18"/>
                      <w:szCs w:val="18"/>
                    </w:rPr>
                    <w:t>1.2</w:t>
                  </w:r>
                </w:p>
              </w:tc>
              <w:tc>
                <w:tcPr>
                  <w:tcW w:w="507" w:type="pct"/>
                  <w:vAlign w:val="center"/>
                </w:tcPr>
                <w:p w14:paraId="79E68256">
                  <w:pPr>
                    <w:jc w:val="center"/>
                    <w:rPr>
                      <w:sz w:val="18"/>
                      <w:szCs w:val="18"/>
                    </w:rPr>
                  </w:pPr>
                  <w:r>
                    <w:rPr>
                      <w:rFonts w:hint="eastAsia"/>
                      <w:sz w:val="18"/>
                      <w:szCs w:val="18"/>
                    </w:rPr>
                    <w:t>东63.54</w:t>
                  </w:r>
                </w:p>
                <w:p w14:paraId="5E637B30">
                  <w:pPr>
                    <w:jc w:val="center"/>
                    <w:rPr>
                      <w:sz w:val="18"/>
                      <w:szCs w:val="18"/>
                    </w:rPr>
                  </w:pPr>
                  <w:r>
                    <w:rPr>
                      <w:rFonts w:hint="eastAsia"/>
                      <w:sz w:val="18"/>
                      <w:szCs w:val="18"/>
                    </w:rPr>
                    <w:t>南13.41</w:t>
                  </w:r>
                </w:p>
                <w:p w14:paraId="385B202D">
                  <w:pPr>
                    <w:jc w:val="center"/>
                    <w:rPr>
                      <w:sz w:val="18"/>
                      <w:szCs w:val="18"/>
                    </w:rPr>
                  </w:pPr>
                  <w:r>
                    <w:rPr>
                      <w:rFonts w:hint="eastAsia"/>
                      <w:sz w:val="18"/>
                      <w:szCs w:val="18"/>
                    </w:rPr>
                    <w:t>西15.29</w:t>
                  </w:r>
                </w:p>
                <w:p w14:paraId="55D1ED36">
                  <w:pPr>
                    <w:jc w:val="center"/>
                    <w:rPr>
                      <w:sz w:val="18"/>
                      <w:szCs w:val="18"/>
                    </w:rPr>
                  </w:pPr>
                  <w:r>
                    <w:rPr>
                      <w:rFonts w:hint="eastAsia"/>
                      <w:sz w:val="18"/>
                      <w:szCs w:val="18"/>
                    </w:rPr>
                    <w:t>北8.71</w:t>
                  </w:r>
                </w:p>
              </w:tc>
              <w:tc>
                <w:tcPr>
                  <w:tcW w:w="397" w:type="pct"/>
                  <w:vAlign w:val="center"/>
                </w:tcPr>
                <w:p w14:paraId="15F16650">
                  <w:pPr>
                    <w:jc w:val="center"/>
                    <w:rPr>
                      <w:sz w:val="18"/>
                      <w:szCs w:val="18"/>
                    </w:rPr>
                  </w:pPr>
                  <w:r>
                    <w:rPr>
                      <w:rFonts w:hint="eastAsia"/>
                      <w:sz w:val="18"/>
                      <w:szCs w:val="18"/>
                    </w:rPr>
                    <w:t>77.96</w:t>
                  </w:r>
                </w:p>
              </w:tc>
              <w:tc>
                <w:tcPr>
                  <w:tcW w:w="273" w:type="pct"/>
                  <w:vMerge w:val="continue"/>
                  <w:vAlign w:val="center"/>
                </w:tcPr>
                <w:p w14:paraId="12463D3E">
                  <w:pPr>
                    <w:jc w:val="center"/>
                    <w:rPr>
                      <w:sz w:val="18"/>
                      <w:szCs w:val="18"/>
                    </w:rPr>
                  </w:pPr>
                </w:p>
              </w:tc>
              <w:tc>
                <w:tcPr>
                  <w:tcW w:w="375" w:type="pct"/>
                  <w:vAlign w:val="center"/>
                </w:tcPr>
                <w:p w14:paraId="2A5BDD94">
                  <w:pPr>
                    <w:jc w:val="center"/>
                    <w:rPr>
                      <w:sz w:val="18"/>
                      <w:szCs w:val="18"/>
                    </w:rPr>
                  </w:pPr>
                  <w:r>
                    <w:rPr>
                      <w:rFonts w:hint="eastAsia"/>
                      <w:sz w:val="18"/>
                      <w:szCs w:val="18"/>
                    </w:rPr>
                    <w:t>26</w:t>
                  </w:r>
                </w:p>
              </w:tc>
              <w:tc>
                <w:tcPr>
                  <w:tcW w:w="397" w:type="pct"/>
                  <w:vAlign w:val="center"/>
                </w:tcPr>
                <w:p w14:paraId="37E8CB29">
                  <w:pPr>
                    <w:autoSpaceDE w:val="0"/>
                    <w:autoSpaceDN w:val="0"/>
                    <w:jc w:val="center"/>
                    <w:rPr>
                      <w:kern w:val="0"/>
                      <w:sz w:val="18"/>
                      <w:szCs w:val="18"/>
                    </w:rPr>
                  </w:pPr>
                  <w:r>
                    <w:rPr>
                      <w:rFonts w:hint="eastAsia"/>
                      <w:kern w:val="0"/>
                      <w:sz w:val="18"/>
                      <w:szCs w:val="18"/>
                    </w:rPr>
                    <w:t>51.96</w:t>
                  </w:r>
                </w:p>
              </w:tc>
              <w:tc>
                <w:tcPr>
                  <w:tcW w:w="341" w:type="pct"/>
                  <w:vAlign w:val="center"/>
                </w:tcPr>
                <w:p w14:paraId="22B8D42F">
                  <w:pPr>
                    <w:jc w:val="center"/>
                    <w:rPr>
                      <w:sz w:val="18"/>
                      <w:szCs w:val="18"/>
                    </w:rPr>
                  </w:pPr>
                  <w:r>
                    <w:rPr>
                      <w:rFonts w:hint="eastAsia"/>
                      <w:sz w:val="18"/>
                      <w:szCs w:val="18"/>
                    </w:rPr>
                    <w:t>1</w:t>
                  </w:r>
                </w:p>
              </w:tc>
            </w:tr>
            <w:tr w14:paraId="574D8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A888FBE">
                  <w:pPr>
                    <w:jc w:val="center"/>
                    <w:rPr>
                      <w:rFonts w:eastAsiaTheme="minorEastAsia"/>
                      <w:sz w:val="18"/>
                      <w:szCs w:val="18"/>
                    </w:rPr>
                  </w:pPr>
                  <w:r>
                    <w:rPr>
                      <w:rFonts w:hint="eastAsia" w:eastAsiaTheme="minorEastAsia"/>
                      <w:sz w:val="18"/>
                      <w:szCs w:val="18"/>
                    </w:rPr>
                    <w:t>8</w:t>
                  </w:r>
                </w:p>
              </w:tc>
              <w:tc>
                <w:tcPr>
                  <w:tcW w:w="258" w:type="pct"/>
                  <w:vMerge w:val="continue"/>
                  <w:vAlign w:val="center"/>
                </w:tcPr>
                <w:p w14:paraId="13CAA67E">
                  <w:pPr>
                    <w:jc w:val="center"/>
                    <w:rPr>
                      <w:rFonts w:eastAsiaTheme="minorEastAsia"/>
                      <w:sz w:val="18"/>
                      <w:szCs w:val="18"/>
                    </w:rPr>
                  </w:pPr>
                </w:p>
              </w:tc>
              <w:tc>
                <w:tcPr>
                  <w:tcW w:w="348" w:type="pct"/>
                  <w:vAlign w:val="center"/>
                </w:tcPr>
                <w:p w14:paraId="29162A77">
                  <w:pPr>
                    <w:adjustRightInd w:val="0"/>
                    <w:snapToGrid w:val="0"/>
                    <w:jc w:val="center"/>
                    <w:rPr>
                      <w:sz w:val="18"/>
                      <w:szCs w:val="18"/>
                    </w:rPr>
                  </w:pPr>
                  <w:r>
                    <w:rPr>
                      <w:rFonts w:hint="eastAsia"/>
                      <w:sz w:val="18"/>
                      <w:szCs w:val="18"/>
                    </w:rPr>
                    <w:t>轴流风机1</w:t>
                  </w:r>
                </w:p>
              </w:tc>
              <w:tc>
                <w:tcPr>
                  <w:tcW w:w="439" w:type="pct"/>
                  <w:vAlign w:val="center"/>
                </w:tcPr>
                <w:p w14:paraId="65F3B47E">
                  <w:pPr>
                    <w:jc w:val="center"/>
                    <w:rPr>
                      <w:rFonts w:eastAsiaTheme="minorEastAsia"/>
                      <w:sz w:val="18"/>
                      <w:szCs w:val="18"/>
                    </w:rPr>
                  </w:pPr>
                  <w:r>
                    <w:rPr>
                      <w:rFonts w:hint="eastAsia" w:eastAsiaTheme="minorEastAsia"/>
                      <w:sz w:val="18"/>
                      <w:szCs w:val="18"/>
                    </w:rPr>
                    <w:t>85</w:t>
                  </w:r>
                </w:p>
              </w:tc>
              <w:tc>
                <w:tcPr>
                  <w:tcW w:w="363" w:type="pct"/>
                  <w:vAlign w:val="center"/>
                </w:tcPr>
                <w:p w14:paraId="55E2FD94">
                  <w:pPr>
                    <w:jc w:val="center"/>
                    <w:rPr>
                      <w:rFonts w:hAnsiTheme="minorEastAsia" w:eastAsiaTheme="minorEastAsia"/>
                      <w:sz w:val="18"/>
                      <w:szCs w:val="18"/>
                    </w:rPr>
                  </w:pPr>
                  <w:r>
                    <w:rPr>
                      <w:rFonts w:hAnsiTheme="minorEastAsia" w:eastAsiaTheme="minorEastAsia"/>
                      <w:sz w:val="18"/>
                      <w:szCs w:val="18"/>
                    </w:rPr>
                    <w:t>减振</w:t>
                  </w:r>
                </w:p>
                <w:p w14:paraId="46EB8AAB">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6D9F9C17">
                  <w:pPr>
                    <w:jc w:val="center"/>
                    <w:rPr>
                      <w:rFonts w:ascii="宋体" w:hAnsi="宋体" w:cs="宋体"/>
                      <w:sz w:val="18"/>
                      <w:szCs w:val="18"/>
                    </w:rPr>
                  </w:pPr>
                  <w:r>
                    <w:rPr>
                      <w:rFonts w:hint="eastAsia"/>
                      <w:sz w:val="18"/>
                      <w:szCs w:val="18"/>
                    </w:rPr>
                    <w:t>7.83</w:t>
                  </w:r>
                </w:p>
              </w:tc>
              <w:tc>
                <w:tcPr>
                  <w:tcW w:w="379" w:type="pct"/>
                  <w:vAlign w:val="center"/>
                </w:tcPr>
                <w:p w14:paraId="30E02A33">
                  <w:pPr>
                    <w:jc w:val="center"/>
                    <w:rPr>
                      <w:rFonts w:ascii="宋体" w:hAnsi="宋体" w:cs="宋体"/>
                      <w:sz w:val="18"/>
                      <w:szCs w:val="18"/>
                    </w:rPr>
                  </w:pPr>
                  <w:r>
                    <w:rPr>
                      <w:rFonts w:hint="eastAsia"/>
                      <w:sz w:val="18"/>
                      <w:szCs w:val="18"/>
                    </w:rPr>
                    <w:t>98.94</w:t>
                  </w:r>
                </w:p>
              </w:tc>
              <w:tc>
                <w:tcPr>
                  <w:tcW w:w="279" w:type="pct"/>
                  <w:vAlign w:val="center"/>
                </w:tcPr>
                <w:p w14:paraId="1FF161B9">
                  <w:pPr>
                    <w:autoSpaceDE w:val="0"/>
                    <w:autoSpaceDN w:val="0"/>
                    <w:jc w:val="center"/>
                    <w:rPr>
                      <w:kern w:val="0"/>
                      <w:sz w:val="18"/>
                      <w:szCs w:val="18"/>
                    </w:rPr>
                  </w:pPr>
                  <w:r>
                    <w:rPr>
                      <w:rFonts w:hint="eastAsia"/>
                      <w:kern w:val="0"/>
                      <w:sz w:val="18"/>
                      <w:szCs w:val="18"/>
                    </w:rPr>
                    <w:t>1.2</w:t>
                  </w:r>
                </w:p>
              </w:tc>
              <w:tc>
                <w:tcPr>
                  <w:tcW w:w="507" w:type="pct"/>
                  <w:vAlign w:val="center"/>
                </w:tcPr>
                <w:p w14:paraId="3C42FA8F">
                  <w:pPr>
                    <w:jc w:val="center"/>
                    <w:rPr>
                      <w:sz w:val="18"/>
                      <w:szCs w:val="18"/>
                    </w:rPr>
                  </w:pPr>
                  <w:r>
                    <w:rPr>
                      <w:rFonts w:hint="eastAsia"/>
                      <w:sz w:val="18"/>
                      <w:szCs w:val="18"/>
                    </w:rPr>
                    <w:t>东15.15</w:t>
                  </w:r>
                </w:p>
                <w:p w14:paraId="54DDA679">
                  <w:pPr>
                    <w:jc w:val="center"/>
                    <w:rPr>
                      <w:sz w:val="18"/>
                      <w:szCs w:val="18"/>
                    </w:rPr>
                  </w:pPr>
                  <w:r>
                    <w:rPr>
                      <w:rFonts w:hint="eastAsia"/>
                      <w:sz w:val="18"/>
                      <w:szCs w:val="18"/>
                    </w:rPr>
                    <w:t>南19.03</w:t>
                  </w:r>
                </w:p>
                <w:p w14:paraId="382019AA">
                  <w:pPr>
                    <w:jc w:val="center"/>
                    <w:rPr>
                      <w:sz w:val="18"/>
                      <w:szCs w:val="18"/>
                    </w:rPr>
                  </w:pPr>
                  <w:r>
                    <w:rPr>
                      <w:rFonts w:hint="eastAsia"/>
                      <w:sz w:val="18"/>
                      <w:szCs w:val="18"/>
                    </w:rPr>
                    <w:t>西63.66</w:t>
                  </w:r>
                </w:p>
                <w:p w14:paraId="749C3025">
                  <w:pPr>
                    <w:jc w:val="center"/>
                    <w:rPr>
                      <w:sz w:val="18"/>
                      <w:szCs w:val="18"/>
                    </w:rPr>
                  </w:pPr>
                  <w:r>
                    <w:rPr>
                      <w:rFonts w:hint="eastAsia"/>
                      <w:sz w:val="18"/>
                      <w:szCs w:val="18"/>
                    </w:rPr>
                    <w:t>北2.74</w:t>
                  </w:r>
                </w:p>
              </w:tc>
              <w:tc>
                <w:tcPr>
                  <w:tcW w:w="397" w:type="pct"/>
                  <w:vAlign w:val="center"/>
                </w:tcPr>
                <w:p w14:paraId="696D12D3">
                  <w:pPr>
                    <w:jc w:val="center"/>
                    <w:rPr>
                      <w:sz w:val="18"/>
                      <w:szCs w:val="18"/>
                    </w:rPr>
                  </w:pPr>
                  <w:r>
                    <w:rPr>
                      <w:rFonts w:hint="eastAsia"/>
                      <w:sz w:val="18"/>
                      <w:szCs w:val="18"/>
                    </w:rPr>
                    <w:t>77.96</w:t>
                  </w:r>
                </w:p>
              </w:tc>
              <w:tc>
                <w:tcPr>
                  <w:tcW w:w="273" w:type="pct"/>
                  <w:vMerge w:val="continue"/>
                  <w:vAlign w:val="center"/>
                </w:tcPr>
                <w:p w14:paraId="2F1465D8">
                  <w:pPr>
                    <w:jc w:val="center"/>
                    <w:rPr>
                      <w:sz w:val="18"/>
                      <w:szCs w:val="18"/>
                    </w:rPr>
                  </w:pPr>
                </w:p>
              </w:tc>
              <w:tc>
                <w:tcPr>
                  <w:tcW w:w="375" w:type="pct"/>
                  <w:vAlign w:val="center"/>
                </w:tcPr>
                <w:p w14:paraId="7F21DAE2">
                  <w:pPr>
                    <w:jc w:val="center"/>
                    <w:rPr>
                      <w:sz w:val="18"/>
                      <w:szCs w:val="18"/>
                    </w:rPr>
                  </w:pPr>
                  <w:r>
                    <w:rPr>
                      <w:rFonts w:hint="eastAsia"/>
                      <w:sz w:val="18"/>
                      <w:szCs w:val="18"/>
                    </w:rPr>
                    <w:t>26</w:t>
                  </w:r>
                </w:p>
              </w:tc>
              <w:tc>
                <w:tcPr>
                  <w:tcW w:w="397" w:type="pct"/>
                  <w:vAlign w:val="center"/>
                </w:tcPr>
                <w:p w14:paraId="0E463DF8">
                  <w:pPr>
                    <w:autoSpaceDE w:val="0"/>
                    <w:autoSpaceDN w:val="0"/>
                    <w:jc w:val="center"/>
                    <w:rPr>
                      <w:kern w:val="0"/>
                      <w:sz w:val="18"/>
                      <w:szCs w:val="18"/>
                    </w:rPr>
                  </w:pPr>
                  <w:r>
                    <w:rPr>
                      <w:rFonts w:hint="eastAsia"/>
                      <w:kern w:val="0"/>
                      <w:sz w:val="18"/>
                      <w:szCs w:val="18"/>
                    </w:rPr>
                    <w:t>51.96</w:t>
                  </w:r>
                </w:p>
              </w:tc>
              <w:tc>
                <w:tcPr>
                  <w:tcW w:w="341" w:type="pct"/>
                  <w:vAlign w:val="center"/>
                </w:tcPr>
                <w:p w14:paraId="5093C42D">
                  <w:pPr>
                    <w:jc w:val="center"/>
                    <w:rPr>
                      <w:sz w:val="18"/>
                      <w:szCs w:val="18"/>
                    </w:rPr>
                  </w:pPr>
                  <w:r>
                    <w:rPr>
                      <w:rFonts w:hint="eastAsia"/>
                      <w:sz w:val="18"/>
                      <w:szCs w:val="18"/>
                    </w:rPr>
                    <w:t>1</w:t>
                  </w:r>
                </w:p>
              </w:tc>
            </w:tr>
            <w:tr w14:paraId="73D1E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49E42099">
                  <w:pPr>
                    <w:jc w:val="center"/>
                    <w:rPr>
                      <w:rFonts w:eastAsiaTheme="minorEastAsia"/>
                      <w:sz w:val="18"/>
                      <w:szCs w:val="18"/>
                    </w:rPr>
                  </w:pPr>
                  <w:r>
                    <w:rPr>
                      <w:rFonts w:hint="eastAsia" w:eastAsiaTheme="minorEastAsia"/>
                      <w:sz w:val="18"/>
                      <w:szCs w:val="18"/>
                    </w:rPr>
                    <w:t>9</w:t>
                  </w:r>
                </w:p>
              </w:tc>
              <w:tc>
                <w:tcPr>
                  <w:tcW w:w="258" w:type="pct"/>
                  <w:vMerge w:val="continue"/>
                  <w:vAlign w:val="center"/>
                </w:tcPr>
                <w:p w14:paraId="3B131F7F">
                  <w:pPr>
                    <w:jc w:val="center"/>
                    <w:rPr>
                      <w:rFonts w:eastAsiaTheme="minorEastAsia"/>
                      <w:sz w:val="18"/>
                      <w:szCs w:val="18"/>
                    </w:rPr>
                  </w:pPr>
                </w:p>
              </w:tc>
              <w:tc>
                <w:tcPr>
                  <w:tcW w:w="348" w:type="pct"/>
                  <w:vAlign w:val="center"/>
                </w:tcPr>
                <w:p w14:paraId="526738FC">
                  <w:pPr>
                    <w:adjustRightInd w:val="0"/>
                    <w:snapToGrid w:val="0"/>
                    <w:jc w:val="center"/>
                    <w:rPr>
                      <w:sz w:val="18"/>
                      <w:szCs w:val="18"/>
                    </w:rPr>
                  </w:pPr>
                  <w:r>
                    <w:rPr>
                      <w:rFonts w:hint="eastAsia"/>
                      <w:sz w:val="18"/>
                      <w:szCs w:val="18"/>
                    </w:rPr>
                    <w:t>轴流风机2</w:t>
                  </w:r>
                </w:p>
              </w:tc>
              <w:tc>
                <w:tcPr>
                  <w:tcW w:w="439" w:type="pct"/>
                  <w:vAlign w:val="center"/>
                </w:tcPr>
                <w:p w14:paraId="448363FA">
                  <w:pPr>
                    <w:jc w:val="center"/>
                    <w:rPr>
                      <w:rFonts w:eastAsiaTheme="minorEastAsia"/>
                      <w:sz w:val="18"/>
                      <w:szCs w:val="18"/>
                    </w:rPr>
                  </w:pPr>
                  <w:r>
                    <w:rPr>
                      <w:rFonts w:hint="eastAsia" w:eastAsiaTheme="minorEastAsia"/>
                      <w:sz w:val="18"/>
                      <w:szCs w:val="18"/>
                    </w:rPr>
                    <w:t>85</w:t>
                  </w:r>
                </w:p>
              </w:tc>
              <w:tc>
                <w:tcPr>
                  <w:tcW w:w="363" w:type="pct"/>
                  <w:vAlign w:val="center"/>
                </w:tcPr>
                <w:p w14:paraId="1E1013D6">
                  <w:pPr>
                    <w:jc w:val="center"/>
                    <w:rPr>
                      <w:rFonts w:hAnsiTheme="minorEastAsia" w:eastAsiaTheme="minorEastAsia"/>
                      <w:sz w:val="18"/>
                      <w:szCs w:val="18"/>
                    </w:rPr>
                  </w:pPr>
                  <w:r>
                    <w:rPr>
                      <w:rFonts w:hAnsiTheme="minorEastAsia" w:eastAsiaTheme="minorEastAsia"/>
                      <w:sz w:val="18"/>
                      <w:szCs w:val="18"/>
                    </w:rPr>
                    <w:t>减振</w:t>
                  </w:r>
                </w:p>
                <w:p w14:paraId="38ED291F">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20E80975">
                  <w:pPr>
                    <w:jc w:val="center"/>
                    <w:rPr>
                      <w:rFonts w:ascii="宋体" w:hAnsi="宋体" w:cs="宋体"/>
                      <w:sz w:val="18"/>
                      <w:szCs w:val="18"/>
                    </w:rPr>
                  </w:pPr>
                  <w:r>
                    <w:rPr>
                      <w:rFonts w:hint="eastAsia"/>
                      <w:sz w:val="18"/>
                      <w:szCs w:val="18"/>
                    </w:rPr>
                    <w:t>-25.85</w:t>
                  </w:r>
                </w:p>
              </w:tc>
              <w:tc>
                <w:tcPr>
                  <w:tcW w:w="379" w:type="pct"/>
                  <w:vAlign w:val="center"/>
                </w:tcPr>
                <w:p w14:paraId="21FA18E4">
                  <w:pPr>
                    <w:jc w:val="center"/>
                    <w:rPr>
                      <w:rFonts w:ascii="宋体" w:hAnsi="宋体" w:cs="宋体"/>
                      <w:sz w:val="18"/>
                      <w:szCs w:val="18"/>
                    </w:rPr>
                  </w:pPr>
                  <w:r>
                    <w:rPr>
                      <w:rFonts w:hint="eastAsia"/>
                      <w:sz w:val="18"/>
                      <w:szCs w:val="18"/>
                    </w:rPr>
                    <w:t>65.49</w:t>
                  </w:r>
                </w:p>
              </w:tc>
              <w:tc>
                <w:tcPr>
                  <w:tcW w:w="279" w:type="pct"/>
                  <w:vAlign w:val="center"/>
                </w:tcPr>
                <w:p w14:paraId="6C1ED773">
                  <w:pPr>
                    <w:autoSpaceDE w:val="0"/>
                    <w:autoSpaceDN w:val="0"/>
                    <w:jc w:val="center"/>
                    <w:rPr>
                      <w:kern w:val="0"/>
                      <w:sz w:val="18"/>
                      <w:szCs w:val="18"/>
                    </w:rPr>
                  </w:pPr>
                  <w:r>
                    <w:rPr>
                      <w:rFonts w:hint="eastAsia"/>
                      <w:kern w:val="0"/>
                      <w:sz w:val="18"/>
                      <w:szCs w:val="18"/>
                    </w:rPr>
                    <w:t>1.2</w:t>
                  </w:r>
                </w:p>
              </w:tc>
              <w:tc>
                <w:tcPr>
                  <w:tcW w:w="507" w:type="pct"/>
                  <w:vAlign w:val="center"/>
                </w:tcPr>
                <w:p w14:paraId="4042E79C">
                  <w:pPr>
                    <w:jc w:val="center"/>
                    <w:rPr>
                      <w:sz w:val="18"/>
                      <w:szCs w:val="18"/>
                    </w:rPr>
                  </w:pPr>
                  <w:r>
                    <w:rPr>
                      <w:rFonts w:hint="eastAsia"/>
                      <w:sz w:val="18"/>
                      <w:szCs w:val="18"/>
                    </w:rPr>
                    <w:t>东62.61</w:t>
                  </w:r>
                </w:p>
                <w:p w14:paraId="422D14AB">
                  <w:pPr>
                    <w:jc w:val="center"/>
                    <w:rPr>
                      <w:sz w:val="18"/>
                      <w:szCs w:val="18"/>
                    </w:rPr>
                  </w:pPr>
                  <w:r>
                    <w:rPr>
                      <w:rFonts w:hint="eastAsia"/>
                      <w:sz w:val="18"/>
                      <w:szCs w:val="18"/>
                    </w:rPr>
                    <w:t>南18.81</w:t>
                  </w:r>
                </w:p>
                <w:p w14:paraId="2DF34823">
                  <w:pPr>
                    <w:jc w:val="center"/>
                    <w:rPr>
                      <w:sz w:val="18"/>
                      <w:szCs w:val="18"/>
                    </w:rPr>
                  </w:pPr>
                  <w:r>
                    <w:rPr>
                      <w:rFonts w:hint="eastAsia"/>
                      <w:sz w:val="18"/>
                      <w:szCs w:val="18"/>
                    </w:rPr>
                    <w:t>西16.20</w:t>
                  </w:r>
                </w:p>
                <w:p w14:paraId="370B0F58">
                  <w:pPr>
                    <w:jc w:val="center"/>
                    <w:rPr>
                      <w:sz w:val="18"/>
                      <w:szCs w:val="18"/>
                    </w:rPr>
                  </w:pPr>
                  <w:r>
                    <w:rPr>
                      <w:rFonts w:hint="eastAsia"/>
                      <w:sz w:val="18"/>
                      <w:szCs w:val="18"/>
                    </w:rPr>
                    <w:t>北3.30</w:t>
                  </w:r>
                </w:p>
              </w:tc>
              <w:tc>
                <w:tcPr>
                  <w:tcW w:w="397" w:type="pct"/>
                  <w:vAlign w:val="center"/>
                </w:tcPr>
                <w:p w14:paraId="2B3627AA">
                  <w:pPr>
                    <w:jc w:val="center"/>
                    <w:rPr>
                      <w:sz w:val="18"/>
                      <w:szCs w:val="18"/>
                    </w:rPr>
                  </w:pPr>
                  <w:r>
                    <w:rPr>
                      <w:rFonts w:hint="eastAsia"/>
                      <w:sz w:val="18"/>
                      <w:szCs w:val="18"/>
                    </w:rPr>
                    <w:t>77.96</w:t>
                  </w:r>
                </w:p>
              </w:tc>
              <w:tc>
                <w:tcPr>
                  <w:tcW w:w="273" w:type="pct"/>
                  <w:vMerge w:val="continue"/>
                  <w:vAlign w:val="center"/>
                </w:tcPr>
                <w:p w14:paraId="5C5F35C9">
                  <w:pPr>
                    <w:jc w:val="center"/>
                    <w:rPr>
                      <w:sz w:val="18"/>
                      <w:szCs w:val="18"/>
                    </w:rPr>
                  </w:pPr>
                </w:p>
              </w:tc>
              <w:tc>
                <w:tcPr>
                  <w:tcW w:w="375" w:type="pct"/>
                  <w:vAlign w:val="center"/>
                </w:tcPr>
                <w:p w14:paraId="5468C247">
                  <w:pPr>
                    <w:jc w:val="center"/>
                    <w:rPr>
                      <w:sz w:val="18"/>
                      <w:szCs w:val="18"/>
                    </w:rPr>
                  </w:pPr>
                  <w:r>
                    <w:rPr>
                      <w:rFonts w:hint="eastAsia"/>
                      <w:sz w:val="18"/>
                      <w:szCs w:val="18"/>
                    </w:rPr>
                    <w:t>26</w:t>
                  </w:r>
                </w:p>
              </w:tc>
              <w:tc>
                <w:tcPr>
                  <w:tcW w:w="397" w:type="pct"/>
                  <w:vAlign w:val="center"/>
                </w:tcPr>
                <w:p w14:paraId="19849A24">
                  <w:pPr>
                    <w:autoSpaceDE w:val="0"/>
                    <w:autoSpaceDN w:val="0"/>
                    <w:jc w:val="center"/>
                    <w:rPr>
                      <w:kern w:val="0"/>
                      <w:sz w:val="18"/>
                      <w:szCs w:val="18"/>
                    </w:rPr>
                  </w:pPr>
                  <w:r>
                    <w:rPr>
                      <w:rFonts w:hint="eastAsia"/>
                      <w:kern w:val="0"/>
                      <w:sz w:val="18"/>
                      <w:szCs w:val="18"/>
                    </w:rPr>
                    <w:t>51.96</w:t>
                  </w:r>
                </w:p>
              </w:tc>
              <w:tc>
                <w:tcPr>
                  <w:tcW w:w="341" w:type="pct"/>
                  <w:vAlign w:val="center"/>
                </w:tcPr>
                <w:p w14:paraId="7F1454E7">
                  <w:pPr>
                    <w:jc w:val="center"/>
                    <w:rPr>
                      <w:sz w:val="18"/>
                      <w:szCs w:val="18"/>
                    </w:rPr>
                  </w:pPr>
                  <w:r>
                    <w:rPr>
                      <w:rFonts w:hint="eastAsia"/>
                      <w:sz w:val="18"/>
                      <w:szCs w:val="18"/>
                    </w:rPr>
                    <w:t>1</w:t>
                  </w:r>
                </w:p>
              </w:tc>
            </w:tr>
            <w:tr w14:paraId="548A1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8AC4015">
                  <w:pPr>
                    <w:jc w:val="center"/>
                    <w:rPr>
                      <w:rFonts w:eastAsiaTheme="minorEastAsia"/>
                      <w:sz w:val="18"/>
                      <w:szCs w:val="18"/>
                    </w:rPr>
                  </w:pPr>
                  <w:r>
                    <w:rPr>
                      <w:rFonts w:hint="eastAsia" w:eastAsiaTheme="minorEastAsia"/>
                      <w:sz w:val="18"/>
                      <w:szCs w:val="18"/>
                    </w:rPr>
                    <w:t>10</w:t>
                  </w:r>
                </w:p>
              </w:tc>
              <w:tc>
                <w:tcPr>
                  <w:tcW w:w="258" w:type="pct"/>
                  <w:vMerge w:val="restart"/>
                  <w:vAlign w:val="center"/>
                </w:tcPr>
                <w:p w14:paraId="6ED3D03E">
                  <w:pPr>
                    <w:jc w:val="center"/>
                    <w:rPr>
                      <w:rFonts w:eastAsiaTheme="minorEastAsia"/>
                      <w:sz w:val="18"/>
                      <w:szCs w:val="18"/>
                    </w:rPr>
                  </w:pPr>
                  <w:r>
                    <w:rPr>
                      <w:rFonts w:hint="eastAsia" w:eastAsiaTheme="minorEastAsia"/>
                      <w:sz w:val="18"/>
                      <w:szCs w:val="18"/>
                    </w:rPr>
                    <w:t>平方仓2</w:t>
                  </w:r>
                </w:p>
              </w:tc>
              <w:tc>
                <w:tcPr>
                  <w:tcW w:w="348" w:type="pct"/>
                  <w:vAlign w:val="center"/>
                </w:tcPr>
                <w:p w14:paraId="2FD0C481">
                  <w:pPr>
                    <w:widowControl/>
                    <w:jc w:val="center"/>
                    <w:rPr>
                      <w:kern w:val="0"/>
                      <w:sz w:val="18"/>
                      <w:szCs w:val="18"/>
                    </w:rPr>
                  </w:pPr>
                  <w:r>
                    <w:rPr>
                      <w:rFonts w:hint="eastAsia"/>
                      <w:sz w:val="18"/>
                      <w:szCs w:val="18"/>
                    </w:rPr>
                    <w:t>输送机</w:t>
                  </w:r>
                  <w:r>
                    <w:rPr>
                      <w:rFonts w:hint="eastAsia"/>
                      <w:kern w:val="0"/>
                      <w:sz w:val="18"/>
                      <w:szCs w:val="18"/>
                    </w:rPr>
                    <w:t>（3台）</w:t>
                  </w:r>
                </w:p>
              </w:tc>
              <w:tc>
                <w:tcPr>
                  <w:tcW w:w="439" w:type="pct"/>
                  <w:vAlign w:val="center"/>
                </w:tcPr>
                <w:p w14:paraId="72937AC3">
                  <w:pPr>
                    <w:jc w:val="center"/>
                    <w:rPr>
                      <w:sz w:val="18"/>
                      <w:szCs w:val="18"/>
                    </w:rPr>
                  </w:pPr>
                  <w:r>
                    <w:rPr>
                      <w:rFonts w:hint="eastAsia"/>
                      <w:sz w:val="18"/>
                      <w:szCs w:val="18"/>
                    </w:rPr>
                    <w:t>75（等效后79.8）</w:t>
                  </w:r>
                </w:p>
              </w:tc>
              <w:tc>
                <w:tcPr>
                  <w:tcW w:w="363" w:type="pct"/>
                  <w:vAlign w:val="center"/>
                </w:tcPr>
                <w:p w14:paraId="6E270FC1">
                  <w:pPr>
                    <w:jc w:val="center"/>
                    <w:rPr>
                      <w:rFonts w:hAnsiTheme="minorEastAsia" w:eastAsiaTheme="minorEastAsia"/>
                      <w:sz w:val="18"/>
                      <w:szCs w:val="18"/>
                    </w:rPr>
                  </w:pPr>
                  <w:r>
                    <w:rPr>
                      <w:rFonts w:hAnsiTheme="minorEastAsia" w:eastAsiaTheme="minorEastAsia"/>
                      <w:sz w:val="18"/>
                      <w:szCs w:val="18"/>
                    </w:rPr>
                    <w:t>减振</w:t>
                  </w:r>
                </w:p>
                <w:p w14:paraId="4080FA4F">
                  <w:pPr>
                    <w:jc w:val="center"/>
                    <w:rPr>
                      <w:rFonts w:hAnsiTheme="minorEastAsia"/>
                      <w:sz w:val="18"/>
                      <w:szCs w:val="18"/>
                    </w:rPr>
                  </w:pPr>
                  <w:r>
                    <w:rPr>
                      <w:rFonts w:hAnsiTheme="minorEastAsia" w:eastAsiaTheme="minorEastAsia"/>
                      <w:sz w:val="18"/>
                      <w:szCs w:val="18"/>
                    </w:rPr>
                    <w:t>隔声</w:t>
                  </w:r>
                </w:p>
              </w:tc>
              <w:tc>
                <w:tcPr>
                  <w:tcW w:w="411" w:type="pct"/>
                  <w:vAlign w:val="center"/>
                </w:tcPr>
                <w:p w14:paraId="251A5E37">
                  <w:pPr>
                    <w:jc w:val="center"/>
                    <w:rPr>
                      <w:rFonts w:ascii="宋体" w:hAnsi="宋体" w:cs="宋体"/>
                      <w:sz w:val="18"/>
                      <w:szCs w:val="18"/>
                    </w:rPr>
                  </w:pPr>
                  <w:r>
                    <w:rPr>
                      <w:rFonts w:hint="eastAsia"/>
                      <w:sz w:val="18"/>
                      <w:szCs w:val="18"/>
                    </w:rPr>
                    <w:t>-26.75</w:t>
                  </w:r>
                </w:p>
              </w:tc>
              <w:tc>
                <w:tcPr>
                  <w:tcW w:w="379" w:type="pct"/>
                  <w:vAlign w:val="center"/>
                </w:tcPr>
                <w:p w14:paraId="1D09BF3D">
                  <w:pPr>
                    <w:jc w:val="center"/>
                    <w:rPr>
                      <w:rFonts w:ascii="宋体" w:hAnsi="宋体" w:cs="宋体"/>
                      <w:sz w:val="18"/>
                      <w:szCs w:val="18"/>
                    </w:rPr>
                  </w:pPr>
                  <w:r>
                    <w:rPr>
                      <w:rFonts w:hint="eastAsia"/>
                      <w:sz w:val="18"/>
                      <w:szCs w:val="18"/>
                    </w:rPr>
                    <w:t>105.23</w:t>
                  </w:r>
                </w:p>
              </w:tc>
              <w:tc>
                <w:tcPr>
                  <w:tcW w:w="279" w:type="pct"/>
                  <w:vAlign w:val="center"/>
                </w:tcPr>
                <w:p w14:paraId="79A85DCA">
                  <w:pPr>
                    <w:autoSpaceDE w:val="0"/>
                    <w:autoSpaceDN w:val="0"/>
                    <w:jc w:val="center"/>
                    <w:rPr>
                      <w:kern w:val="0"/>
                      <w:sz w:val="18"/>
                      <w:szCs w:val="18"/>
                    </w:rPr>
                  </w:pPr>
                  <w:r>
                    <w:rPr>
                      <w:rFonts w:hint="eastAsia"/>
                      <w:kern w:val="0"/>
                      <w:sz w:val="18"/>
                      <w:szCs w:val="18"/>
                    </w:rPr>
                    <w:t>1.2</w:t>
                  </w:r>
                </w:p>
              </w:tc>
              <w:tc>
                <w:tcPr>
                  <w:tcW w:w="507" w:type="pct"/>
                  <w:vAlign w:val="center"/>
                </w:tcPr>
                <w:p w14:paraId="46A0CAC9">
                  <w:pPr>
                    <w:jc w:val="center"/>
                    <w:rPr>
                      <w:sz w:val="18"/>
                      <w:szCs w:val="18"/>
                    </w:rPr>
                  </w:pPr>
                  <w:r>
                    <w:rPr>
                      <w:rFonts w:hint="eastAsia"/>
                      <w:sz w:val="18"/>
                      <w:szCs w:val="18"/>
                    </w:rPr>
                    <w:t>东35.42</w:t>
                  </w:r>
                </w:p>
                <w:p w14:paraId="526F47DA">
                  <w:pPr>
                    <w:jc w:val="center"/>
                    <w:rPr>
                      <w:sz w:val="18"/>
                      <w:szCs w:val="18"/>
                    </w:rPr>
                  </w:pPr>
                  <w:r>
                    <w:rPr>
                      <w:rFonts w:hint="eastAsia"/>
                      <w:sz w:val="18"/>
                      <w:szCs w:val="18"/>
                    </w:rPr>
                    <w:t>南11.33</w:t>
                  </w:r>
                </w:p>
                <w:p w14:paraId="7E37E237">
                  <w:pPr>
                    <w:jc w:val="center"/>
                    <w:rPr>
                      <w:sz w:val="18"/>
                      <w:szCs w:val="18"/>
                    </w:rPr>
                  </w:pPr>
                  <w:r>
                    <w:rPr>
                      <w:rFonts w:hint="eastAsia"/>
                      <w:sz w:val="18"/>
                      <w:szCs w:val="18"/>
                    </w:rPr>
                    <w:t>西43.06</w:t>
                  </w:r>
                </w:p>
                <w:p w14:paraId="3EF1C912">
                  <w:pPr>
                    <w:jc w:val="center"/>
                    <w:rPr>
                      <w:sz w:val="18"/>
                      <w:szCs w:val="18"/>
                    </w:rPr>
                  </w:pPr>
                  <w:r>
                    <w:rPr>
                      <w:rFonts w:hint="eastAsia"/>
                      <w:sz w:val="18"/>
                      <w:szCs w:val="18"/>
                    </w:rPr>
                    <w:t>北10.01</w:t>
                  </w:r>
                </w:p>
              </w:tc>
              <w:tc>
                <w:tcPr>
                  <w:tcW w:w="397" w:type="pct"/>
                  <w:vAlign w:val="center"/>
                </w:tcPr>
                <w:p w14:paraId="5ADB9643">
                  <w:pPr>
                    <w:jc w:val="center"/>
                    <w:rPr>
                      <w:sz w:val="18"/>
                      <w:szCs w:val="18"/>
                    </w:rPr>
                  </w:pPr>
                  <w:r>
                    <w:rPr>
                      <w:rFonts w:hint="eastAsia"/>
                      <w:sz w:val="18"/>
                      <w:szCs w:val="18"/>
                    </w:rPr>
                    <w:t>72.82</w:t>
                  </w:r>
                </w:p>
              </w:tc>
              <w:tc>
                <w:tcPr>
                  <w:tcW w:w="273" w:type="pct"/>
                  <w:vMerge w:val="restart"/>
                  <w:vAlign w:val="center"/>
                </w:tcPr>
                <w:p w14:paraId="59B38787">
                  <w:pPr>
                    <w:jc w:val="center"/>
                    <w:rPr>
                      <w:sz w:val="18"/>
                      <w:szCs w:val="18"/>
                    </w:rPr>
                  </w:pPr>
                  <w:r>
                    <w:rPr>
                      <w:sz w:val="18"/>
                      <w:szCs w:val="18"/>
                    </w:rPr>
                    <w:t>昼间</w:t>
                  </w:r>
                </w:p>
              </w:tc>
              <w:tc>
                <w:tcPr>
                  <w:tcW w:w="375" w:type="pct"/>
                  <w:vAlign w:val="center"/>
                </w:tcPr>
                <w:p w14:paraId="47C19F19">
                  <w:pPr>
                    <w:jc w:val="center"/>
                    <w:rPr>
                      <w:sz w:val="18"/>
                      <w:szCs w:val="18"/>
                    </w:rPr>
                  </w:pPr>
                  <w:r>
                    <w:rPr>
                      <w:rFonts w:hint="eastAsia"/>
                      <w:sz w:val="18"/>
                      <w:szCs w:val="18"/>
                    </w:rPr>
                    <w:t>26</w:t>
                  </w:r>
                </w:p>
              </w:tc>
              <w:tc>
                <w:tcPr>
                  <w:tcW w:w="397" w:type="pct"/>
                  <w:vAlign w:val="center"/>
                </w:tcPr>
                <w:p w14:paraId="3F6003F5">
                  <w:pPr>
                    <w:autoSpaceDE w:val="0"/>
                    <w:autoSpaceDN w:val="0"/>
                    <w:jc w:val="center"/>
                    <w:rPr>
                      <w:kern w:val="0"/>
                      <w:sz w:val="18"/>
                      <w:szCs w:val="18"/>
                    </w:rPr>
                  </w:pPr>
                  <w:r>
                    <w:rPr>
                      <w:rFonts w:hint="eastAsia"/>
                      <w:kern w:val="0"/>
                      <w:sz w:val="18"/>
                      <w:szCs w:val="18"/>
                    </w:rPr>
                    <w:t>46.82</w:t>
                  </w:r>
                </w:p>
              </w:tc>
              <w:tc>
                <w:tcPr>
                  <w:tcW w:w="341" w:type="pct"/>
                  <w:vAlign w:val="center"/>
                </w:tcPr>
                <w:p w14:paraId="2BBA327B">
                  <w:pPr>
                    <w:jc w:val="center"/>
                    <w:rPr>
                      <w:sz w:val="18"/>
                      <w:szCs w:val="18"/>
                    </w:rPr>
                  </w:pPr>
                  <w:r>
                    <w:rPr>
                      <w:rFonts w:hint="eastAsia"/>
                      <w:sz w:val="18"/>
                      <w:szCs w:val="18"/>
                    </w:rPr>
                    <w:t>1</w:t>
                  </w:r>
                </w:p>
              </w:tc>
            </w:tr>
            <w:tr w14:paraId="7CBF4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1CA39DE">
                  <w:pPr>
                    <w:jc w:val="center"/>
                    <w:rPr>
                      <w:rFonts w:eastAsiaTheme="minorEastAsia"/>
                      <w:sz w:val="18"/>
                      <w:szCs w:val="18"/>
                    </w:rPr>
                  </w:pPr>
                  <w:r>
                    <w:rPr>
                      <w:rFonts w:hint="eastAsia" w:eastAsiaTheme="minorEastAsia"/>
                      <w:sz w:val="18"/>
                      <w:szCs w:val="18"/>
                    </w:rPr>
                    <w:t>11</w:t>
                  </w:r>
                </w:p>
              </w:tc>
              <w:tc>
                <w:tcPr>
                  <w:tcW w:w="258" w:type="pct"/>
                  <w:vMerge w:val="continue"/>
                  <w:vAlign w:val="center"/>
                </w:tcPr>
                <w:p w14:paraId="460D2AA4">
                  <w:pPr>
                    <w:jc w:val="center"/>
                    <w:rPr>
                      <w:rFonts w:eastAsiaTheme="minorEastAsia"/>
                      <w:sz w:val="18"/>
                      <w:szCs w:val="18"/>
                    </w:rPr>
                  </w:pPr>
                </w:p>
              </w:tc>
              <w:tc>
                <w:tcPr>
                  <w:tcW w:w="348" w:type="pct"/>
                  <w:vAlign w:val="center"/>
                </w:tcPr>
                <w:p w14:paraId="34F47B3B">
                  <w:pPr>
                    <w:widowControl/>
                    <w:jc w:val="center"/>
                    <w:rPr>
                      <w:sz w:val="18"/>
                      <w:szCs w:val="18"/>
                    </w:rPr>
                  </w:pPr>
                  <w:r>
                    <w:rPr>
                      <w:rFonts w:hint="eastAsia"/>
                      <w:sz w:val="18"/>
                      <w:szCs w:val="18"/>
                    </w:rPr>
                    <w:t>轴流风机1</w:t>
                  </w:r>
                </w:p>
              </w:tc>
              <w:tc>
                <w:tcPr>
                  <w:tcW w:w="439" w:type="pct"/>
                  <w:vAlign w:val="center"/>
                </w:tcPr>
                <w:p w14:paraId="1D171E45">
                  <w:pPr>
                    <w:jc w:val="center"/>
                    <w:rPr>
                      <w:sz w:val="18"/>
                      <w:szCs w:val="18"/>
                    </w:rPr>
                  </w:pPr>
                  <w:r>
                    <w:rPr>
                      <w:rFonts w:hint="eastAsia"/>
                      <w:sz w:val="18"/>
                      <w:szCs w:val="18"/>
                    </w:rPr>
                    <w:t>85</w:t>
                  </w:r>
                </w:p>
              </w:tc>
              <w:tc>
                <w:tcPr>
                  <w:tcW w:w="363" w:type="pct"/>
                  <w:vAlign w:val="center"/>
                </w:tcPr>
                <w:p w14:paraId="1EF7D1FC">
                  <w:pPr>
                    <w:jc w:val="center"/>
                    <w:rPr>
                      <w:rFonts w:hAnsiTheme="minorEastAsia" w:eastAsiaTheme="minorEastAsia"/>
                      <w:sz w:val="18"/>
                      <w:szCs w:val="18"/>
                    </w:rPr>
                  </w:pPr>
                  <w:r>
                    <w:rPr>
                      <w:rFonts w:hAnsiTheme="minorEastAsia" w:eastAsiaTheme="minorEastAsia"/>
                      <w:sz w:val="18"/>
                      <w:szCs w:val="18"/>
                    </w:rPr>
                    <w:t>减振</w:t>
                  </w:r>
                </w:p>
                <w:p w14:paraId="78F6B009">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6F9936FD">
                  <w:pPr>
                    <w:jc w:val="center"/>
                    <w:rPr>
                      <w:rFonts w:ascii="宋体" w:hAnsi="宋体" w:cs="宋体"/>
                      <w:sz w:val="18"/>
                      <w:szCs w:val="18"/>
                    </w:rPr>
                  </w:pPr>
                  <w:r>
                    <w:rPr>
                      <w:rFonts w:hint="eastAsia"/>
                      <w:sz w:val="18"/>
                      <w:szCs w:val="18"/>
                    </w:rPr>
                    <w:t>-6.09</w:t>
                  </w:r>
                </w:p>
              </w:tc>
              <w:tc>
                <w:tcPr>
                  <w:tcW w:w="379" w:type="pct"/>
                  <w:vAlign w:val="center"/>
                </w:tcPr>
                <w:p w14:paraId="3DFE2EF0">
                  <w:pPr>
                    <w:jc w:val="center"/>
                    <w:rPr>
                      <w:rFonts w:ascii="宋体" w:hAnsi="宋体" w:cs="宋体"/>
                      <w:sz w:val="18"/>
                      <w:szCs w:val="18"/>
                    </w:rPr>
                  </w:pPr>
                  <w:r>
                    <w:rPr>
                      <w:rFonts w:hint="eastAsia"/>
                      <w:sz w:val="18"/>
                      <w:szCs w:val="18"/>
                    </w:rPr>
                    <w:t>115.33</w:t>
                  </w:r>
                </w:p>
              </w:tc>
              <w:tc>
                <w:tcPr>
                  <w:tcW w:w="279" w:type="pct"/>
                  <w:vAlign w:val="center"/>
                </w:tcPr>
                <w:p w14:paraId="01FBC8C2">
                  <w:pPr>
                    <w:jc w:val="center"/>
                    <w:rPr>
                      <w:rFonts w:ascii="宋体" w:hAnsi="宋体" w:cs="宋体"/>
                      <w:sz w:val="18"/>
                      <w:szCs w:val="18"/>
                    </w:rPr>
                  </w:pPr>
                  <w:r>
                    <w:rPr>
                      <w:rFonts w:hint="eastAsia"/>
                      <w:sz w:val="18"/>
                      <w:szCs w:val="18"/>
                    </w:rPr>
                    <w:t>1.2</w:t>
                  </w:r>
                </w:p>
              </w:tc>
              <w:tc>
                <w:tcPr>
                  <w:tcW w:w="507" w:type="pct"/>
                  <w:vAlign w:val="center"/>
                </w:tcPr>
                <w:p w14:paraId="55F971DE">
                  <w:pPr>
                    <w:jc w:val="center"/>
                    <w:rPr>
                      <w:sz w:val="18"/>
                      <w:szCs w:val="18"/>
                    </w:rPr>
                  </w:pPr>
                  <w:r>
                    <w:rPr>
                      <w:rFonts w:hint="eastAsia"/>
                      <w:sz w:val="18"/>
                      <w:szCs w:val="18"/>
                    </w:rPr>
                    <w:t>东13.50</w:t>
                  </w:r>
                </w:p>
                <w:p w14:paraId="0E27A8A3">
                  <w:pPr>
                    <w:jc w:val="center"/>
                    <w:rPr>
                      <w:sz w:val="18"/>
                      <w:szCs w:val="18"/>
                    </w:rPr>
                  </w:pPr>
                  <w:r>
                    <w:rPr>
                      <w:rFonts w:hint="eastAsia"/>
                      <w:sz w:val="18"/>
                      <w:szCs w:val="18"/>
                    </w:rPr>
                    <w:t>南3.94</w:t>
                  </w:r>
                </w:p>
                <w:p w14:paraId="18702800">
                  <w:pPr>
                    <w:jc w:val="center"/>
                    <w:rPr>
                      <w:sz w:val="18"/>
                      <w:szCs w:val="18"/>
                    </w:rPr>
                  </w:pPr>
                  <w:r>
                    <w:rPr>
                      <w:rFonts w:hint="eastAsia"/>
                      <w:sz w:val="18"/>
                      <w:szCs w:val="18"/>
                    </w:rPr>
                    <w:t>西64.67</w:t>
                  </w:r>
                </w:p>
                <w:p w14:paraId="1337B29A">
                  <w:pPr>
                    <w:jc w:val="center"/>
                    <w:rPr>
                      <w:sz w:val="18"/>
                      <w:szCs w:val="18"/>
                    </w:rPr>
                  </w:pPr>
                  <w:r>
                    <w:rPr>
                      <w:rFonts w:hint="eastAsia"/>
                      <w:sz w:val="18"/>
                      <w:szCs w:val="18"/>
                    </w:rPr>
                    <w:t>北17.38</w:t>
                  </w:r>
                </w:p>
              </w:tc>
              <w:tc>
                <w:tcPr>
                  <w:tcW w:w="397" w:type="pct"/>
                  <w:vAlign w:val="center"/>
                </w:tcPr>
                <w:p w14:paraId="246D8C43">
                  <w:pPr>
                    <w:jc w:val="center"/>
                    <w:rPr>
                      <w:sz w:val="18"/>
                      <w:szCs w:val="18"/>
                    </w:rPr>
                  </w:pPr>
                  <w:r>
                    <w:rPr>
                      <w:rFonts w:hint="eastAsia"/>
                      <w:sz w:val="18"/>
                      <w:szCs w:val="18"/>
                    </w:rPr>
                    <w:t>78.03</w:t>
                  </w:r>
                </w:p>
              </w:tc>
              <w:tc>
                <w:tcPr>
                  <w:tcW w:w="273" w:type="pct"/>
                  <w:vMerge w:val="continue"/>
                  <w:vAlign w:val="center"/>
                </w:tcPr>
                <w:p w14:paraId="44ED64BF">
                  <w:pPr>
                    <w:jc w:val="center"/>
                    <w:rPr>
                      <w:sz w:val="18"/>
                      <w:szCs w:val="18"/>
                    </w:rPr>
                  </w:pPr>
                </w:p>
              </w:tc>
              <w:tc>
                <w:tcPr>
                  <w:tcW w:w="375" w:type="pct"/>
                  <w:vAlign w:val="center"/>
                </w:tcPr>
                <w:p w14:paraId="626F3CC0">
                  <w:pPr>
                    <w:jc w:val="center"/>
                    <w:rPr>
                      <w:sz w:val="18"/>
                      <w:szCs w:val="18"/>
                    </w:rPr>
                  </w:pPr>
                  <w:r>
                    <w:rPr>
                      <w:rFonts w:hint="eastAsia"/>
                      <w:sz w:val="18"/>
                      <w:szCs w:val="18"/>
                    </w:rPr>
                    <w:t>26</w:t>
                  </w:r>
                </w:p>
              </w:tc>
              <w:tc>
                <w:tcPr>
                  <w:tcW w:w="397" w:type="pct"/>
                  <w:vAlign w:val="center"/>
                </w:tcPr>
                <w:p w14:paraId="4014A895">
                  <w:pPr>
                    <w:autoSpaceDE w:val="0"/>
                    <w:autoSpaceDN w:val="0"/>
                    <w:jc w:val="center"/>
                    <w:rPr>
                      <w:kern w:val="0"/>
                      <w:sz w:val="18"/>
                      <w:szCs w:val="18"/>
                    </w:rPr>
                  </w:pPr>
                  <w:r>
                    <w:rPr>
                      <w:rFonts w:hint="eastAsia"/>
                      <w:kern w:val="0"/>
                      <w:sz w:val="18"/>
                      <w:szCs w:val="18"/>
                    </w:rPr>
                    <w:t>52.03</w:t>
                  </w:r>
                </w:p>
              </w:tc>
              <w:tc>
                <w:tcPr>
                  <w:tcW w:w="341" w:type="pct"/>
                  <w:vAlign w:val="center"/>
                </w:tcPr>
                <w:p w14:paraId="36FA8B6D">
                  <w:pPr>
                    <w:jc w:val="center"/>
                    <w:rPr>
                      <w:sz w:val="18"/>
                      <w:szCs w:val="18"/>
                    </w:rPr>
                  </w:pPr>
                  <w:r>
                    <w:rPr>
                      <w:rFonts w:hint="eastAsia"/>
                      <w:sz w:val="18"/>
                      <w:szCs w:val="18"/>
                    </w:rPr>
                    <w:t>1</w:t>
                  </w:r>
                </w:p>
              </w:tc>
            </w:tr>
            <w:tr w14:paraId="51181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66EAFFBC">
                  <w:pPr>
                    <w:jc w:val="center"/>
                    <w:rPr>
                      <w:rFonts w:eastAsiaTheme="minorEastAsia"/>
                      <w:sz w:val="18"/>
                      <w:szCs w:val="18"/>
                    </w:rPr>
                  </w:pPr>
                  <w:r>
                    <w:rPr>
                      <w:rFonts w:hint="eastAsia" w:eastAsiaTheme="minorEastAsia"/>
                      <w:sz w:val="18"/>
                      <w:szCs w:val="18"/>
                    </w:rPr>
                    <w:t>12</w:t>
                  </w:r>
                </w:p>
              </w:tc>
              <w:tc>
                <w:tcPr>
                  <w:tcW w:w="258" w:type="pct"/>
                  <w:vMerge w:val="continue"/>
                  <w:vAlign w:val="center"/>
                </w:tcPr>
                <w:p w14:paraId="153F98E8">
                  <w:pPr>
                    <w:jc w:val="center"/>
                    <w:rPr>
                      <w:rFonts w:eastAsiaTheme="minorEastAsia"/>
                      <w:sz w:val="18"/>
                      <w:szCs w:val="18"/>
                    </w:rPr>
                  </w:pPr>
                </w:p>
              </w:tc>
              <w:tc>
                <w:tcPr>
                  <w:tcW w:w="348" w:type="pct"/>
                  <w:vAlign w:val="center"/>
                </w:tcPr>
                <w:p w14:paraId="6539343F">
                  <w:pPr>
                    <w:adjustRightInd w:val="0"/>
                    <w:snapToGrid w:val="0"/>
                    <w:jc w:val="center"/>
                    <w:rPr>
                      <w:sz w:val="18"/>
                      <w:szCs w:val="18"/>
                    </w:rPr>
                  </w:pPr>
                  <w:r>
                    <w:rPr>
                      <w:rFonts w:hint="eastAsia"/>
                      <w:sz w:val="18"/>
                      <w:szCs w:val="18"/>
                    </w:rPr>
                    <w:t>轴流风机2</w:t>
                  </w:r>
                </w:p>
              </w:tc>
              <w:tc>
                <w:tcPr>
                  <w:tcW w:w="439" w:type="pct"/>
                  <w:vAlign w:val="center"/>
                </w:tcPr>
                <w:p w14:paraId="6AD09D39">
                  <w:pPr>
                    <w:jc w:val="center"/>
                    <w:rPr>
                      <w:rFonts w:eastAsiaTheme="minorEastAsia"/>
                      <w:sz w:val="18"/>
                      <w:szCs w:val="18"/>
                    </w:rPr>
                  </w:pPr>
                  <w:r>
                    <w:rPr>
                      <w:rFonts w:hint="eastAsia" w:eastAsiaTheme="minorEastAsia"/>
                      <w:sz w:val="18"/>
                      <w:szCs w:val="18"/>
                    </w:rPr>
                    <w:t>85</w:t>
                  </w:r>
                </w:p>
              </w:tc>
              <w:tc>
                <w:tcPr>
                  <w:tcW w:w="363" w:type="pct"/>
                  <w:vAlign w:val="center"/>
                </w:tcPr>
                <w:p w14:paraId="17219E3C">
                  <w:pPr>
                    <w:jc w:val="center"/>
                    <w:rPr>
                      <w:rFonts w:hAnsiTheme="minorEastAsia" w:eastAsiaTheme="minorEastAsia"/>
                      <w:sz w:val="18"/>
                      <w:szCs w:val="18"/>
                    </w:rPr>
                  </w:pPr>
                  <w:r>
                    <w:rPr>
                      <w:rFonts w:hAnsiTheme="minorEastAsia" w:eastAsiaTheme="minorEastAsia"/>
                      <w:sz w:val="18"/>
                      <w:szCs w:val="18"/>
                    </w:rPr>
                    <w:t>减振</w:t>
                  </w:r>
                </w:p>
                <w:p w14:paraId="08EB236D">
                  <w:pPr>
                    <w:jc w:val="center"/>
                    <w:rPr>
                      <w:rFonts w:hAnsiTheme="minorEastAsia" w:eastAsiaTheme="minorEastAsia"/>
                      <w:sz w:val="18"/>
                      <w:szCs w:val="18"/>
                    </w:rPr>
                  </w:pPr>
                  <w:r>
                    <w:rPr>
                      <w:rFonts w:hAnsiTheme="minorEastAsia" w:eastAsiaTheme="minorEastAsia"/>
                      <w:sz w:val="18"/>
                      <w:szCs w:val="18"/>
                    </w:rPr>
                    <w:t>隔声</w:t>
                  </w:r>
                </w:p>
              </w:tc>
              <w:tc>
                <w:tcPr>
                  <w:tcW w:w="411" w:type="pct"/>
                  <w:vAlign w:val="center"/>
                </w:tcPr>
                <w:p w14:paraId="5550B0A6">
                  <w:pPr>
                    <w:jc w:val="center"/>
                    <w:rPr>
                      <w:rFonts w:ascii="宋体" w:hAnsi="宋体" w:cs="宋体"/>
                      <w:sz w:val="18"/>
                      <w:szCs w:val="18"/>
                    </w:rPr>
                  </w:pPr>
                  <w:r>
                    <w:rPr>
                      <w:rFonts w:hint="eastAsia"/>
                      <w:sz w:val="18"/>
                      <w:szCs w:val="18"/>
                    </w:rPr>
                    <w:t>-37.97</w:t>
                  </w:r>
                </w:p>
              </w:tc>
              <w:tc>
                <w:tcPr>
                  <w:tcW w:w="379" w:type="pct"/>
                  <w:vAlign w:val="center"/>
                </w:tcPr>
                <w:p w14:paraId="5B50F8E4">
                  <w:pPr>
                    <w:jc w:val="center"/>
                    <w:rPr>
                      <w:rFonts w:ascii="宋体" w:hAnsi="宋体" w:cs="宋体"/>
                      <w:sz w:val="18"/>
                      <w:szCs w:val="18"/>
                    </w:rPr>
                  </w:pPr>
                  <w:r>
                    <w:rPr>
                      <w:rFonts w:hint="eastAsia"/>
                      <w:sz w:val="18"/>
                      <w:szCs w:val="18"/>
                    </w:rPr>
                    <w:t>82.55</w:t>
                  </w:r>
                </w:p>
              </w:tc>
              <w:tc>
                <w:tcPr>
                  <w:tcW w:w="279" w:type="pct"/>
                  <w:vAlign w:val="center"/>
                </w:tcPr>
                <w:p w14:paraId="342069F8">
                  <w:pPr>
                    <w:jc w:val="center"/>
                    <w:rPr>
                      <w:rFonts w:ascii="宋体" w:hAnsi="宋体" w:cs="宋体"/>
                      <w:sz w:val="18"/>
                      <w:szCs w:val="18"/>
                    </w:rPr>
                  </w:pPr>
                  <w:r>
                    <w:rPr>
                      <w:rFonts w:hint="eastAsia"/>
                      <w:sz w:val="18"/>
                      <w:szCs w:val="18"/>
                    </w:rPr>
                    <w:t>1.2</w:t>
                  </w:r>
                </w:p>
              </w:tc>
              <w:tc>
                <w:tcPr>
                  <w:tcW w:w="507" w:type="pct"/>
                  <w:vAlign w:val="center"/>
                </w:tcPr>
                <w:p w14:paraId="781B2DC7">
                  <w:pPr>
                    <w:jc w:val="center"/>
                    <w:rPr>
                      <w:sz w:val="18"/>
                      <w:szCs w:val="18"/>
                    </w:rPr>
                  </w:pPr>
                  <w:r>
                    <w:rPr>
                      <w:rFonts w:hint="eastAsia"/>
                      <w:sz w:val="18"/>
                      <w:szCs w:val="18"/>
                    </w:rPr>
                    <w:t>东59.20</w:t>
                  </w:r>
                </w:p>
                <w:p w14:paraId="215378E6">
                  <w:pPr>
                    <w:jc w:val="center"/>
                    <w:rPr>
                      <w:sz w:val="18"/>
                      <w:szCs w:val="18"/>
                    </w:rPr>
                  </w:pPr>
                  <w:r>
                    <w:rPr>
                      <w:rFonts w:hint="eastAsia"/>
                      <w:sz w:val="18"/>
                      <w:szCs w:val="18"/>
                    </w:rPr>
                    <w:t>南3.15</w:t>
                  </w:r>
                </w:p>
                <w:p w14:paraId="0C7987BF">
                  <w:pPr>
                    <w:jc w:val="center"/>
                    <w:rPr>
                      <w:sz w:val="18"/>
                      <w:szCs w:val="18"/>
                    </w:rPr>
                  </w:pPr>
                  <w:r>
                    <w:rPr>
                      <w:rFonts w:hint="eastAsia"/>
                      <w:sz w:val="18"/>
                      <w:szCs w:val="18"/>
                    </w:rPr>
                    <w:t>西18.50</w:t>
                  </w:r>
                </w:p>
                <w:p w14:paraId="2A29C8FF">
                  <w:pPr>
                    <w:jc w:val="center"/>
                    <w:rPr>
                      <w:sz w:val="18"/>
                      <w:szCs w:val="18"/>
                    </w:rPr>
                  </w:pPr>
                  <w:r>
                    <w:rPr>
                      <w:rFonts w:hint="eastAsia"/>
                      <w:sz w:val="18"/>
                      <w:szCs w:val="18"/>
                    </w:rPr>
                    <w:t>北18.23</w:t>
                  </w:r>
                </w:p>
              </w:tc>
              <w:tc>
                <w:tcPr>
                  <w:tcW w:w="397" w:type="pct"/>
                  <w:vAlign w:val="center"/>
                </w:tcPr>
                <w:p w14:paraId="6A122F04">
                  <w:pPr>
                    <w:jc w:val="center"/>
                    <w:rPr>
                      <w:sz w:val="18"/>
                      <w:szCs w:val="18"/>
                    </w:rPr>
                  </w:pPr>
                  <w:r>
                    <w:rPr>
                      <w:rFonts w:hint="eastAsia"/>
                      <w:sz w:val="18"/>
                      <w:szCs w:val="18"/>
                    </w:rPr>
                    <w:t>78.03</w:t>
                  </w:r>
                </w:p>
              </w:tc>
              <w:tc>
                <w:tcPr>
                  <w:tcW w:w="273" w:type="pct"/>
                  <w:vMerge w:val="continue"/>
                  <w:vAlign w:val="center"/>
                </w:tcPr>
                <w:p w14:paraId="121CFC42">
                  <w:pPr>
                    <w:jc w:val="center"/>
                    <w:rPr>
                      <w:sz w:val="18"/>
                      <w:szCs w:val="18"/>
                    </w:rPr>
                  </w:pPr>
                </w:p>
              </w:tc>
              <w:tc>
                <w:tcPr>
                  <w:tcW w:w="375" w:type="pct"/>
                  <w:vAlign w:val="center"/>
                </w:tcPr>
                <w:p w14:paraId="5455D6AD">
                  <w:pPr>
                    <w:jc w:val="center"/>
                    <w:rPr>
                      <w:sz w:val="18"/>
                      <w:szCs w:val="18"/>
                    </w:rPr>
                  </w:pPr>
                  <w:r>
                    <w:rPr>
                      <w:rFonts w:hint="eastAsia"/>
                      <w:sz w:val="18"/>
                      <w:szCs w:val="18"/>
                    </w:rPr>
                    <w:t>26</w:t>
                  </w:r>
                </w:p>
              </w:tc>
              <w:tc>
                <w:tcPr>
                  <w:tcW w:w="397" w:type="pct"/>
                  <w:vAlign w:val="center"/>
                </w:tcPr>
                <w:p w14:paraId="7FF560AF">
                  <w:pPr>
                    <w:autoSpaceDE w:val="0"/>
                    <w:autoSpaceDN w:val="0"/>
                    <w:jc w:val="center"/>
                    <w:rPr>
                      <w:kern w:val="0"/>
                      <w:sz w:val="18"/>
                      <w:szCs w:val="18"/>
                    </w:rPr>
                  </w:pPr>
                  <w:r>
                    <w:rPr>
                      <w:rFonts w:hint="eastAsia"/>
                      <w:kern w:val="0"/>
                      <w:sz w:val="18"/>
                      <w:szCs w:val="18"/>
                    </w:rPr>
                    <w:t>52.03</w:t>
                  </w:r>
                </w:p>
              </w:tc>
              <w:tc>
                <w:tcPr>
                  <w:tcW w:w="341" w:type="pct"/>
                  <w:vAlign w:val="center"/>
                </w:tcPr>
                <w:p w14:paraId="411B03AB">
                  <w:pPr>
                    <w:jc w:val="center"/>
                    <w:rPr>
                      <w:sz w:val="18"/>
                      <w:szCs w:val="18"/>
                    </w:rPr>
                  </w:pPr>
                  <w:r>
                    <w:rPr>
                      <w:rFonts w:hint="eastAsia"/>
                      <w:sz w:val="18"/>
                      <w:szCs w:val="18"/>
                    </w:rPr>
                    <w:t>1</w:t>
                  </w:r>
                </w:p>
              </w:tc>
            </w:tr>
            <w:tr w14:paraId="6EC10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5907BABD">
                  <w:pPr>
                    <w:jc w:val="center"/>
                    <w:rPr>
                      <w:rFonts w:eastAsiaTheme="minorEastAsia"/>
                      <w:sz w:val="18"/>
                      <w:szCs w:val="18"/>
                    </w:rPr>
                  </w:pPr>
                  <w:r>
                    <w:rPr>
                      <w:rFonts w:hint="eastAsia" w:eastAsiaTheme="minorEastAsia"/>
                      <w:sz w:val="18"/>
                      <w:szCs w:val="18"/>
                    </w:rPr>
                    <w:t>13</w:t>
                  </w:r>
                </w:p>
              </w:tc>
              <w:tc>
                <w:tcPr>
                  <w:tcW w:w="258" w:type="pct"/>
                  <w:vMerge w:val="restart"/>
                  <w:vAlign w:val="center"/>
                </w:tcPr>
                <w:p w14:paraId="01DA80E0">
                  <w:pPr>
                    <w:jc w:val="center"/>
                    <w:rPr>
                      <w:rFonts w:eastAsiaTheme="minorEastAsia"/>
                      <w:sz w:val="18"/>
                      <w:szCs w:val="18"/>
                    </w:rPr>
                  </w:pPr>
                  <w:r>
                    <w:rPr>
                      <w:rFonts w:eastAsiaTheme="minorEastAsia"/>
                      <w:sz w:val="18"/>
                      <w:szCs w:val="18"/>
                    </w:rPr>
                    <w:t>烘干车间</w:t>
                  </w:r>
                </w:p>
              </w:tc>
              <w:tc>
                <w:tcPr>
                  <w:tcW w:w="348" w:type="pct"/>
                  <w:vAlign w:val="center"/>
                </w:tcPr>
                <w:p w14:paraId="2BC37BB8">
                  <w:pPr>
                    <w:adjustRightInd w:val="0"/>
                    <w:snapToGrid w:val="0"/>
                    <w:jc w:val="center"/>
                    <w:rPr>
                      <w:sz w:val="18"/>
                      <w:szCs w:val="18"/>
                    </w:rPr>
                  </w:pPr>
                  <w:r>
                    <w:rPr>
                      <w:rFonts w:hint="eastAsia"/>
                      <w:sz w:val="18"/>
                      <w:szCs w:val="18"/>
                    </w:rPr>
                    <w:t>生物质热风炉（3台）</w:t>
                  </w:r>
                </w:p>
              </w:tc>
              <w:tc>
                <w:tcPr>
                  <w:tcW w:w="439" w:type="pct"/>
                  <w:vAlign w:val="center"/>
                </w:tcPr>
                <w:p w14:paraId="38CF5E7F">
                  <w:pPr>
                    <w:jc w:val="center"/>
                    <w:rPr>
                      <w:rFonts w:eastAsiaTheme="minorEastAsia"/>
                      <w:sz w:val="18"/>
                      <w:szCs w:val="18"/>
                    </w:rPr>
                  </w:pPr>
                  <w:r>
                    <w:rPr>
                      <w:rFonts w:hint="eastAsia"/>
                      <w:sz w:val="18"/>
                      <w:szCs w:val="18"/>
                    </w:rPr>
                    <w:t>75（等效后79.8）</w:t>
                  </w:r>
                </w:p>
              </w:tc>
              <w:tc>
                <w:tcPr>
                  <w:tcW w:w="363" w:type="pct"/>
                  <w:vAlign w:val="center"/>
                </w:tcPr>
                <w:p w14:paraId="2A4FA3B1">
                  <w:pPr>
                    <w:jc w:val="center"/>
                    <w:rPr>
                      <w:rFonts w:hAnsiTheme="minorEastAsia" w:eastAsiaTheme="minorEastAsia"/>
                      <w:sz w:val="18"/>
                      <w:szCs w:val="18"/>
                    </w:rPr>
                  </w:pPr>
                  <w:r>
                    <w:rPr>
                      <w:rFonts w:hAnsiTheme="minorEastAsia" w:eastAsiaTheme="minorEastAsia"/>
                      <w:sz w:val="18"/>
                      <w:szCs w:val="18"/>
                    </w:rPr>
                    <w:t>减振</w:t>
                  </w:r>
                </w:p>
                <w:p w14:paraId="3BCCD719">
                  <w:pPr>
                    <w:jc w:val="center"/>
                    <w:rPr>
                      <w:rFonts w:hAnsiTheme="minorEastAsia"/>
                      <w:sz w:val="18"/>
                      <w:szCs w:val="18"/>
                    </w:rPr>
                  </w:pPr>
                  <w:r>
                    <w:rPr>
                      <w:rFonts w:hAnsiTheme="minorEastAsia" w:eastAsiaTheme="minorEastAsia"/>
                      <w:sz w:val="18"/>
                      <w:szCs w:val="18"/>
                    </w:rPr>
                    <w:t>隔声</w:t>
                  </w:r>
                </w:p>
              </w:tc>
              <w:tc>
                <w:tcPr>
                  <w:tcW w:w="411" w:type="pct"/>
                  <w:vAlign w:val="center"/>
                </w:tcPr>
                <w:p w14:paraId="0794CCC7">
                  <w:pPr>
                    <w:jc w:val="center"/>
                    <w:rPr>
                      <w:rFonts w:ascii="宋体" w:hAnsi="宋体" w:cs="宋体"/>
                      <w:sz w:val="18"/>
                      <w:szCs w:val="18"/>
                    </w:rPr>
                  </w:pPr>
                  <w:r>
                    <w:rPr>
                      <w:rFonts w:hint="eastAsia"/>
                      <w:sz w:val="18"/>
                      <w:szCs w:val="18"/>
                    </w:rPr>
                    <w:t>-108.03</w:t>
                  </w:r>
                </w:p>
              </w:tc>
              <w:tc>
                <w:tcPr>
                  <w:tcW w:w="379" w:type="pct"/>
                  <w:vAlign w:val="center"/>
                </w:tcPr>
                <w:p w14:paraId="2C5B2C95">
                  <w:pPr>
                    <w:jc w:val="center"/>
                    <w:rPr>
                      <w:rFonts w:ascii="宋体" w:hAnsi="宋体" w:cs="宋体"/>
                      <w:sz w:val="18"/>
                      <w:szCs w:val="18"/>
                    </w:rPr>
                  </w:pPr>
                  <w:r>
                    <w:rPr>
                      <w:rFonts w:hint="eastAsia"/>
                      <w:sz w:val="18"/>
                      <w:szCs w:val="18"/>
                    </w:rPr>
                    <w:t>172.22</w:t>
                  </w:r>
                </w:p>
              </w:tc>
              <w:tc>
                <w:tcPr>
                  <w:tcW w:w="279" w:type="pct"/>
                  <w:vAlign w:val="center"/>
                </w:tcPr>
                <w:p w14:paraId="7C57A58D">
                  <w:pPr>
                    <w:jc w:val="center"/>
                    <w:rPr>
                      <w:rFonts w:ascii="宋体" w:hAnsi="宋体" w:cs="宋体"/>
                      <w:sz w:val="18"/>
                      <w:szCs w:val="18"/>
                    </w:rPr>
                  </w:pPr>
                  <w:r>
                    <w:rPr>
                      <w:rFonts w:hint="eastAsia"/>
                      <w:sz w:val="18"/>
                      <w:szCs w:val="18"/>
                    </w:rPr>
                    <w:t>1.2</w:t>
                  </w:r>
                </w:p>
              </w:tc>
              <w:tc>
                <w:tcPr>
                  <w:tcW w:w="507" w:type="pct"/>
                  <w:vAlign w:val="center"/>
                </w:tcPr>
                <w:p w14:paraId="45AABD6A">
                  <w:pPr>
                    <w:jc w:val="center"/>
                    <w:rPr>
                      <w:sz w:val="18"/>
                      <w:szCs w:val="18"/>
                    </w:rPr>
                  </w:pPr>
                  <w:r>
                    <w:rPr>
                      <w:rFonts w:hint="eastAsia"/>
                      <w:sz w:val="18"/>
                      <w:szCs w:val="18"/>
                    </w:rPr>
                    <w:t>东20.32</w:t>
                  </w:r>
                </w:p>
                <w:p w14:paraId="24A34858">
                  <w:pPr>
                    <w:jc w:val="center"/>
                    <w:rPr>
                      <w:sz w:val="18"/>
                      <w:szCs w:val="18"/>
                    </w:rPr>
                  </w:pPr>
                  <w:r>
                    <w:rPr>
                      <w:rFonts w:hint="eastAsia"/>
                      <w:sz w:val="18"/>
                      <w:szCs w:val="18"/>
                    </w:rPr>
                    <w:t>南6.28</w:t>
                  </w:r>
                </w:p>
                <w:p w14:paraId="72FAF0B0">
                  <w:pPr>
                    <w:jc w:val="center"/>
                    <w:rPr>
                      <w:sz w:val="18"/>
                      <w:szCs w:val="18"/>
                    </w:rPr>
                  </w:pPr>
                  <w:r>
                    <w:rPr>
                      <w:rFonts w:hint="eastAsia"/>
                      <w:sz w:val="18"/>
                      <w:szCs w:val="18"/>
                    </w:rPr>
                    <w:t>西21.04</w:t>
                  </w:r>
                </w:p>
                <w:p w14:paraId="7672662B">
                  <w:pPr>
                    <w:jc w:val="center"/>
                    <w:rPr>
                      <w:sz w:val="18"/>
                      <w:szCs w:val="18"/>
                    </w:rPr>
                  </w:pPr>
                  <w:r>
                    <w:rPr>
                      <w:rFonts w:hint="eastAsia"/>
                      <w:sz w:val="18"/>
                      <w:szCs w:val="18"/>
                    </w:rPr>
                    <w:t>北14.13</w:t>
                  </w:r>
                </w:p>
              </w:tc>
              <w:tc>
                <w:tcPr>
                  <w:tcW w:w="397" w:type="pct"/>
                  <w:vAlign w:val="center"/>
                </w:tcPr>
                <w:p w14:paraId="24C27E24">
                  <w:pPr>
                    <w:jc w:val="center"/>
                    <w:rPr>
                      <w:sz w:val="18"/>
                      <w:szCs w:val="18"/>
                    </w:rPr>
                  </w:pPr>
                  <w:r>
                    <w:rPr>
                      <w:rFonts w:hint="eastAsia"/>
                      <w:sz w:val="18"/>
                      <w:szCs w:val="18"/>
                    </w:rPr>
                    <w:t>74.69</w:t>
                  </w:r>
                </w:p>
              </w:tc>
              <w:tc>
                <w:tcPr>
                  <w:tcW w:w="273" w:type="pct"/>
                  <w:vMerge w:val="restart"/>
                  <w:vAlign w:val="center"/>
                </w:tcPr>
                <w:p w14:paraId="2EF47614">
                  <w:pPr>
                    <w:jc w:val="center"/>
                    <w:rPr>
                      <w:sz w:val="18"/>
                      <w:szCs w:val="18"/>
                    </w:rPr>
                  </w:pPr>
                  <w:r>
                    <w:rPr>
                      <w:rFonts w:hint="eastAsia"/>
                      <w:sz w:val="18"/>
                      <w:szCs w:val="18"/>
                    </w:rPr>
                    <w:t>20h</w:t>
                  </w:r>
                </w:p>
              </w:tc>
              <w:tc>
                <w:tcPr>
                  <w:tcW w:w="375" w:type="pct"/>
                  <w:vAlign w:val="center"/>
                </w:tcPr>
                <w:p w14:paraId="4944CE40">
                  <w:pPr>
                    <w:jc w:val="center"/>
                    <w:rPr>
                      <w:sz w:val="18"/>
                      <w:szCs w:val="18"/>
                    </w:rPr>
                  </w:pPr>
                  <w:r>
                    <w:rPr>
                      <w:rFonts w:hint="eastAsia"/>
                      <w:sz w:val="18"/>
                      <w:szCs w:val="18"/>
                    </w:rPr>
                    <w:t>26</w:t>
                  </w:r>
                </w:p>
              </w:tc>
              <w:tc>
                <w:tcPr>
                  <w:tcW w:w="397" w:type="pct"/>
                  <w:vAlign w:val="center"/>
                </w:tcPr>
                <w:p w14:paraId="29CCEF92">
                  <w:pPr>
                    <w:autoSpaceDE w:val="0"/>
                    <w:autoSpaceDN w:val="0"/>
                    <w:jc w:val="center"/>
                    <w:rPr>
                      <w:kern w:val="0"/>
                      <w:sz w:val="18"/>
                      <w:szCs w:val="18"/>
                    </w:rPr>
                  </w:pPr>
                  <w:r>
                    <w:rPr>
                      <w:rFonts w:hint="eastAsia"/>
                      <w:kern w:val="0"/>
                      <w:sz w:val="18"/>
                      <w:szCs w:val="18"/>
                    </w:rPr>
                    <w:t>48.69</w:t>
                  </w:r>
                </w:p>
              </w:tc>
              <w:tc>
                <w:tcPr>
                  <w:tcW w:w="341" w:type="pct"/>
                  <w:vAlign w:val="center"/>
                </w:tcPr>
                <w:p w14:paraId="12FB4957">
                  <w:pPr>
                    <w:jc w:val="center"/>
                    <w:rPr>
                      <w:sz w:val="18"/>
                      <w:szCs w:val="18"/>
                    </w:rPr>
                  </w:pPr>
                  <w:r>
                    <w:rPr>
                      <w:rFonts w:hint="eastAsia"/>
                      <w:sz w:val="18"/>
                      <w:szCs w:val="18"/>
                    </w:rPr>
                    <w:t>1</w:t>
                  </w:r>
                </w:p>
              </w:tc>
            </w:tr>
            <w:tr w14:paraId="07E10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59735125">
                  <w:pPr>
                    <w:jc w:val="center"/>
                    <w:rPr>
                      <w:rFonts w:eastAsiaTheme="minorEastAsia"/>
                      <w:sz w:val="18"/>
                      <w:szCs w:val="18"/>
                    </w:rPr>
                  </w:pPr>
                  <w:r>
                    <w:rPr>
                      <w:rFonts w:hint="eastAsia" w:eastAsiaTheme="minorEastAsia"/>
                      <w:sz w:val="18"/>
                      <w:szCs w:val="18"/>
                    </w:rPr>
                    <w:t>14</w:t>
                  </w:r>
                </w:p>
              </w:tc>
              <w:tc>
                <w:tcPr>
                  <w:tcW w:w="258" w:type="pct"/>
                  <w:vMerge w:val="continue"/>
                  <w:vAlign w:val="center"/>
                </w:tcPr>
                <w:p w14:paraId="1D200C78">
                  <w:pPr>
                    <w:jc w:val="center"/>
                    <w:rPr>
                      <w:rFonts w:eastAsiaTheme="minorEastAsia"/>
                      <w:sz w:val="18"/>
                      <w:szCs w:val="18"/>
                    </w:rPr>
                  </w:pPr>
                </w:p>
              </w:tc>
              <w:tc>
                <w:tcPr>
                  <w:tcW w:w="348" w:type="pct"/>
                  <w:vAlign w:val="center"/>
                </w:tcPr>
                <w:p w14:paraId="7F2CAB4C">
                  <w:pPr>
                    <w:adjustRightInd w:val="0"/>
                    <w:snapToGrid w:val="0"/>
                    <w:jc w:val="center"/>
                    <w:rPr>
                      <w:sz w:val="18"/>
                      <w:szCs w:val="18"/>
                    </w:rPr>
                  </w:pPr>
                  <w:r>
                    <w:rPr>
                      <w:rFonts w:hint="eastAsia"/>
                      <w:sz w:val="18"/>
                      <w:szCs w:val="18"/>
                    </w:rPr>
                    <w:t>烘干机（6台）</w:t>
                  </w:r>
                </w:p>
              </w:tc>
              <w:tc>
                <w:tcPr>
                  <w:tcW w:w="439" w:type="pct"/>
                  <w:vAlign w:val="center"/>
                </w:tcPr>
                <w:p w14:paraId="02B61A92">
                  <w:pPr>
                    <w:jc w:val="center"/>
                    <w:rPr>
                      <w:rFonts w:eastAsiaTheme="minorEastAsia"/>
                      <w:sz w:val="18"/>
                      <w:szCs w:val="18"/>
                    </w:rPr>
                  </w:pPr>
                  <w:r>
                    <w:rPr>
                      <w:rFonts w:hint="eastAsia"/>
                      <w:sz w:val="18"/>
                      <w:szCs w:val="18"/>
                    </w:rPr>
                    <w:t>70（等效后77.8）</w:t>
                  </w:r>
                </w:p>
              </w:tc>
              <w:tc>
                <w:tcPr>
                  <w:tcW w:w="363" w:type="pct"/>
                  <w:vAlign w:val="center"/>
                </w:tcPr>
                <w:p w14:paraId="44862066">
                  <w:pPr>
                    <w:jc w:val="center"/>
                    <w:rPr>
                      <w:rFonts w:hAnsiTheme="minorEastAsia" w:eastAsiaTheme="minorEastAsia"/>
                      <w:sz w:val="18"/>
                      <w:szCs w:val="18"/>
                    </w:rPr>
                  </w:pPr>
                  <w:r>
                    <w:rPr>
                      <w:rFonts w:hAnsiTheme="minorEastAsia" w:eastAsiaTheme="minorEastAsia"/>
                      <w:sz w:val="18"/>
                      <w:szCs w:val="18"/>
                    </w:rPr>
                    <w:t>减振</w:t>
                  </w:r>
                </w:p>
                <w:p w14:paraId="77605AF9">
                  <w:pPr>
                    <w:jc w:val="center"/>
                    <w:rPr>
                      <w:sz w:val="18"/>
                      <w:szCs w:val="18"/>
                    </w:rPr>
                  </w:pPr>
                  <w:r>
                    <w:rPr>
                      <w:rFonts w:hAnsiTheme="minorEastAsia" w:eastAsiaTheme="minorEastAsia"/>
                      <w:sz w:val="18"/>
                      <w:szCs w:val="18"/>
                    </w:rPr>
                    <w:t>隔声</w:t>
                  </w:r>
                </w:p>
              </w:tc>
              <w:tc>
                <w:tcPr>
                  <w:tcW w:w="411" w:type="pct"/>
                  <w:vAlign w:val="center"/>
                </w:tcPr>
                <w:p w14:paraId="4734AF76">
                  <w:pPr>
                    <w:jc w:val="center"/>
                    <w:rPr>
                      <w:rFonts w:ascii="宋体" w:hAnsi="宋体" w:cs="宋体"/>
                      <w:sz w:val="18"/>
                      <w:szCs w:val="18"/>
                    </w:rPr>
                  </w:pPr>
                  <w:r>
                    <w:rPr>
                      <w:rFonts w:hint="eastAsia"/>
                      <w:sz w:val="18"/>
                      <w:szCs w:val="18"/>
                    </w:rPr>
                    <w:t>-111.44</w:t>
                  </w:r>
                </w:p>
              </w:tc>
              <w:tc>
                <w:tcPr>
                  <w:tcW w:w="379" w:type="pct"/>
                  <w:vAlign w:val="center"/>
                </w:tcPr>
                <w:p w14:paraId="04351806">
                  <w:pPr>
                    <w:jc w:val="center"/>
                    <w:rPr>
                      <w:rFonts w:ascii="宋体" w:hAnsi="宋体" w:cs="宋体"/>
                      <w:sz w:val="18"/>
                      <w:szCs w:val="18"/>
                    </w:rPr>
                  </w:pPr>
                  <w:r>
                    <w:rPr>
                      <w:rFonts w:hint="eastAsia"/>
                      <w:sz w:val="18"/>
                      <w:szCs w:val="18"/>
                    </w:rPr>
                    <w:t>174.33</w:t>
                  </w:r>
                </w:p>
              </w:tc>
              <w:tc>
                <w:tcPr>
                  <w:tcW w:w="279" w:type="pct"/>
                  <w:vAlign w:val="center"/>
                </w:tcPr>
                <w:p w14:paraId="63FCE8F8">
                  <w:pPr>
                    <w:jc w:val="center"/>
                    <w:rPr>
                      <w:rFonts w:ascii="宋体" w:hAnsi="宋体" w:cs="宋体"/>
                      <w:sz w:val="18"/>
                      <w:szCs w:val="18"/>
                    </w:rPr>
                  </w:pPr>
                  <w:r>
                    <w:rPr>
                      <w:rFonts w:hint="eastAsia"/>
                      <w:sz w:val="18"/>
                      <w:szCs w:val="18"/>
                    </w:rPr>
                    <w:t>1.2</w:t>
                  </w:r>
                </w:p>
              </w:tc>
              <w:tc>
                <w:tcPr>
                  <w:tcW w:w="507" w:type="pct"/>
                  <w:vAlign w:val="center"/>
                </w:tcPr>
                <w:p w14:paraId="0D656DA4">
                  <w:pPr>
                    <w:jc w:val="center"/>
                    <w:rPr>
                      <w:sz w:val="18"/>
                      <w:szCs w:val="18"/>
                    </w:rPr>
                  </w:pPr>
                  <w:r>
                    <w:rPr>
                      <w:rFonts w:hint="eastAsia"/>
                      <w:sz w:val="18"/>
                      <w:szCs w:val="18"/>
                    </w:rPr>
                    <w:t>东24.54</w:t>
                  </w:r>
                </w:p>
                <w:p w14:paraId="4AC5DA96">
                  <w:pPr>
                    <w:jc w:val="center"/>
                    <w:rPr>
                      <w:sz w:val="18"/>
                      <w:szCs w:val="18"/>
                    </w:rPr>
                  </w:pPr>
                  <w:r>
                    <w:rPr>
                      <w:rFonts w:hint="eastAsia"/>
                      <w:sz w:val="18"/>
                      <w:szCs w:val="18"/>
                    </w:rPr>
                    <w:t>南6.28</w:t>
                  </w:r>
                </w:p>
                <w:p w14:paraId="52135FD8">
                  <w:pPr>
                    <w:jc w:val="center"/>
                    <w:rPr>
                      <w:sz w:val="18"/>
                      <w:szCs w:val="18"/>
                    </w:rPr>
                  </w:pPr>
                  <w:r>
                    <w:rPr>
                      <w:rFonts w:hint="eastAsia"/>
                      <w:sz w:val="18"/>
                      <w:szCs w:val="18"/>
                    </w:rPr>
                    <w:t>西21.04</w:t>
                  </w:r>
                </w:p>
                <w:p w14:paraId="5402223C">
                  <w:pPr>
                    <w:jc w:val="center"/>
                    <w:rPr>
                      <w:sz w:val="18"/>
                      <w:szCs w:val="18"/>
                    </w:rPr>
                  </w:pPr>
                  <w:r>
                    <w:rPr>
                      <w:rFonts w:hint="eastAsia"/>
                      <w:sz w:val="18"/>
                      <w:szCs w:val="18"/>
                    </w:rPr>
                    <w:t>北10.62</w:t>
                  </w:r>
                </w:p>
              </w:tc>
              <w:tc>
                <w:tcPr>
                  <w:tcW w:w="397" w:type="pct"/>
                  <w:vAlign w:val="center"/>
                </w:tcPr>
                <w:p w14:paraId="7E09672B">
                  <w:pPr>
                    <w:jc w:val="center"/>
                    <w:rPr>
                      <w:sz w:val="18"/>
                      <w:szCs w:val="18"/>
                    </w:rPr>
                  </w:pPr>
                  <w:r>
                    <w:rPr>
                      <w:rFonts w:hint="eastAsia"/>
                      <w:sz w:val="18"/>
                      <w:szCs w:val="18"/>
                    </w:rPr>
                    <w:t>72.69</w:t>
                  </w:r>
                </w:p>
              </w:tc>
              <w:tc>
                <w:tcPr>
                  <w:tcW w:w="273" w:type="pct"/>
                  <w:vMerge w:val="continue"/>
                  <w:vAlign w:val="center"/>
                </w:tcPr>
                <w:p w14:paraId="714F4618">
                  <w:pPr>
                    <w:jc w:val="center"/>
                    <w:rPr>
                      <w:sz w:val="18"/>
                      <w:szCs w:val="18"/>
                    </w:rPr>
                  </w:pPr>
                </w:p>
              </w:tc>
              <w:tc>
                <w:tcPr>
                  <w:tcW w:w="375" w:type="pct"/>
                  <w:vAlign w:val="center"/>
                </w:tcPr>
                <w:p w14:paraId="767E0993">
                  <w:pPr>
                    <w:jc w:val="center"/>
                    <w:rPr>
                      <w:rFonts w:ascii="宋体" w:hAnsi="宋体" w:cs="宋体"/>
                      <w:sz w:val="18"/>
                      <w:szCs w:val="18"/>
                    </w:rPr>
                  </w:pPr>
                  <w:r>
                    <w:rPr>
                      <w:rFonts w:hint="eastAsia"/>
                      <w:sz w:val="18"/>
                      <w:szCs w:val="18"/>
                    </w:rPr>
                    <w:t>26</w:t>
                  </w:r>
                </w:p>
              </w:tc>
              <w:tc>
                <w:tcPr>
                  <w:tcW w:w="397" w:type="pct"/>
                  <w:vAlign w:val="center"/>
                </w:tcPr>
                <w:p w14:paraId="2A873A37">
                  <w:pPr>
                    <w:jc w:val="center"/>
                    <w:rPr>
                      <w:rFonts w:ascii="宋体" w:hAnsi="宋体" w:cs="宋体"/>
                      <w:sz w:val="18"/>
                      <w:szCs w:val="18"/>
                    </w:rPr>
                  </w:pPr>
                  <w:r>
                    <w:rPr>
                      <w:rFonts w:hint="eastAsia"/>
                      <w:sz w:val="18"/>
                      <w:szCs w:val="18"/>
                    </w:rPr>
                    <w:t>46.68</w:t>
                  </w:r>
                </w:p>
              </w:tc>
              <w:tc>
                <w:tcPr>
                  <w:tcW w:w="341" w:type="pct"/>
                  <w:vAlign w:val="center"/>
                </w:tcPr>
                <w:p w14:paraId="772A776B">
                  <w:pPr>
                    <w:jc w:val="center"/>
                    <w:rPr>
                      <w:rFonts w:ascii="宋体" w:hAnsi="宋体" w:cs="宋体"/>
                      <w:sz w:val="18"/>
                      <w:szCs w:val="18"/>
                    </w:rPr>
                  </w:pPr>
                  <w:r>
                    <w:rPr>
                      <w:rFonts w:hint="eastAsia"/>
                      <w:sz w:val="18"/>
                      <w:szCs w:val="18"/>
                    </w:rPr>
                    <w:t>1</w:t>
                  </w:r>
                </w:p>
              </w:tc>
            </w:tr>
            <w:tr w14:paraId="7EA94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01555C62">
                  <w:pPr>
                    <w:jc w:val="center"/>
                    <w:rPr>
                      <w:rFonts w:eastAsiaTheme="minorEastAsia"/>
                      <w:sz w:val="18"/>
                      <w:szCs w:val="18"/>
                    </w:rPr>
                  </w:pPr>
                  <w:r>
                    <w:rPr>
                      <w:rFonts w:hint="eastAsia" w:eastAsiaTheme="minorEastAsia"/>
                      <w:sz w:val="18"/>
                      <w:szCs w:val="18"/>
                    </w:rPr>
                    <w:t>15</w:t>
                  </w:r>
                </w:p>
              </w:tc>
              <w:tc>
                <w:tcPr>
                  <w:tcW w:w="258" w:type="pct"/>
                  <w:vMerge w:val="continue"/>
                  <w:vAlign w:val="center"/>
                </w:tcPr>
                <w:p w14:paraId="45E1CC79">
                  <w:pPr>
                    <w:jc w:val="center"/>
                    <w:rPr>
                      <w:rFonts w:eastAsiaTheme="minorEastAsia"/>
                      <w:sz w:val="18"/>
                      <w:szCs w:val="18"/>
                    </w:rPr>
                  </w:pPr>
                </w:p>
              </w:tc>
              <w:tc>
                <w:tcPr>
                  <w:tcW w:w="348" w:type="pct"/>
                  <w:vAlign w:val="center"/>
                </w:tcPr>
                <w:p w14:paraId="2BA761A6">
                  <w:pPr>
                    <w:adjustRightInd w:val="0"/>
                    <w:snapToGrid w:val="0"/>
                    <w:jc w:val="center"/>
                    <w:rPr>
                      <w:sz w:val="18"/>
                      <w:szCs w:val="18"/>
                    </w:rPr>
                  </w:pPr>
                  <w:r>
                    <w:rPr>
                      <w:rFonts w:hint="eastAsia"/>
                      <w:sz w:val="18"/>
                      <w:szCs w:val="18"/>
                    </w:rPr>
                    <w:t>提升机1</w:t>
                  </w:r>
                </w:p>
              </w:tc>
              <w:tc>
                <w:tcPr>
                  <w:tcW w:w="439" w:type="pct"/>
                  <w:vAlign w:val="center"/>
                </w:tcPr>
                <w:p w14:paraId="04EB0377">
                  <w:pPr>
                    <w:jc w:val="center"/>
                    <w:rPr>
                      <w:rFonts w:eastAsiaTheme="minorEastAsia"/>
                      <w:sz w:val="18"/>
                      <w:szCs w:val="18"/>
                    </w:rPr>
                  </w:pPr>
                  <w:r>
                    <w:rPr>
                      <w:rFonts w:hint="eastAsia" w:eastAsiaTheme="minorEastAsia"/>
                      <w:sz w:val="18"/>
                      <w:szCs w:val="18"/>
                    </w:rPr>
                    <w:t>75</w:t>
                  </w:r>
                </w:p>
              </w:tc>
              <w:tc>
                <w:tcPr>
                  <w:tcW w:w="363" w:type="pct"/>
                  <w:vAlign w:val="center"/>
                </w:tcPr>
                <w:p w14:paraId="732EEB35">
                  <w:pPr>
                    <w:jc w:val="center"/>
                    <w:rPr>
                      <w:rFonts w:hAnsiTheme="minorEastAsia" w:eastAsiaTheme="minorEastAsia"/>
                      <w:sz w:val="18"/>
                      <w:szCs w:val="18"/>
                    </w:rPr>
                  </w:pPr>
                  <w:r>
                    <w:rPr>
                      <w:rFonts w:hAnsiTheme="minorEastAsia" w:eastAsiaTheme="minorEastAsia"/>
                      <w:sz w:val="18"/>
                      <w:szCs w:val="18"/>
                    </w:rPr>
                    <w:t>减振</w:t>
                  </w:r>
                </w:p>
                <w:p w14:paraId="3614D775">
                  <w:pPr>
                    <w:jc w:val="center"/>
                    <w:rPr>
                      <w:rFonts w:hAnsiTheme="minorEastAsia"/>
                      <w:sz w:val="18"/>
                      <w:szCs w:val="18"/>
                    </w:rPr>
                  </w:pPr>
                  <w:r>
                    <w:rPr>
                      <w:rFonts w:hAnsiTheme="minorEastAsia" w:eastAsiaTheme="minorEastAsia"/>
                      <w:sz w:val="18"/>
                      <w:szCs w:val="18"/>
                    </w:rPr>
                    <w:t>隔声</w:t>
                  </w:r>
                </w:p>
              </w:tc>
              <w:tc>
                <w:tcPr>
                  <w:tcW w:w="411" w:type="pct"/>
                  <w:vAlign w:val="center"/>
                </w:tcPr>
                <w:p w14:paraId="7E761458">
                  <w:pPr>
                    <w:jc w:val="center"/>
                    <w:rPr>
                      <w:rFonts w:ascii="宋体" w:hAnsi="宋体" w:cs="宋体"/>
                      <w:sz w:val="18"/>
                      <w:szCs w:val="18"/>
                    </w:rPr>
                  </w:pPr>
                  <w:r>
                    <w:rPr>
                      <w:rFonts w:hint="eastAsia"/>
                      <w:sz w:val="18"/>
                      <w:szCs w:val="18"/>
                    </w:rPr>
                    <w:t>-96.45</w:t>
                  </w:r>
                </w:p>
              </w:tc>
              <w:tc>
                <w:tcPr>
                  <w:tcW w:w="379" w:type="pct"/>
                  <w:vAlign w:val="center"/>
                </w:tcPr>
                <w:p w14:paraId="2FDD22FE">
                  <w:pPr>
                    <w:jc w:val="center"/>
                    <w:rPr>
                      <w:rFonts w:ascii="宋体" w:hAnsi="宋体" w:cs="宋体"/>
                      <w:sz w:val="18"/>
                      <w:szCs w:val="18"/>
                    </w:rPr>
                  </w:pPr>
                  <w:r>
                    <w:rPr>
                      <w:rFonts w:hint="eastAsia"/>
                      <w:sz w:val="18"/>
                      <w:szCs w:val="18"/>
                    </w:rPr>
                    <w:t>185.12</w:t>
                  </w:r>
                </w:p>
              </w:tc>
              <w:tc>
                <w:tcPr>
                  <w:tcW w:w="279" w:type="pct"/>
                  <w:vAlign w:val="center"/>
                </w:tcPr>
                <w:p w14:paraId="1571E417">
                  <w:pPr>
                    <w:jc w:val="center"/>
                    <w:rPr>
                      <w:rFonts w:ascii="宋体" w:hAnsi="宋体" w:cs="宋体"/>
                      <w:sz w:val="18"/>
                      <w:szCs w:val="18"/>
                    </w:rPr>
                  </w:pPr>
                  <w:r>
                    <w:rPr>
                      <w:rFonts w:hint="eastAsia"/>
                      <w:sz w:val="18"/>
                      <w:szCs w:val="18"/>
                    </w:rPr>
                    <w:t>1.2</w:t>
                  </w:r>
                </w:p>
              </w:tc>
              <w:tc>
                <w:tcPr>
                  <w:tcW w:w="507" w:type="pct"/>
                  <w:vAlign w:val="center"/>
                </w:tcPr>
                <w:p w14:paraId="34C07ACC">
                  <w:pPr>
                    <w:jc w:val="center"/>
                    <w:rPr>
                      <w:sz w:val="18"/>
                      <w:szCs w:val="18"/>
                    </w:rPr>
                  </w:pPr>
                  <w:r>
                    <w:rPr>
                      <w:rFonts w:hint="eastAsia"/>
                      <w:sz w:val="18"/>
                      <w:szCs w:val="18"/>
                    </w:rPr>
                    <w:t>东2.98</w:t>
                  </w:r>
                </w:p>
                <w:p w14:paraId="2FC18D92">
                  <w:pPr>
                    <w:jc w:val="center"/>
                    <w:rPr>
                      <w:sz w:val="18"/>
                      <w:szCs w:val="18"/>
                    </w:rPr>
                  </w:pPr>
                  <w:r>
                    <w:rPr>
                      <w:rFonts w:hint="eastAsia"/>
                      <w:sz w:val="18"/>
                      <w:szCs w:val="18"/>
                    </w:rPr>
                    <w:t>南3.47</w:t>
                  </w:r>
                </w:p>
                <w:p w14:paraId="4F801EC2">
                  <w:pPr>
                    <w:jc w:val="center"/>
                    <w:rPr>
                      <w:sz w:val="18"/>
                      <w:szCs w:val="18"/>
                    </w:rPr>
                  </w:pPr>
                  <w:r>
                    <w:rPr>
                      <w:rFonts w:hint="eastAsia"/>
                      <w:sz w:val="18"/>
                      <w:szCs w:val="18"/>
                    </w:rPr>
                    <w:t>西42.52</w:t>
                  </w:r>
                </w:p>
                <w:p w14:paraId="2087E713">
                  <w:pPr>
                    <w:jc w:val="center"/>
                    <w:rPr>
                      <w:sz w:val="18"/>
                      <w:szCs w:val="18"/>
                    </w:rPr>
                  </w:pPr>
                  <w:r>
                    <w:rPr>
                      <w:rFonts w:hint="eastAsia"/>
                      <w:sz w:val="18"/>
                      <w:szCs w:val="18"/>
                    </w:rPr>
                    <w:t>北7.01</w:t>
                  </w:r>
                </w:p>
              </w:tc>
              <w:tc>
                <w:tcPr>
                  <w:tcW w:w="397" w:type="pct"/>
                  <w:vAlign w:val="center"/>
                </w:tcPr>
                <w:p w14:paraId="03B6B8D6">
                  <w:pPr>
                    <w:jc w:val="center"/>
                    <w:rPr>
                      <w:sz w:val="18"/>
                      <w:szCs w:val="18"/>
                    </w:rPr>
                  </w:pPr>
                  <w:r>
                    <w:rPr>
                      <w:rFonts w:hint="eastAsia"/>
                      <w:sz w:val="18"/>
                      <w:szCs w:val="18"/>
                    </w:rPr>
                    <w:t>69.88</w:t>
                  </w:r>
                </w:p>
              </w:tc>
              <w:tc>
                <w:tcPr>
                  <w:tcW w:w="273" w:type="pct"/>
                  <w:vMerge w:val="continue"/>
                  <w:vAlign w:val="center"/>
                </w:tcPr>
                <w:p w14:paraId="33CD5741">
                  <w:pPr>
                    <w:jc w:val="center"/>
                    <w:rPr>
                      <w:sz w:val="18"/>
                      <w:szCs w:val="18"/>
                    </w:rPr>
                  </w:pPr>
                </w:p>
              </w:tc>
              <w:tc>
                <w:tcPr>
                  <w:tcW w:w="375" w:type="pct"/>
                  <w:vAlign w:val="center"/>
                </w:tcPr>
                <w:p w14:paraId="38B57950">
                  <w:pPr>
                    <w:jc w:val="center"/>
                    <w:rPr>
                      <w:rFonts w:ascii="宋体" w:hAnsi="宋体" w:cs="宋体"/>
                      <w:sz w:val="18"/>
                      <w:szCs w:val="18"/>
                    </w:rPr>
                  </w:pPr>
                  <w:r>
                    <w:rPr>
                      <w:rFonts w:hint="eastAsia"/>
                      <w:sz w:val="18"/>
                      <w:szCs w:val="18"/>
                    </w:rPr>
                    <w:t>26</w:t>
                  </w:r>
                </w:p>
              </w:tc>
              <w:tc>
                <w:tcPr>
                  <w:tcW w:w="397" w:type="pct"/>
                  <w:vAlign w:val="center"/>
                </w:tcPr>
                <w:p w14:paraId="50C25004">
                  <w:pPr>
                    <w:jc w:val="center"/>
                    <w:rPr>
                      <w:rFonts w:ascii="宋体" w:hAnsi="宋体" w:cs="宋体"/>
                      <w:sz w:val="18"/>
                      <w:szCs w:val="18"/>
                    </w:rPr>
                  </w:pPr>
                  <w:r>
                    <w:rPr>
                      <w:rFonts w:hint="eastAsia"/>
                      <w:sz w:val="18"/>
                      <w:szCs w:val="18"/>
                    </w:rPr>
                    <w:t>43.88</w:t>
                  </w:r>
                </w:p>
              </w:tc>
              <w:tc>
                <w:tcPr>
                  <w:tcW w:w="341" w:type="pct"/>
                  <w:vAlign w:val="center"/>
                </w:tcPr>
                <w:p w14:paraId="41A3A077">
                  <w:pPr>
                    <w:jc w:val="center"/>
                    <w:rPr>
                      <w:rFonts w:ascii="宋体" w:hAnsi="宋体" w:cs="宋体"/>
                      <w:sz w:val="18"/>
                      <w:szCs w:val="18"/>
                    </w:rPr>
                  </w:pPr>
                  <w:r>
                    <w:rPr>
                      <w:rFonts w:hint="eastAsia"/>
                      <w:sz w:val="18"/>
                      <w:szCs w:val="18"/>
                    </w:rPr>
                    <w:t>1</w:t>
                  </w:r>
                </w:p>
              </w:tc>
            </w:tr>
            <w:tr w14:paraId="4803B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7BA96FD7">
                  <w:pPr>
                    <w:jc w:val="center"/>
                    <w:rPr>
                      <w:rFonts w:eastAsiaTheme="minorEastAsia"/>
                      <w:sz w:val="18"/>
                      <w:szCs w:val="18"/>
                    </w:rPr>
                  </w:pPr>
                  <w:r>
                    <w:rPr>
                      <w:rFonts w:hint="eastAsia" w:eastAsiaTheme="minorEastAsia"/>
                      <w:sz w:val="18"/>
                      <w:szCs w:val="18"/>
                    </w:rPr>
                    <w:t>16</w:t>
                  </w:r>
                </w:p>
              </w:tc>
              <w:tc>
                <w:tcPr>
                  <w:tcW w:w="258" w:type="pct"/>
                  <w:vMerge w:val="continue"/>
                  <w:vAlign w:val="center"/>
                </w:tcPr>
                <w:p w14:paraId="05187828">
                  <w:pPr>
                    <w:jc w:val="center"/>
                    <w:rPr>
                      <w:rFonts w:eastAsiaTheme="minorEastAsia"/>
                      <w:sz w:val="18"/>
                      <w:szCs w:val="18"/>
                    </w:rPr>
                  </w:pPr>
                </w:p>
              </w:tc>
              <w:tc>
                <w:tcPr>
                  <w:tcW w:w="348" w:type="pct"/>
                  <w:vAlign w:val="center"/>
                </w:tcPr>
                <w:p w14:paraId="21501F82">
                  <w:pPr>
                    <w:adjustRightInd w:val="0"/>
                    <w:snapToGrid w:val="0"/>
                    <w:jc w:val="center"/>
                    <w:rPr>
                      <w:sz w:val="18"/>
                      <w:szCs w:val="18"/>
                    </w:rPr>
                  </w:pPr>
                  <w:r>
                    <w:rPr>
                      <w:rFonts w:hint="eastAsia"/>
                      <w:sz w:val="18"/>
                      <w:szCs w:val="18"/>
                    </w:rPr>
                    <w:t>提升机2</w:t>
                  </w:r>
                </w:p>
              </w:tc>
              <w:tc>
                <w:tcPr>
                  <w:tcW w:w="439" w:type="pct"/>
                  <w:vAlign w:val="center"/>
                </w:tcPr>
                <w:p w14:paraId="53FCFFE0">
                  <w:pPr>
                    <w:jc w:val="center"/>
                    <w:rPr>
                      <w:rFonts w:eastAsiaTheme="minorEastAsia"/>
                      <w:sz w:val="18"/>
                      <w:szCs w:val="18"/>
                    </w:rPr>
                  </w:pPr>
                  <w:r>
                    <w:rPr>
                      <w:rFonts w:hint="eastAsia" w:eastAsiaTheme="minorEastAsia"/>
                      <w:sz w:val="18"/>
                      <w:szCs w:val="18"/>
                    </w:rPr>
                    <w:t>75</w:t>
                  </w:r>
                </w:p>
              </w:tc>
              <w:tc>
                <w:tcPr>
                  <w:tcW w:w="363" w:type="pct"/>
                  <w:vAlign w:val="center"/>
                </w:tcPr>
                <w:p w14:paraId="03E0F052">
                  <w:pPr>
                    <w:jc w:val="center"/>
                    <w:rPr>
                      <w:rFonts w:hAnsiTheme="minorEastAsia" w:eastAsiaTheme="minorEastAsia"/>
                      <w:sz w:val="18"/>
                      <w:szCs w:val="18"/>
                    </w:rPr>
                  </w:pPr>
                  <w:r>
                    <w:rPr>
                      <w:rFonts w:hAnsiTheme="minorEastAsia" w:eastAsiaTheme="minorEastAsia"/>
                      <w:sz w:val="18"/>
                      <w:szCs w:val="18"/>
                    </w:rPr>
                    <w:t>减振</w:t>
                  </w:r>
                </w:p>
                <w:p w14:paraId="14AB826D">
                  <w:pPr>
                    <w:jc w:val="center"/>
                    <w:rPr>
                      <w:rFonts w:hAnsiTheme="minorEastAsia"/>
                      <w:sz w:val="18"/>
                      <w:szCs w:val="18"/>
                    </w:rPr>
                  </w:pPr>
                  <w:r>
                    <w:rPr>
                      <w:rFonts w:hAnsiTheme="minorEastAsia" w:eastAsiaTheme="minorEastAsia"/>
                      <w:sz w:val="18"/>
                      <w:szCs w:val="18"/>
                    </w:rPr>
                    <w:t>隔声</w:t>
                  </w:r>
                </w:p>
              </w:tc>
              <w:tc>
                <w:tcPr>
                  <w:tcW w:w="411" w:type="pct"/>
                  <w:vAlign w:val="center"/>
                </w:tcPr>
                <w:p w14:paraId="564E7659">
                  <w:pPr>
                    <w:jc w:val="center"/>
                    <w:rPr>
                      <w:rFonts w:ascii="宋体" w:hAnsi="宋体" w:cs="宋体"/>
                      <w:sz w:val="18"/>
                      <w:szCs w:val="18"/>
                    </w:rPr>
                  </w:pPr>
                  <w:r>
                    <w:rPr>
                      <w:rFonts w:hint="eastAsia"/>
                      <w:sz w:val="18"/>
                      <w:szCs w:val="18"/>
                    </w:rPr>
                    <w:t>-116.69</w:t>
                  </w:r>
                </w:p>
              </w:tc>
              <w:tc>
                <w:tcPr>
                  <w:tcW w:w="379" w:type="pct"/>
                  <w:vAlign w:val="center"/>
                </w:tcPr>
                <w:p w14:paraId="38B81B44">
                  <w:pPr>
                    <w:jc w:val="center"/>
                    <w:rPr>
                      <w:rFonts w:ascii="宋体" w:hAnsi="宋体" w:cs="宋体"/>
                      <w:sz w:val="18"/>
                      <w:szCs w:val="18"/>
                    </w:rPr>
                  </w:pPr>
                  <w:r>
                    <w:rPr>
                      <w:rFonts w:hint="eastAsia"/>
                      <w:sz w:val="18"/>
                      <w:szCs w:val="18"/>
                    </w:rPr>
                    <w:t>168.83</w:t>
                  </w:r>
                </w:p>
              </w:tc>
              <w:tc>
                <w:tcPr>
                  <w:tcW w:w="279" w:type="pct"/>
                  <w:vAlign w:val="center"/>
                </w:tcPr>
                <w:p w14:paraId="036D897E">
                  <w:pPr>
                    <w:jc w:val="center"/>
                    <w:rPr>
                      <w:rFonts w:ascii="宋体" w:hAnsi="宋体" w:cs="宋体"/>
                      <w:sz w:val="18"/>
                      <w:szCs w:val="18"/>
                    </w:rPr>
                  </w:pPr>
                  <w:r>
                    <w:rPr>
                      <w:rFonts w:hint="eastAsia"/>
                      <w:sz w:val="18"/>
                      <w:szCs w:val="18"/>
                    </w:rPr>
                    <w:t>1.2</w:t>
                  </w:r>
                </w:p>
              </w:tc>
              <w:tc>
                <w:tcPr>
                  <w:tcW w:w="507" w:type="pct"/>
                  <w:vAlign w:val="center"/>
                </w:tcPr>
                <w:p w14:paraId="4A952AF2">
                  <w:pPr>
                    <w:jc w:val="center"/>
                    <w:rPr>
                      <w:sz w:val="18"/>
                      <w:szCs w:val="18"/>
                    </w:rPr>
                  </w:pPr>
                  <w:r>
                    <w:rPr>
                      <w:rFonts w:hint="eastAsia"/>
                      <w:sz w:val="18"/>
                      <w:szCs w:val="18"/>
                    </w:rPr>
                    <w:t>东28.22</w:t>
                  </w:r>
                </w:p>
                <w:p w14:paraId="42E537D9">
                  <w:pPr>
                    <w:jc w:val="center"/>
                    <w:rPr>
                      <w:sz w:val="18"/>
                      <w:szCs w:val="18"/>
                    </w:rPr>
                  </w:pPr>
                  <w:r>
                    <w:rPr>
                      <w:rFonts w:hint="eastAsia"/>
                      <w:sz w:val="18"/>
                      <w:szCs w:val="18"/>
                    </w:rPr>
                    <w:t>南5.98</w:t>
                  </w:r>
                </w:p>
                <w:p w14:paraId="0A2CD5A8">
                  <w:pPr>
                    <w:jc w:val="center"/>
                    <w:rPr>
                      <w:sz w:val="18"/>
                      <w:szCs w:val="18"/>
                    </w:rPr>
                  </w:pPr>
                  <w:r>
                    <w:rPr>
                      <w:rFonts w:hint="eastAsia"/>
                      <w:sz w:val="18"/>
                      <w:szCs w:val="18"/>
                    </w:rPr>
                    <w:t>西12.82</w:t>
                  </w:r>
                </w:p>
                <w:p w14:paraId="024E5D1C">
                  <w:pPr>
                    <w:jc w:val="center"/>
                    <w:rPr>
                      <w:sz w:val="18"/>
                      <w:szCs w:val="18"/>
                    </w:rPr>
                  </w:pPr>
                  <w:r>
                    <w:rPr>
                      <w:rFonts w:hint="eastAsia"/>
                      <w:sz w:val="18"/>
                      <w:szCs w:val="18"/>
                    </w:rPr>
                    <w:t>北11.20</w:t>
                  </w:r>
                </w:p>
              </w:tc>
              <w:tc>
                <w:tcPr>
                  <w:tcW w:w="397" w:type="pct"/>
                  <w:vAlign w:val="center"/>
                </w:tcPr>
                <w:p w14:paraId="01D50476">
                  <w:pPr>
                    <w:jc w:val="center"/>
                    <w:rPr>
                      <w:sz w:val="18"/>
                      <w:szCs w:val="18"/>
                    </w:rPr>
                  </w:pPr>
                  <w:r>
                    <w:rPr>
                      <w:rFonts w:hint="eastAsia"/>
                      <w:sz w:val="18"/>
                      <w:szCs w:val="18"/>
                    </w:rPr>
                    <w:t>69.88</w:t>
                  </w:r>
                </w:p>
              </w:tc>
              <w:tc>
                <w:tcPr>
                  <w:tcW w:w="273" w:type="pct"/>
                  <w:vMerge w:val="continue"/>
                  <w:vAlign w:val="center"/>
                </w:tcPr>
                <w:p w14:paraId="570DD948">
                  <w:pPr>
                    <w:jc w:val="center"/>
                    <w:rPr>
                      <w:sz w:val="18"/>
                      <w:szCs w:val="18"/>
                    </w:rPr>
                  </w:pPr>
                </w:p>
              </w:tc>
              <w:tc>
                <w:tcPr>
                  <w:tcW w:w="375" w:type="pct"/>
                  <w:vAlign w:val="center"/>
                </w:tcPr>
                <w:p w14:paraId="46C3C0EA">
                  <w:pPr>
                    <w:jc w:val="center"/>
                    <w:rPr>
                      <w:sz w:val="18"/>
                      <w:szCs w:val="18"/>
                    </w:rPr>
                  </w:pPr>
                  <w:r>
                    <w:rPr>
                      <w:rFonts w:hint="eastAsia"/>
                      <w:sz w:val="18"/>
                      <w:szCs w:val="18"/>
                    </w:rPr>
                    <w:t>26</w:t>
                  </w:r>
                </w:p>
              </w:tc>
              <w:tc>
                <w:tcPr>
                  <w:tcW w:w="397" w:type="pct"/>
                  <w:vAlign w:val="center"/>
                </w:tcPr>
                <w:p w14:paraId="07098F0A">
                  <w:pPr>
                    <w:autoSpaceDE w:val="0"/>
                    <w:autoSpaceDN w:val="0"/>
                    <w:jc w:val="center"/>
                    <w:rPr>
                      <w:kern w:val="0"/>
                      <w:sz w:val="18"/>
                      <w:szCs w:val="18"/>
                    </w:rPr>
                  </w:pPr>
                  <w:r>
                    <w:rPr>
                      <w:rFonts w:hint="eastAsia"/>
                      <w:sz w:val="18"/>
                      <w:szCs w:val="18"/>
                    </w:rPr>
                    <w:t>43.88</w:t>
                  </w:r>
                </w:p>
              </w:tc>
              <w:tc>
                <w:tcPr>
                  <w:tcW w:w="341" w:type="pct"/>
                  <w:vAlign w:val="center"/>
                </w:tcPr>
                <w:p w14:paraId="07A32391">
                  <w:pPr>
                    <w:jc w:val="center"/>
                    <w:rPr>
                      <w:sz w:val="18"/>
                      <w:szCs w:val="18"/>
                    </w:rPr>
                  </w:pPr>
                  <w:r>
                    <w:rPr>
                      <w:rFonts w:hint="eastAsia"/>
                      <w:sz w:val="18"/>
                      <w:szCs w:val="18"/>
                    </w:rPr>
                    <w:t>1</w:t>
                  </w:r>
                </w:p>
              </w:tc>
            </w:tr>
            <w:tr w14:paraId="007F0F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3AF21305">
                  <w:pPr>
                    <w:jc w:val="center"/>
                    <w:rPr>
                      <w:rFonts w:eastAsiaTheme="minorEastAsia"/>
                      <w:sz w:val="18"/>
                      <w:szCs w:val="18"/>
                    </w:rPr>
                  </w:pPr>
                  <w:r>
                    <w:rPr>
                      <w:rFonts w:hint="eastAsia" w:eastAsiaTheme="minorEastAsia"/>
                      <w:sz w:val="18"/>
                      <w:szCs w:val="18"/>
                    </w:rPr>
                    <w:t>17</w:t>
                  </w:r>
                </w:p>
              </w:tc>
              <w:tc>
                <w:tcPr>
                  <w:tcW w:w="258" w:type="pct"/>
                  <w:vMerge w:val="continue"/>
                  <w:vAlign w:val="center"/>
                </w:tcPr>
                <w:p w14:paraId="23D845B6">
                  <w:pPr>
                    <w:jc w:val="center"/>
                    <w:rPr>
                      <w:rFonts w:eastAsiaTheme="minorEastAsia"/>
                      <w:sz w:val="18"/>
                      <w:szCs w:val="18"/>
                    </w:rPr>
                  </w:pPr>
                </w:p>
              </w:tc>
              <w:tc>
                <w:tcPr>
                  <w:tcW w:w="348" w:type="pct"/>
                  <w:vAlign w:val="center"/>
                </w:tcPr>
                <w:p w14:paraId="0060BB95">
                  <w:pPr>
                    <w:adjustRightInd w:val="0"/>
                    <w:snapToGrid w:val="0"/>
                    <w:jc w:val="center"/>
                    <w:rPr>
                      <w:sz w:val="18"/>
                      <w:szCs w:val="18"/>
                    </w:rPr>
                  </w:pPr>
                  <w:bookmarkStart w:id="127" w:name="OLE_LINK63"/>
                  <w:r>
                    <w:rPr>
                      <w:rFonts w:hint="eastAsia"/>
                      <w:sz w:val="18"/>
                      <w:szCs w:val="18"/>
                    </w:rPr>
                    <w:t>圆筒筛</w:t>
                  </w:r>
                  <w:bookmarkEnd w:id="127"/>
                </w:p>
              </w:tc>
              <w:tc>
                <w:tcPr>
                  <w:tcW w:w="439" w:type="pct"/>
                  <w:vAlign w:val="center"/>
                </w:tcPr>
                <w:p w14:paraId="178BFC3F">
                  <w:pPr>
                    <w:jc w:val="center"/>
                    <w:rPr>
                      <w:rFonts w:eastAsiaTheme="minorEastAsia"/>
                      <w:sz w:val="18"/>
                      <w:szCs w:val="18"/>
                    </w:rPr>
                  </w:pPr>
                  <w:r>
                    <w:rPr>
                      <w:rFonts w:hint="eastAsia" w:eastAsiaTheme="minorEastAsia"/>
                      <w:sz w:val="18"/>
                      <w:szCs w:val="18"/>
                    </w:rPr>
                    <w:t>85</w:t>
                  </w:r>
                </w:p>
              </w:tc>
              <w:tc>
                <w:tcPr>
                  <w:tcW w:w="363" w:type="pct"/>
                  <w:vAlign w:val="center"/>
                </w:tcPr>
                <w:p w14:paraId="035C1FE6">
                  <w:pPr>
                    <w:jc w:val="center"/>
                    <w:rPr>
                      <w:rFonts w:hAnsiTheme="minorEastAsia" w:eastAsiaTheme="minorEastAsia"/>
                      <w:sz w:val="18"/>
                      <w:szCs w:val="18"/>
                    </w:rPr>
                  </w:pPr>
                  <w:r>
                    <w:rPr>
                      <w:rFonts w:hAnsiTheme="minorEastAsia" w:eastAsiaTheme="minorEastAsia"/>
                      <w:sz w:val="18"/>
                      <w:szCs w:val="18"/>
                    </w:rPr>
                    <w:t>减振</w:t>
                  </w:r>
                </w:p>
                <w:p w14:paraId="28DF2805">
                  <w:pPr>
                    <w:jc w:val="center"/>
                    <w:rPr>
                      <w:sz w:val="18"/>
                      <w:szCs w:val="18"/>
                    </w:rPr>
                  </w:pPr>
                  <w:r>
                    <w:rPr>
                      <w:rFonts w:hAnsiTheme="minorEastAsia" w:eastAsiaTheme="minorEastAsia"/>
                      <w:sz w:val="18"/>
                      <w:szCs w:val="18"/>
                    </w:rPr>
                    <w:t>隔声</w:t>
                  </w:r>
                </w:p>
              </w:tc>
              <w:tc>
                <w:tcPr>
                  <w:tcW w:w="411" w:type="pct"/>
                  <w:vAlign w:val="center"/>
                </w:tcPr>
                <w:p w14:paraId="004D915B">
                  <w:pPr>
                    <w:jc w:val="center"/>
                    <w:rPr>
                      <w:rFonts w:ascii="宋体" w:hAnsi="宋体" w:cs="宋体"/>
                      <w:sz w:val="18"/>
                      <w:szCs w:val="18"/>
                    </w:rPr>
                  </w:pPr>
                  <w:r>
                    <w:rPr>
                      <w:rFonts w:hint="eastAsia"/>
                      <w:sz w:val="18"/>
                      <w:szCs w:val="18"/>
                    </w:rPr>
                    <w:t>-96.59</w:t>
                  </w:r>
                </w:p>
              </w:tc>
              <w:tc>
                <w:tcPr>
                  <w:tcW w:w="379" w:type="pct"/>
                  <w:vAlign w:val="center"/>
                </w:tcPr>
                <w:p w14:paraId="02E694F0">
                  <w:pPr>
                    <w:jc w:val="center"/>
                    <w:rPr>
                      <w:rFonts w:ascii="宋体" w:hAnsi="宋体" w:cs="宋体"/>
                      <w:sz w:val="18"/>
                      <w:szCs w:val="18"/>
                    </w:rPr>
                  </w:pPr>
                  <w:r>
                    <w:rPr>
                      <w:rFonts w:hint="eastAsia"/>
                      <w:sz w:val="18"/>
                      <w:szCs w:val="18"/>
                    </w:rPr>
                    <w:t>185.97</w:t>
                  </w:r>
                </w:p>
              </w:tc>
              <w:tc>
                <w:tcPr>
                  <w:tcW w:w="279" w:type="pct"/>
                  <w:vAlign w:val="center"/>
                </w:tcPr>
                <w:p w14:paraId="31002D86">
                  <w:pPr>
                    <w:jc w:val="center"/>
                    <w:rPr>
                      <w:rFonts w:ascii="宋体" w:hAnsi="宋体" w:cs="宋体"/>
                      <w:sz w:val="18"/>
                      <w:szCs w:val="18"/>
                    </w:rPr>
                  </w:pPr>
                  <w:r>
                    <w:rPr>
                      <w:rFonts w:hint="eastAsia"/>
                      <w:sz w:val="18"/>
                      <w:szCs w:val="18"/>
                    </w:rPr>
                    <w:t>1.2</w:t>
                  </w:r>
                </w:p>
              </w:tc>
              <w:tc>
                <w:tcPr>
                  <w:tcW w:w="507" w:type="pct"/>
                  <w:vAlign w:val="center"/>
                </w:tcPr>
                <w:p w14:paraId="1BAAE791">
                  <w:pPr>
                    <w:jc w:val="center"/>
                    <w:rPr>
                      <w:sz w:val="18"/>
                      <w:szCs w:val="18"/>
                    </w:rPr>
                  </w:pPr>
                  <w:r>
                    <w:rPr>
                      <w:rFonts w:hint="eastAsia"/>
                      <w:sz w:val="18"/>
                      <w:szCs w:val="18"/>
                    </w:rPr>
                    <w:t>东1.91</w:t>
                  </w:r>
                </w:p>
                <w:p w14:paraId="06B56798">
                  <w:pPr>
                    <w:jc w:val="center"/>
                    <w:rPr>
                      <w:sz w:val="18"/>
                      <w:szCs w:val="18"/>
                    </w:rPr>
                  </w:pPr>
                  <w:r>
                    <w:rPr>
                      <w:rFonts w:hint="eastAsia"/>
                      <w:sz w:val="18"/>
                      <w:szCs w:val="18"/>
                    </w:rPr>
                    <w:t>南4.44</w:t>
                  </w:r>
                </w:p>
                <w:p w14:paraId="5EF30E76">
                  <w:pPr>
                    <w:jc w:val="center"/>
                    <w:rPr>
                      <w:sz w:val="18"/>
                      <w:szCs w:val="18"/>
                    </w:rPr>
                  </w:pPr>
                  <w:r>
                    <w:rPr>
                      <w:rFonts w:hint="eastAsia"/>
                      <w:sz w:val="18"/>
                      <w:szCs w:val="18"/>
                    </w:rPr>
                    <w:t>西43.54</w:t>
                  </w:r>
                </w:p>
                <w:p w14:paraId="28D83212">
                  <w:pPr>
                    <w:jc w:val="center"/>
                    <w:rPr>
                      <w:sz w:val="18"/>
                      <w:szCs w:val="18"/>
                    </w:rPr>
                  </w:pPr>
                  <w:r>
                    <w:rPr>
                      <w:rFonts w:hint="eastAsia"/>
                      <w:sz w:val="18"/>
                      <w:szCs w:val="18"/>
                    </w:rPr>
                    <w:t>北6.07</w:t>
                  </w:r>
                </w:p>
              </w:tc>
              <w:tc>
                <w:tcPr>
                  <w:tcW w:w="397" w:type="pct"/>
                  <w:vAlign w:val="center"/>
                </w:tcPr>
                <w:p w14:paraId="1E8AA7C2">
                  <w:pPr>
                    <w:jc w:val="center"/>
                    <w:rPr>
                      <w:sz w:val="18"/>
                      <w:szCs w:val="18"/>
                    </w:rPr>
                  </w:pPr>
                  <w:r>
                    <w:rPr>
                      <w:rFonts w:hint="eastAsia"/>
                      <w:sz w:val="18"/>
                      <w:szCs w:val="18"/>
                    </w:rPr>
                    <w:t>79.97</w:t>
                  </w:r>
                </w:p>
              </w:tc>
              <w:tc>
                <w:tcPr>
                  <w:tcW w:w="273" w:type="pct"/>
                  <w:vMerge w:val="continue"/>
                  <w:vAlign w:val="center"/>
                </w:tcPr>
                <w:p w14:paraId="1DB33204">
                  <w:pPr>
                    <w:jc w:val="center"/>
                    <w:rPr>
                      <w:sz w:val="18"/>
                      <w:szCs w:val="18"/>
                    </w:rPr>
                  </w:pPr>
                </w:p>
              </w:tc>
              <w:tc>
                <w:tcPr>
                  <w:tcW w:w="375" w:type="pct"/>
                  <w:vAlign w:val="center"/>
                </w:tcPr>
                <w:p w14:paraId="08311F84">
                  <w:pPr>
                    <w:jc w:val="center"/>
                    <w:rPr>
                      <w:sz w:val="18"/>
                      <w:szCs w:val="18"/>
                    </w:rPr>
                  </w:pPr>
                  <w:r>
                    <w:rPr>
                      <w:rFonts w:hint="eastAsia"/>
                      <w:sz w:val="18"/>
                      <w:szCs w:val="18"/>
                    </w:rPr>
                    <w:t>26</w:t>
                  </w:r>
                </w:p>
              </w:tc>
              <w:tc>
                <w:tcPr>
                  <w:tcW w:w="397" w:type="pct"/>
                  <w:vAlign w:val="center"/>
                </w:tcPr>
                <w:p w14:paraId="37B9FA47">
                  <w:pPr>
                    <w:autoSpaceDE w:val="0"/>
                    <w:autoSpaceDN w:val="0"/>
                    <w:jc w:val="center"/>
                    <w:rPr>
                      <w:kern w:val="0"/>
                      <w:sz w:val="18"/>
                      <w:szCs w:val="18"/>
                    </w:rPr>
                  </w:pPr>
                  <w:r>
                    <w:rPr>
                      <w:rFonts w:hint="eastAsia"/>
                      <w:sz w:val="18"/>
                      <w:szCs w:val="18"/>
                    </w:rPr>
                    <w:t>53.97</w:t>
                  </w:r>
                </w:p>
              </w:tc>
              <w:tc>
                <w:tcPr>
                  <w:tcW w:w="341" w:type="pct"/>
                  <w:vAlign w:val="center"/>
                </w:tcPr>
                <w:p w14:paraId="746F0F0E">
                  <w:pPr>
                    <w:jc w:val="center"/>
                    <w:rPr>
                      <w:sz w:val="18"/>
                      <w:szCs w:val="18"/>
                    </w:rPr>
                  </w:pPr>
                  <w:r>
                    <w:rPr>
                      <w:rFonts w:hint="eastAsia"/>
                      <w:sz w:val="18"/>
                      <w:szCs w:val="18"/>
                    </w:rPr>
                    <w:t>1</w:t>
                  </w:r>
                </w:p>
              </w:tc>
            </w:tr>
            <w:tr w14:paraId="0E7B9F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3F8E86D5">
                  <w:pPr>
                    <w:jc w:val="center"/>
                    <w:rPr>
                      <w:rFonts w:eastAsiaTheme="minorEastAsia"/>
                      <w:sz w:val="18"/>
                      <w:szCs w:val="18"/>
                    </w:rPr>
                  </w:pPr>
                  <w:r>
                    <w:rPr>
                      <w:rFonts w:hint="eastAsia" w:eastAsiaTheme="minorEastAsia"/>
                      <w:sz w:val="18"/>
                      <w:szCs w:val="18"/>
                    </w:rPr>
                    <w:t>18</w:t>
                  </w:r>
                </w:p>
              </w:tc>
              <w:tc>
                <w:tcPr>
                  <w:tcW w:w="258" w:type="pct"/>
                  <w:vMerge w:val="continue"/>
                  <w:vAlign w:val="center"/>
                </w:tcPr>
                <w:p w14:paraId="18D96CB0">
                  <w:pPr>
                    <w:jc w:val="center"/>
                    <w:rPr>
                      <w:rFonts w:eastAsiaTheme="minorEastAsia"/>
                      <w:sz w:val="18"/>
                      <w:szCs w:val="18"/>
                    </w:rPr>
                  </w:pPr>
                </w:p>
              </w:tc>
              <w:tc>
                <w:tcPr>
                  <w:tcW w:w="348" w:type="pct"/>
                  <w:vAlign w:val="center"/>
                </w:tcPr>
                <w:p w14:paraId="69848437">
                  <w:pPr>
                    <w:widowControl/>
                    <w:jc w:val="center"/>
                    <w:rPr>
                      <w:kern w:val="0"/>
                      <w:sz w:val="18"/>
                      <w:szCs w:val="18"/>
                    </w:rPr>
                  </w:pPr>
                  <w:r>
                    <w:rPr>
                      <w:rFonts w:hint="eastAsia"/>
                      <w:sz w:val="18"/>
                      <w:szCs w:val="18"/>
                    </w:rPr>
                    <w:t>输送机</w:t>
                  </w:r>
                  <w:r>
                    <w:rPr>
                      <w:rFonts w:hint="eastAsia"/>
                      <w:kern w:val="0"/>
                      <w:sz w:val="18"/>
                      <w:szCs w:val="18"/>
                    </w:rPr>
                    <w:t>（3台）</w:t>
                  </w:r>
                </w:p>
              </w:tc>
              <w:tc>
                <w:tcPr>
                  <w:tcW w:w="439" w:type="pct"/>
                  <w:vAlign w:val="center"/>
                </w:tcPr>
                <w:p w14:paraId="4FBA7EEA">
                  <w:pPr>
                    <w:jc w:val="center"/>
                    <w:rPr>
                      <w:sz w:val="18"/>
                      <w:szCs w:val="18"/>
                    </w:rPr>
                  </w:pPr>
                  <w:r>
                    <w:rPr>
                      <w:rFonts w:hint="eastAsia"/>
                      <w:sz w:val="18"/>
                      <w:szCs w:val="18"/>
                    </w:rPr>
                    <w:t>75（等效后79.8）</w:t>
                  </w:r>
                </w:p>
              </w:tc>
              <w:tc>
                <w:tcPr>
                  <w:tcW w:w="363" w:type="pct"/>
                  <w:vAlign w:val="center"/>
                </w:tcPr>
                <w:p w14:paraId="41439DD4">
                  <w:pPr>
                    <w:jc w:val="center"/>
                    <w:rPr>
                      <w:rFonts w:hAnsiTheme="minorEastAsia" w:eastAsiaTheme="minorEastAsia"/>
                      <w:sz w:val="18"/>
                      <w:szCs w:val="18"/>
                    </w:rPr>
                  </w:pPr>
                  <w:r>
                    <w:rPr>
                      <w:rFonts w:hAnsiTheme="minorEastAsia" w:eastAsiaTheme="minorEastAsia"/>
                      <w:sz w:val="18"/>
                      <w:szCs w:val="18"/>
                    </w:rPr>
                    <w:t>减振</w:t>
                  </w:r>
                </w:p>
                <w:p w14:paraId="73FD09DB">
                  <w:pPr>
                    <w:jc w:val="center"/>
                    <w:rPr>
                      <w:rFonts w:hAnsiTheme="minorEastAsia"/>
                      <w:sz w:val="18"/>
                      <w:szCs w:val="18"/>
                    </w:rPr>
                  </w:pPr>
                  <w:r>
                    <w:rPr>
                      <w:rFonts w:hAnsiTheme="minorEastAsia" w:eastAsiaTheme="minorEastAsia"/>
                      <w:sz w:val="18"/>
                      <w:szCs w:val="18"/>
                    </w:rPr>
                    <w:t>隔声</w:t>
                  </w:r>
                </w:p>
              </w:tc>
              <w:tc>
                <w:tcPr>
                  <w:tcW w:w="411" w:type="pct"/>
                  <w:vAlign w:val="center"/>
                </w:tcPr>
                <w:p w14:paraId="64B2B640">
                  <w:pPr>
                    <w:jc w:val="center"/>
                    <w:rPr>
                      <w:sz w:val="18"/>
                      <w:szCs w:val="18"/>
                    </w:rPr>
                  </w:pPr>
                  <w:r>
                    <w:rPr>
                      <w:rFonts w:hint="eastAsia"/>
                      <w:sz w:val="18"/>
                      <w:szCs w:val="18"/>
                    </w:rPr>
                    <w:t>-108.71</w:t>
                  </w:r>
                </w:p>
              </w:tc>
              <w:tc>
                <w:tcPr>
                  <w:tcW w:w="379" w:type="pct"/>
                  <w:vAlign w:val="center"/>
                </w:tcPr>
                <w:p w14:paraId="57913C7C">
                  <w:pPr>
                    <w:jc w:val="center"/>
                    <w:rPr>
                      <w:sz w:val="18"/>
                      <w:szCs w:val="18"/>
                    </w:rPr>
                  </w:pPr>
                  <w:r>
                    <w:rPr>
                      <w:rFonts w:hint="eastAsia"/>
                      <w:sz w:val="18"/>
                      <w:szCs w:val="18"/>
                    </w:rPr>
                    <w:t>177.19</w:t>
                  </w:r>
                </w:p>
              </w:tc>
              <w:tc>
                <w:tcPr>
                  <w:tcW w:w="279" w:type="pct"/>
                  <w:vAlign w:val="center"/>
                </w:tcPr>
                <w:p w14:paraId="6B64B67E">
                  <w:pPr>
                    <w:jc w:val="center"/>
                    <w:rPr>
                      <w:sz w:val="18"/>
                      <w:szCs w:val="18"/>
                    </w:rPr>
                  </w:pPr>
                  <w:r>
                    <w:rPr>
                      <w:rFonts w:hint="eastAsia"/>
                      <w:sz w:val="18"/>
                      <w:szCs w:val="18"/>
                    </w:rPr>
                    <w:t>1.2</w:t>
                  </w:r>
                </w:p>
              </w:tc>
              <w:tc>
                <w:tcPr>
                  <w:tcW w:w="507" w:type="pct"/>
                  <w:vAlign w:val="center"/>
                </w:tcPr>
                <w:p w14:paraId="605BA0DD">
                  <w:pPr>
                    <w:jc w:val="center"/>
                    <w:rPr>
                      <w:sz w:val="18"/>
                      <w:szCs w:val="18"/>
                    </w:rPr>
                  </w:pPr>
                  <w:r>
                    <w:rPr>
                      <w:rFonts w:hint="eastAsia"/>
                      <w:sz w:val="18"/>
                      <w:szCs w:val="18"/>
                    </w:rPr>
                    <w:t>东16.12</w:t>
                  </w:r>
                </w:p>
                <w:p w14:paraId="1EF508C1">
                  <w:pPr>
                    <w:jc w:val="center"/>
                    <w:rPr>
                      <w:sz w:val="18"/>
                      <w:szCs w:val="18"/>
                    </w:rPr>
                  </w:pPr>
                  <w:r>
                    <w:rPr>
                      <w:rFonts w:hint="eastAsia"/>
                      <w:sz w:val="18"/>
                      <w:szCs w:val="18"/>
                    </w:rPr>
                    <w:t>南6.24</w:t>
                  </w:r>
                </w:p>
                <w:p w14:paraId="23547836">
                  <w:pPr>
                    <w:jc w:val="center"/>
                    <w:rPr>
                      <w:sz w:val="18"/>
                      <w:szCs w:val="18"/>
                    </w:rPr>
                  </w:pPr>
                  <w:r>
                    <w:rPr>
                      <w:rFonts w:hint="eastAsia"/>
                      <w:sz w:val="18"/>
                      <w:szCs w:val="18"/>
                    </w:rPr>
                    <w:t>西23.55</w:t>
                  </w:r>
                </w:p>
                <w:p w14:paraId="7794273E">
                  <w:pPr>
                    <w:jc w:val="center"/>
                    <w:rPr>
                      <w:sz w:val="18"/>
                      <w:szCs w:val="18"/>
                    </w:rPr>
                  </w:pPr>
                  <w:r>
                    <w:rPr>
                      <w:rFonts w:hint="eastAsia"/>
                      <w:sz w:val="18"/>
                      <w:szCs w:val="18"/>
                    </w:rPr>
                    <w:t>北10.76</w:t>
                  </w:r>
                </w:p>
              </w:tc>
              <w:tc>
                <w:tcPr>
                  <w:tcW w:w="397" w:type="pct"/>
                  <w:vAlign w:val="center"/>
                </w:tcPr>
                <w:p w14:paraId="04EE0DCA">
                  <w:pPr>
                    <w:jc w:val="center"/>
                    <w:rPr>
                      <w:sz w:val="18"/>
                      <w:szCs w:val="18"/>
                    </w:rPr>
                  </w:pPr>
                  <w:r>
                    <w:rPr>
                      <w:rFonts w:hint="eastAsia"/>
                      <w:sz w:val="18"/>
                      <w:szCs w:val="18"/>
                    </w:rPr>
                    <w:t>74.68</w:t>
                  </w:r>
                </w:p>
              </w:tc>
              <w:tc>
                <w:tcPr>
                  <w:tcW w:w="273" w:type="pct"/>
                  <w:vMerge w:val="continue"/>
                  <w:vAlign w:val="center"/>
                </w:tcPr>
                <w:p w14:paraId="21DE89BC">
                  <w:pPr>
                    <w:jc w:val="center"/>
                    <w:rPr>
                      <w:sz w:val="18"/>
                      <w:szCs w:val="18"/>
                    </w:rPr>
                  </w:pPr>
                </w:p>
              </w:tc>
              <w:tc>
                <w:tcPr>
                  <w:tcW w:w="375" w:type="pct"/>
                  <w:vAlign w:val="center"/>
                </w:tcPr>
                <w:p w14:paraId="24032469">
                  <w:pPr>
                    <w:jc w:val="center"/>
                    <w:rPr>
                      <w:sz w:val="18"/>
                      <w:szCs w:val="18"/>
                    </w:rPr>
                  </w:pPr>
                  <w:r>
                    <w:rPr>
                      <w:rFonts w:hint="eastAsia"/>
                      <w:sz w:val="18"/>
                      <w:szCs w:val="18"/>
                    </w:rPr>
                    <w:t>26</w:t>
                  </w:r>
                </w:p>
              </w:tc>
              <w:tc>
                <w:tcPr>
                  <w:tcW w:w="397" w:type="pct"/>
                  <w:vAlign w:val="center"/>
                </w:tcPr>
                <w:p w14:paraId="1E1DBE8E">
                  <w:pPr>
                    <w:autoSpaceDE w:val="0"/>
                    <w:autoSpaceDN w:val="0"/>
                    <w:jc w:val="center"/>
                    <w:rPr>
                      <w:sz w:val="18"/>
                      <w:szCs w:val="18"/>
                    </w:rPr>
                  </w:pPr>
                  <w:r>
                    <w:rPr>
                      <w:rFonts w:hint="eastAsia"/>
                      <w:sz w:val="18"/>
                      <w:szCs w:val="18"/>
                    </w:rPr>
                    <w:t>48.68</w:t>
                  </w:r>
                </w:p>
              </w:tc>
              <w:tc>
                <w:tcPr>
                  <w:tcW w:w="341" w:type="pct"/>
                  <w:vAlign w:val="center"/>
                </w:tcPr>
                <w:p w14:paraId="6D401197">
                  <w:pPr>
                    <w:jc w:val="center"/>
                    <w:rPr>
                      <w:sz w:val="18"/>
                      <w:szCs w:val="18"/>
                    </w:rPr>
                  </w:pPr>
                  <w:r>
                    <w:rPr>
                      <w:rFonts w:hint="eastAsia"/>
                      <w:sz w:val="18"/>
                      <w:szCs w:val="18"/>
                    </w:rPr>
                    <w:t>1</w:t>
                  </w:r>
                </w:p>
              </w:tc>
            </w:tr>
            <w:tr w14:paraId="4F711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37F9D698">
                  <w:pPr>
                    <w:jc w:val="center"/>
                    <w:rPr>
                      <w:rFonts w:eastAsiaTheme="minorEastAsia"/>
                      <w:sz w:val="18"/>
                      <w:szCs w:val="18"/>
                    </w:rPr>
                  </w:pPr>
                  <w:r>
                    <w:rPr>
                      <w:rFonts w:hint="eastAsia" w:eastAsiaTheme="minorEastAsia"/>
                      <w:sz w:val="18"/>
                      <w:szCs w:val="18"/>
                    </w:rPr>
                    <w:t>19</w:t>
                  </w:r>
                </w:p>
              </w:tc>
              <w:tc>
                <w:tcPr>
                  <w:tcW w:w="258" w:type="pct"/>
                  <w:vMerge w:val="continue"/>
                  <w:vAlign w:val="center"/>
                </w:tcPr>
                <w:p w14:paraId="64AC33F3">
                  <w:pPr>
                    <w:jc w:val="center"/>
                    <w:rPr>
                      <w:rFonts w:eastAsiaTheme="minorEastAsia"/>
                      <w:sz w:val="18"/>
                      <w:szCs w:val="18"/>
                    </w:rPr>
                  </w:pPr>
                </w:p>
              </w:tc>
              <w:tc>
                <w:tcPr>
                  <w:tcW w:w="348" w:type="pct"/>
                  <w:vAlign w:val="center"/>
                </w:tcPr>
                <w:p w14:paraId="21DA37F9">
                  <w:pPr>
                    <w:adjustRightInd w:val="0"/>
                    <w:snapToGrid w:val="0"/>
                    <w:jc w:val="center"/>
                    <w:rPr>
                      <w:sz w:val="18"/>
                      <w:szCs w:val="18"/>
                    </w:rPr>
                  </w:pPr>
                  <w:r>
                    <w:rPr>
                      <w:sz w:val="18"/>
                      <w:szCs w:val="18"/>
                    </w:rPr>
                    <w:t>风机</w:t>
                  </w:r>
                </w:p>
              </w:tc>
              <w:tc>
                <w:tcPr>
                  <w:tcW w:w="439" w:type="pct"/>
                  <w:vAlign w:val="center"/>
                </w:tcPr>
                <w:p w14:paraId="5E437480">
                  <w:pPr>
                    <w:jc w:val="center"/>
                    <w:rPr>
                      <w:rFonts w:eastAsiaTheme="minorEastAsia"/>
                      <w:sz w:val="18"/>
                      <w:szCs w:val="18"/>
                    </w:rPr>
                  </w:pPr>
                  <w:r>
                    <w:rPr>
                      <w:rFonts w:hint="eastAsia" w:eastAsiaTheme="minorEastAsia"/>
                      <w:sz w:val="18"/>
                      <w:szCs w:val="18"/>
                    </w:rPr>
                    <w:t>85</w:t>
                  </w:r>
                </w:p>
              </w:tc>
              <w:tc>
                <w:tcPr>
                  <w:tcW w:w="363" w:type="pct"/>
                  <w:vAlign w:val="center"/>
                </w:tcPr>
                <w:p w14:paraId="2043AF49">
                  <w:pPr>
                    <w:jc w:val="center"/>
                    <w:rPr>
                      <w:rFonts w:hAnsiTheme="minorEastAsia" w:eastAsiaTheme="minorEastAsia"/>
                      <w:sz w:val="18"/>
                      <w:szCs w:val="18"/>
                    </w:rPr>
                  </w:pPr>
                  <w:r>
                    <w:rPr>
                      <w:rFonts w:hAnsiTheme="minorEastAsia" w:eastAsiaTheme="minorEastAsia"/>
                      <w:sz w:val="18"/>
                      <w:szCs w:val="18"/>
                    </w:rPr>
                    <w:t>减振</w:t>
                  </w:r>
                </w:p>
                <w:p w14:paraId="751D09D0">
                  <w:pPr>
                    <w:jc w:val="center"/>
                    <w:rPr>
                      <w:rFonts w:hAnsiTheme="minorEastAsia"/>
                      <w:sz w:val="18"/>
                      <w:szCs w:val="18"/>
                    </w:rPr>
                  </w:pPr>
                  <w:r>
                    <w:rPr>
                      <w:rFonts w:hAnsiTheme="minorEastAsia" w:eastAsiaTheme="minorEastAsia"/>
                      <w:sz w:val="18"/>
                      <w:szCs w:val="18"/>
                    </w:rPr>
                    <w:t>隔声</w:t>
                  </w:r>
                </w:p>
              </w:tc>
              <w:tc>
                <w:tcPr>
                  <w:tcW w:w="411" w:type="pct"/>
                  <w:vAlign w:val="center"/>
                </w:tcPr>
                <w:p w14:paraId="506B188C">
                  <w:pPr>
                    <w:jc w:val="center"/>
                    <w:rPr>
                      <w:rFonts w:ascii="宋体" w:hAnsi="宋体" w:cs="宋体"/>
                      <w:sz w:val="18"/>
                      <w:szCs w:val="18"/>
                    </w:rPr>
                  </w:pPr>
                  <w:r>
                    <w:rPr>
                      <w:rFonts w:hint="eastAsia"/>
                      <w:sz w:val="18"/>
                      <w:szCs w:val="18"/>
                    </w:rPr>
                    <w:t>-113.46</w:t>
                  </w:r>
                </w:p>
              </w:tc>
              <w:tc>
                <w:tcPr>
                  <w:tcW w:w="379" w:type="pct"/>
                  <w:vAlign w:val="center"/>
                </w:tcPr>
                <w:p w14:paraId="0AEB97B8">
                  <w:pPr>
                    <w:jc w:val="center"/>
                    <w:rPr>
                      <w:rFonts w:ascii="宋体" w:hAnsi="宋体" w:cs="宋体"/>
                      <w:sz w:val="18"/>
                      <w:szCs w:val="18"/>
                    </w:rPr>
                  </w:pPr>
                  <w:r>
                    <w:rPr>
                      <w:rFonts w:hint="eastAsia"/>
                      <w:sz w:val="18"/>
                      <w:szCs w:val="18"/>
                    </w:rPr>
                    <w:t>176.6</w:t>
                  </w:r>
                </w:p>
              </w:tc>
              <w:tc>
                <w:tcPr>
                  <w:tcW w:w="279" w:type="pct"/>
                  <w:vAlign w:val="center"/>
                </w:tcPr>
                <w:p w14:paraId="272C1FD4">
                  <w:pPr>
                    <w:jc w:val="center"/>
                    <w:rPr>
                      <w:rFonts w:ascii="宋体" w:hAnsi="宋体" w:cs="宋体"/>
                      <w:sz w:val="18"/>
                      <w:szCs w:val="18"/>
                    </w:rPr>
                  </w:pPr>
                  <w:r>
                    <w:rPr>
                      <w:rFonts w:hint="eastAsia"/>
                      <w:sz w:val="18"/>
                      <w:szCs w:val="18"/>
                    </w:rPr>
                    <w:t>1.2</w:t>
                  </w:r>
                </w:p>
              </w:tc>
              <w:tc>
                <w:tcPr>
                  <w:tcW w:w="507" w:type="pct"/>
                  <w:vAlign w:val="center"/>
                </w:tcPr>
                <w:p w14:paraId="721F9D9C">
                  <w:pPr>
                    <w:jc w:val="center"/>
                    <w:rPr>
                      <w:sz w:val="18"/>
                      <w:szCs w:val="18"/>
                    </w:rPr>
                  </w:pPr>
                  <w:r>
                    <w:rPr>
                      <w:rFonts w:hint="eastAsia"/>
                      <w:sz w:val="18"/>
                      <w:szCs w:val="18"/>
                    </w:rPr>
                    <w:t>东20.69</w:t>
                  </w:r>
                </w:p>
                <w:p w14:paraId="183ED531">
                  <w:pPr>
                    <w:jc w:val="center"/>
                    <w:rPr>
                      <w:sz w:val="18"/>
                      <w:szCs w:val="18"/>
                    </w:rPr>
                  </w:pPr>
                  <w:r>
                    <w:rPr>
                      <w:rFonts w:hint="eastAsia"/>
                      <w:sz w:val="18"/>
                      <w:szCs w:val="18"/>
                    </w:rPr>
                    <w:t>南9.12</w:t>
                  </w:r>
                </w:p>
                <w:p w14:paraId="2F0D6CED">
                  <w:pPr>
                    <w:jc w:val="center"/>
                    <w:rPr>
                      <w:sz w:val="18"/>
                      <w:szCs w:val="18"/>
                    </w:rPr>
                  </w:pPr>
                  <w:r>
                    <w:rPr>
                      <w:rFonts w:hint="eastAsia"/>
                      <w:sz w:val="18"/>
                      <w:szCs w:val="18"/>
                    </w:rPr>
                    <w:t>西20.07</w:t>
                  </w:r>
                </w:p>
                <w:p w14:paraId="78560904">
                  <w:pPr>
                    <w:jc w:val="center"/>
                    <w:rPr>
                      <w:sz w:val="18"/>
                      <w:szCs w:val="18"/>
                    </w:rPr>
                  </w:pPr>
                  <w:r>
                    <w:rPr>
                      <w:rFonts w:hint="eastAsia"/>
                      <w:sz w:val="18"/>
                      <w:szCs w:val="18"/>
                    </w:rPr>
                    <w:t>北7.08</w:t>
                  </w:r>
                </w:p>
              </w:tc>
              <w:tc>
                <w:tcPr>
                  <w:tcW w:w="397" w:type="pct"/>
                  <w:vAlign w:val="center"/>
                </w:tcPr>
                <w:p w14:paraId="3470C222">
                  <w:pPr>
                    <w:jc w:val="center"/>
                    <w:rPr>
                      <w:sz w:val="18"/>
                      <w:szCs w:val="18"/>
                    </w:rPr>
                  </w:pPr>
                  <w:r>
                    <w:rPr>
                      <w:rFonts w:hint="eastAsia"/>
                      <w:sz w:val="18"/>
                      <w:szCs w:val="18"/>
                    </w:rPr>
                    <w:t>79.97</w:t>
                  </w:r>
                </w:p>
              </w:tc>
              <w:tc>
                <w:tcPr>
                  <w:tcW w:w="273" w:type="pct"/>
                  <w:vMerge w:val="continue"/>
                  <w:vAlign w:val="center"/>
                </w:tcPr>
                <w:p w14:paraId="39229813">
                  <w:pPr>
                    <w:jc w:val="center"/>
                    <w:rPr>
                      <w:sz w:val="18"/>
                      <w:szCs w:val="18"/>
                    </w:rPr>
                  </w:pPr>
                </w:p>
              </w:tc>
              <w:tc>
                <w:tcPr>
                  <w:tcW w:w="375" w:type="pct"/>
                  <w:vAlign w:val="center"/>
                </w:tcPr>
                <w:p w14:paraId="6E307708">
                  <w:pPr>
                    <w:jc w:val="center"/>
                    <w:rPr>
                      <w:sz w:val="18"/>
                      <w:szCs w:val="18"/>
                    </w:rPr>
                  </w:pPr>
                  <w:r>
                    <w:rPr>
                      <w:rFonts w:hint="eastAsia"/>
                      <w:sz w:val="18"/>
                      <w:szCs w:val="18"/>
                    </w:rPr>
                    <w:t>26</w:t>
                  </w:r>
                </w:p>
              </w:tc>
              <w:tc>
                <w:tcPr>
                  <w:tcW w:w="397" w:type="pct"/>
                  <w:vAlign w:val="center"/>
                </w:tcPr>
                <w:p w14:paraId="54040006">
                  <w:pPr>
                    <w:autoSpaceDE w:val="0"/>
                    <w:autoSpaceDN w:val="0"/>
                    <w:jc w:val="center"/>
                    <w:rPr>
                      <w:kern w:val="0"/>
                      <w:sz w:val="18"/>
                      <w:szCs w:val="18"/>
                    </w:rPr>
                  </w:pPr>
                  <w:r>
                    <w:rPr>
                      <w:rFonts w:hint="eastAsia"/>
                      <w:sz w:val="18"/>
                      <w:szCs w:val="18"/>
                    </w:rPr>
                    <w:t>53.97</w:t>
                  </w:r>
                </w:p>
              </w:tc>
              <w:tc>
                <w:tcPr>
                  <w:tcW w:w="341" w:type="pct"/>
                  <w:vAlign w:val="center"/>
                </w:tcPr>
                <w:p w14:paraId="371CA692">
                  <w:pPr>
                    <w:jc w:val="center"/>
                    <w:rPr>
                      <w:sz w:val="18"/>
                      <w:szCs w:val="18"/>
                    </w:rPr>
                  </w:pPr>
                  <w:r>
                    <w:rPr>
                      <w:rFonts w:hint="eastAsia"/>
                      <w:sz w:val="18"/>
                      <w:szCs w:val="18"/>
                    </w:rPr>
                    <w:t>1</w:t>
                  </w:r>
                </w:p>
              </w:tc>
            </w:tr>
            <w:tr w14:paraId="6E7B4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33" w:type="pct"/>
                  <w:vAlign w:val="center"/>
                </w:tcPr>
                <w:p w14:paraId="4AE177D0">
                  <w:pPr>
                    <w:jc w:val="center"/>
                    <w:rPr>
                      <w:rFonts w:eastAsiaTheme="minorEastAsia"/>
                      <w:sz w:val="18"/>
                      <w:szCs w:val="18"/>
                    </w:rPr>
                  </w:pPr>
                  <w:r>
                    <w:rPr>
                      <w:rFonts w:hint="eastAsia" w:eastAsiaTheme="minorEastAsia"/>
                      <w:sz w:val="18"/>
                      <w:szCs w:val="18"/>
                    </w:rPr>
                    <w:t>20</w:t>
                  </w:r>
                </w:p>
              </w:tc>
              <w:tc>
                <w:tcPr>
                  <w:tcW w:w="258" w:type="pct"/>
                  <w:vAlign w:val="center"/>
                </w:tcPr>
                <w:p w14:paraId="34E79163">
                  <w:pPr>
                    <w:jc w:val="center"/>
                    <w:rPr>
                      <w:rFonts w:eastAsiaTheme="minorEastAsia"/>
                      <w:sz w:val="18"/>
                      <w:szCs w:val="18"/>
                    </w:rPr>
                  </w:pPr>
                  <w:r>
                    <w:rPr>
                      <w:rFonts w:eastAsiaTheme="minorEastAsia"/>
                      <w:sz w:val="18"/>
                      <w:szCs w:val="18"/>
                    </w:rPr>
                    <w:t>提升塔</w:t>
                  </w:r>
                </w:p>
              </w:tc>
              <w:tc>
                <w:tcPr>
                  <w:tcW w:w="348" w:type="pct"/>
                  <w:vAlign w:val="center"/>
                </w:tcPr>
                <w:p w14:paraId="597D97E9">
                  <w:pPr>
                    <w:adjustRightInd w:val="0"/>
                    <w:snapToGrid w:val="0"/>
                    <w:jc w:val="center"/>
                    <w:rPr>
                      <w:sz w:val="18"/>
                      <w:szCs w:val="18"/>
                    </w:rPr>
                  </w:pPr>
                  <w:r>
                    <w:rPr>
                      <w:rFonts w:hint="eastAsia"/>
                      <w:sz w:val="18"/>
                      <w:szCs w:val="18"/>
                    </w:rPr>
                    <w:t>提升机</w:t>
                  </w:r>
                </w:p>
              </w:tc>
              <w:tc>
                <w:tcPr>
                  <w:tcW w:w="439" w:type="pct"/>
                  <w:vAlign w:val="center"/>
                </w:tcPr>
                <w:p w14:paraId="604C2641">
                  <w:pPr>
                    <w:jc w:val="center"/>
                    <w:rPr>
                      <w:rFonts w:eastAsiaTheme="minorEastAsia"/>
                      <w:sz w:val="18"/>
                      <w:szCs w:val="18"/>
                    </w:rPr>
                  </w:pPr>
                  <w:r>
                    <w:rPr>
                      <w:rFonts w:hint="eastAsia" w:eastAsiaTheme="minorEastAsia"/>
                      <w:sz w:val="18"/>
                      <w:szCs w:val="18"/>
                    </w:rPr>
                    <w:t>75</w:t>
                  </w:r>
                </w:p>
              </w:tc>
              <w:tc>
                <w:tcPr>
                  <w:tcW w:w="363" w:type="pct"/>
                  <w:vAlign w:val="center"/>
                </w:tcPr>
                <w:p w14:paraId="364EDFB3">
                  <w:pPr>
                    <w:jc w:val="center"/>
                    <w:rPr>
                      <w:rFonts w:hAnsiTheme="minorEastAsia" w:eastAsiaTheme="minorEastAsia"/>
                      <w:sz w:val="18"/>
                      <w:szCs w:val="18"/>
                    </w:rPr>
                  </w:pPr>
                  <w:r>
                    <w:rPr>
                      <w:rFonts w:hAnsiTheme="minorEastAsia" w:eastAsiaTheme="minorEastAsia"/>
                      <w:sz w:val="18"/>
                      <w:szCs w:val="18"/>
                    </w:rPr>
                    <w:t>减振</w:t>
                  </w:r>
                </w:p>
                <w:p w14:paraId="2BD9970E">
                  <w:pPr>
                    <w:jc w:val="center"/>
                    <w:rPr>
                      <w:sz w:val="18"/>
                      <w:szCs w:val="18"/>
                    </w:rPr>
                  </w:pPr>
                  <w:r>
                    <w:rPr>
                      <w:rFonts w:hAnsiTheme="minorEastAsia" w:eastAsiaTheme="minorEastAsia"/>
                      <w:sz w:val="18"/>
                      <w:szCs w:val="18"/>
                    </w:rPr>
                    <w:t>隔声</w:t>
                  </w:r>
                </w:p>
              </w:tc>
              <w:tc>
                <w:tcPr>
                  <w:tcW w:w="411" w:type="pct"/>
                  <w:vAlign w:val="center"/>
                </w:tcPr>
                <w:p w14:paraId="1624A3E7">
                  <w:pPr>
                    <w:jc w:val="center"/>
                    <w:rPr>
                      <w:rFonts w:ascii="宋体" w:hAnsi="宋体" w:cs="宋体"/>
                      <w:sz w:val="18"/>
                      <w:szCs w:val="18"/>
                    </w:rPr>
                  </w:pPr>
                  <w:r>
                    <w:rPr>
                      <w:rFonts w:hint="eastAsia"/>
                      <w:sz w:val="18"/>
                      <w:szCs w:val="18"/>
                    </w:rPr>
                    <w:t>-106.92</w:t>
                  </w:r>
                </w:p>
              </w:tc>
              <w:tc>
                <w:tcPr>
                  <w:tcW w:w="379" w:type="pct"/>
                  <w:vAlign w:val="center"/>
                </w:tcPr>
                <w:p w14:paraId="2F9016EA">
                  <w:pPr>
                    <w:jc w:val="center"/>
                    <w:rPr>
                      <w:rFonts w:ascii="宋体" w:hAnsi="宋体" w:cs="宋体"/>
                      <w:sz w:val="18"/>
                      <w:szCs w:val="18"/>
                    </w:rPr>
                  </w:pPr>
                  <w:r>
                    <w:rPr>
                      <w:rFonts w:hint="eastAsia"/>
                      <w:sz w:val="18"/>
                      <w:szCs w:val="18"/>
                    </w:rPr>
                    <w:t>126.31</w:t>
                  </w:r>
                </w:p>
              </w:tc>
              <w:tc>
                <w:tcPr>
                  <w:tcW w:w="279" w:type="pct"/>
                  <w:vAlign w:val="center"/>
                </w:tcPr>
                <w:p w14:paraId="52B20839">
                  <w:pPr>
                    <w:jc w:val="center"/>
                    <w:rPr>
                      <w:rFonts w:ascii="宋体" w:hAnsi="宋体" w:cs="宋体"/>
                      <w:sz w:val="18"/>
                      <w:szCs w:val="18"/>
                    </w:rPr>
                  </w:pPr>
                  <w:r>
                    <w:rPr>
                      <w:rFonts w:hint="eastAsia"/>
                      <w:sz w:val="18"/>
                      <w:szCs w:val="18"/>
                    </w:rPr>
                    <w:t>1.2</w:t>
                  </w:r>
                </w:p>
              </w:tc>
              <w:tc>
                <w:tcPr>
                  <w:tcW w:w="507" w:type="pct"/>
                  <w:vAlign w:val="center"/>
                </w:tcPr>
                <w:p w14:paraId="7B1E5F07">
                  <w:pPr>
                    <w:jc w:val="center"/>
                    <w:rPr>
                      <w:sz w:val="18"/>
                      <w:szCs w:val="18"/>
                    </w:rPr>
                  </w:pPr>
                  <w:r>
                    <w:rPr>
                      <w:rFonts w:hint="eastAsia"/>
                      <w:sz w:val="18"/>
                      <w:szCs w:val="18"/>
                    </w:rPr>
                    <w:t>东3.35</w:t>
                  </w:r>
                </w:p>
                <w:p w14:paraId="48F31AD4">
                  <w:pPr>
                    <w:jc w:val="center"/>
                    <w:rPr>
                      <w:sz w:val="18"/>
                      <w:szCs w:val="18"/>
                    </w:rPr>
                  </w:pPr>
                  <w:r>
                    <w:rPr>
                      <w:rFonts w:hint="eastAsia"/>
                      <w:sz w:val="18"/>
                      <w:szCs w:val="18"/>
                    </w:rPr>
                    <w:t>南2.88</w:t>
                  </w:r>
                </w:p>
                <w:p w14:paraId="7AAD573B">
                  <w:pPr>
                    <w:jc w:val="center"/>
                    <w:rPr>
                      <w:sz w:val="18"/>
                      <w:szCs w:val="18"/>
                    </w:rPr>
                  </w:pPr>
                  <w:r>
                    <w:rPr>
                      <w:rFonts w:hint="eastAsia"/>
                      <w:sz w:val="18"/>
                      <w:szCs w:val="18"/>
                    </w:rPr>
                    <w:t>西3.07</w:t>
                  </w:r>
                </w:p>
                <w:p w14:paraId="7A7AD790">
                  <w:pPr>
                    <w:jc w:val="center"/>
                    <w:rPr>
                      <w:sz w:val="18"/>
                      <w:szCs w:val="18"/>
                    </w:rPr>
                  </w:pPr>
                  <w:r>
                    <w:rPr>
                      <w:rFonts w:hint="eastAsia"/>
                      <w:sz w:val="18"/>
                      <w:szCs w:val="18"/>
                    </w:rPr>
                    <w:t>北11.54</w:t>
                  </w:r>
                </w:p>
              </w:tc>
              <w:tc>
                <w:tcPr>
                  <w:tcW w:w="397" w:type="pct"/>
                  <w:vAlign w:val="center"/>
                </w:tcPr>
                <w:p w14:paraId="033E63B3">
                  <w:pPr>
                    <w:jc w:val="center"/>
                    <w:rPr>
                      <w:sz w:val="18"/>
                      <w:szCs w:val="18"/>
                    </w:rPr>
                  </w:pPr>
                  <w:r>
                    <w:rPr>
                      <w:rFonts w:hint="eastAsia"/>
                      <w:sz w:val="18"/>
                      <w:szCs w:val="18"/>
                    </w:rPr>
                    <w:t>78.31</w:t>
                  </w:r>
                </w:p>
              </w:tc>
              <w:tc>
                <w:tcPr>
                  <w:tcW w:w="273" w:type="pct"/>
                  <w:vAlign w:val="center"/>
                </w:tcPr>
                <w:p w14:paraId="0246B3DC">
                  <w:pPr>
                    <w:jc w:val="center"/>
                    <w:rPr>
                      <w:sz w:val="18"/>
                      <w:szCs w:val="18"/>
                    </w:rPr>
                  </w:pPr>
                  <w:r>
                    <w:rPr>
                      <w:rFonts w:hint="eastAsia"/>
                      <w:sz w:val="18"/>
                      <w:szCs w:val="18"/>
                    </w:rPr>
                    <w:t>20h</w:t>
                  </w:r>
                </w:p>
              </w:tc>
              <w:tc>
                <w:tcPr>
                  <w:tcW w:w="375" w:type="pct"/>
                  <w:vAlign w:val="center"/>
                </w:tcPr>
                <w:p w14:paraId="6BA3BACD">
                  <w:pPr>
                    <w:jc w:val="center"/>
                    <w:rPr>
                      <w:sz w:val="18"/>
                      <w:szCs w:val="18"/>
                    </w:rPr>
                  </w:pPr>
                  <w:r>
                    <w:rPr>
                      <w:rFonts w:hint="eastAsia"/>
                      <w:sz w:val="18"/>
                      <w:szCs w:val="18"/>
                    </w:rPr>
                    <w:t>26</w:t>
                  </w:r>
                </w:p>
              </w:tc>
              <w:tc>
                <w:tcPr>
                  <w:tcW w:w="397" w:type="pct"/>
                  <w:vAlign w:val="center"/>
                </w:tcPr>
                <w:p w14:paraId="56C1473F">
                  <w:pPr>
                    <w:autoSpaceDE w:val="0"/>
                    <w:autoSpaceDN w:val="0"/>
                    <w:jc w:val="center"/>
                    <w:rPr>
                      <w:kern w:val="0"/>
                      <w:sz w:val="18"/>
                      <w:szCs w:val="18"/>
                    </w:rPr>
                  </w:pPr>
                  <w:r>
                    <w:rPr>
                      <w:rFonts w:hint="eastAsia"/>
                      <w:kern w:val="0"/>
                      <w:sz w:val="18"/>
                      <w:szCs w:val="18"/>
                    </w:rPr>
                    <w:t>52.31</w:t>
                  </w:r>
                </w:p>
              </w:tc>
              <w:tc>
                <w:tcPr>
                  <w:tcW w:w="341" w:type="pct"/>
                  <w:vAlign w:val="center"/>
                </w:tcPr>
                <w:p w14:paraId="33F8F4A1">
                  <w:pPr>
                    <w:jc w:val="center"/>
                    <w:rPr>
                      <w:sz w:val="18"/>
                      <w:szCs w:val="18"/>
                    </w:rPr>
                  </w:pPr>
                  <w:r>
                    <w:rPr>
                      <w:rFonts w:hint="eastAsia"/>
                      <w:sz w:val="18"/>
                      <w:szCs w:val="18"/>
                    </w:rPr>
                    <w:t>1</w:t>
                  </w:r>
                </w:p>
              </w:tc>
            </w:tr>
          </w:tbl>
          <w:p w14:paraId="21027731">
            <w:pPr>
              <w:spacing w:line="360" w:lineRule="auto"/>
              <w:ind w:firstLine="420" w:firstLineChars="200"/>
              <w:rPr>
                <w:rFonts w:hAnsi="宋体"/>
                <w:kern w:val="0"/>
                <w:sz w:val="24"/>
              </w:rPr>
            </w:pPr>
            <w:r>
              <w:rPr>
                <w:rFonts w:hint="eastAsia" w:hAnsi="宋体"/>
                <w:kern w:val="0"/>
                <w:szCs w:val="21"/>
              </w:rPr>
              <w:t xml:space="preserve">注：1、以项目用地红线西南角（E </w:t>
            </w:r>
            <w:r>
              <w:rPr>
                <w:rFonts w:hAnsi="宋体"/>
                <w:kern w:val="0"/>
                <w:szCs w:val="21"/>
              </w:rPr>
              <w:t>112.607648°，</w:t>
            </w:r>
            <w:r>
              <w:rPr>
                <w:rFonts w:hint="eastAsia" w:hAnsi="宋体"/>
                <w:kern w:val="0"/>
                <w:szCs w:val="21"/>
              </w:rPr>
              <w:t xml:space="preserve">N </w:t>
            </w:r>
            <w:r>
              <w:rPr>
                <w:rFonts w:hAnsi="宋体"/>
                <w:kern w:val="0"/>
                <w:szCs w:val="21"/>
              </w:rPr>
              <w:t>27.38690</w:t>
            </w:r>
            <w:r>
              <w:rPr>
                <w:rFonts w:hint="eastAsia" w:hAnsi="宋体"/>
                <w:kern w:val="0"/>
                <w:szCs w:val="21"/>
              </w:rPr>
              <w:t>1</w:t>
            </w:r>
            <w:r>
              <w:rPr>
                <w:rFonts w:hAnsi="宋体"/>
                <w:kern w:val="0"/>
                <w:szCs w:val="21"/>
              </w:rPr>
              <w:t>°</w:t>
            </w:r>
            <w:r>
              <w:rPr>
                <w:rFonts w:hint="eastAsia" w:hAnsi="宋体"/>
                <w:kern w:val="0"/>
                <w:szCs w:val="21"/>
              </w:rPr>
              <w:t>）为坐标原点，东向为X轴正方向，北向为Y轴正方向；2、厂房隔声量取20dB（A）。</w:t>
            </w:r>
          </w:p>
          <w:p w14:paraId="4C0C3439">
            <w:pPr>
              <w:spacing w:before="120" w:beforeLines="50"/>
              <w:jc w:val="center"/>
              <w:rPr>
                <w:b/>
              </w:rPr>
            </w:pPr>
            <w:r>
              <w:rPr>
                <w:b/>
              </w:rPr>
              <w:t>表</w:t>
            </w:r>
            <w:r>
              <w:rPr>
                <w:rFonts w:hint="eastAsia"/>
                <w:b/>
              </w:rPr>
              <w:t>4-15</w:t>
            </w:r>
            <w:r>
              <w:rPr>
                <w:b/>
              </w:rPr>
              <w:t xml:space="preserve">  项目运营期主要设备噪声源</w:t>
            </w:r>
            <w:r>
              <w:rPr>
                <w:rFonts w:hint="eastAsia"/>
                <w:b/>
              </w:rPr>
              <w:t>（室外声源）</w:t>
            </w:r>
            <w:r>
              <w:rPr>
                <w:b/>
              </w:rPr>
              <w:t xml:space="preserve">  单位：dB（A）</w:t>
            </w:r>
          </w:p>
          <w:tbl>
            <w:tblPr>
              <w:tblStyle w:val="29"/>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005"/>
              <w:gridCol w:w="808"/>
              <w:gridCol w:w="855"/>
              <w:gridCol w:w="855"/>
              <w:gridCol w:w="820"/>
              <w:gridCol w:w="1459"/>
              <w:gridCol w:w="1024"/>
              <w:gridCol w:w="1185"/>
              <w:gridCol w:w="768"/>
            </w:tblGrid>
            <w:tr w14:paraId="29E36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vMerge w:val="restart"/>
                  <w:tcBorders>
                    <w:tl2br w:val="nil"/>
                    <w:tr2bl w:val="nil"/>
                  </w:tcBorders>
                  <w:vAlign w:val="center"/>
                </w:tcPr>
                <w:p w14:paraId="32597211">
                  <w:pPr>
                    <w:jc w:val="center"/>
                    <w:rPr>
                      <w:sz w:val="18"/>
                      <w:szCs w:val="18"/>
                    </w:rPr>
                  </w:pPr>
                  <w:r>
                    <w:rPr>
                      <w:b/>
                      <w:sz w:val="18"/>
                      <w:szCs w:val="18"/>
                      <w:lang w:bidi="ar"/>
                    </w:rPr>
                    <w:t>序号</w:t>
                  </w:r>
                </w:p>
              </w:tc>
              <w:tc>
                <w:tcPr>
                  <w:tcW w:w="536" w:type="pct"/>
                  <w:vMerge w:val="restart"/>
                  <w:tcBorders>
                    <w:tl2br w:val="nil"/>
                    <w:tr2bl w:val="nil"/>
                  </w:tcBorders>
                  <w:vAlign w:val="center"/>
                </w:tcPr>
                <w:p w14:paraId="6C35ADD6">
                  <w:pPr>
                    <w:jc w:val="center"/>
                    <w:rPr>
                      <w:sz w:val="18"/>
                      <w:szCs w:val="18"/>
                    </w:rPr>
                  </w:pPr>
                  <w:r>
                    <w:rPr>
                      <w:b/>
                      <w:sz w:val="18"/>
                      <w:szCs w:val="18"/>
                      <w:lang w:bidi="ar"/>
                    </w:rPr>
                    <w:t>声源名称</w:t>
                  </w:r>
                </w:p>
              </w:tc>
              <w:tc>
                <w:tcPr>
                  <w:tcW w:w="431" w:type="pct"/>
                  <w:vMerge w:val="restart"/>
                  <w:tcBorders>
                    <w:tl2br w:val="nil"/>
                    <w:tr2bl w:val="nil"/>
                  </w:tcBorders>
                  <w:vAlign w:val="center"/>
                </w:tcPr>
                <w:p w14:paraId="60430094">
                  <w:pPr>
                    <w:jc w:val="center"/>
                    <w:rPr>
                      <w:sz w:val="18"/>
                      <w:szCs w:val="18"/>
                    </w:rPr>
                  </w:pPr>
                  <w:r>
                    <w:rPr>
                      <w:b/>
                      <w:sz w:val="18"/>
                      <w:szCs w:val="18"/>
                      <w:lang w:bidi="ar"/>
                    </w:rPr>
                    <w:t>型号</w:t>
                  </w:r>
                </w:p>
              </w:tc>
              <w:tc>
                <w:tcPr>
                  <w:tcW w:w="1349" w:type="pct"/>
                  <w:gridSpan w:val="3"/>
                  <w:tcBorders>
                    <w:tl2br w:val="nil"/>
                    <w:tr2bl w:val="nil"/>
                  </w:tcBorders>
                  <w:vAlign w:val="center"/>
                </w:tcPr>
                <w:p w14:paraId="0B29EE12">
                  <w:pPr>
                    <w:jc w:val="center"/>
                    <w:rPr>
                      <w:kern w:val="0"/>
                      <w:sz w:val="18"/>
                      <w:szCs w:val="18"/>
                    </w:rPr>
                  </w:pPr>
                  <w:r>
                    <w:rPr>
                      <w:b/>
                      <w:sz w:val="18"/>
                      <w:szCs w:val="18"/>
                      <w:lang w:bidi="ar"/>
                    </w:rPr>
                    <w:t>空间相对位置/m</w:t>
                  </w:r>
                </w:p>
              </w:tc>
              <w:tc>
                <w:tcPr>
                  <w:tcW w:w="1324" w:type="pct"/>
                  <w:gridSpan w:val="2"/>
                  <w:tcBorders>
                    <w:tl2br w:val="nil"/>
                    <w:tr2bl w:val="nil"/>
                  </w:tcBorders>
                  <w:vAlign w:val="center"/>
                </w:tcPr>
                <w:p w14:paraId="33712B7E">
                  <w:pPr>
                    <w:jc w:val="center"/>
                    <w:rPr>
                      <w:kern w:val="0"/>
                      <w:sz w:val="18"/>
                      <w:szCs w:val="18"/>
                    </w:rPr>
                  </w:pPr>
                  <w:r>
                    <w:rPr>
                      <w:b/>
                      <w:kern w:val="0"/>
                      <w:sz w:val="18"/>
                      <w:szCs w:val="18"/>
                      <w:lang w:bidi="ar"/>
                    </w:rPr>
                    <w:t>声源源强（任选一种）</w:t>
                  </w:r>
                </w:p>
              </w:tc>
              <w:tc>
                <w:tcPr>
                  <w:tcW w:w="631" w:type="pct"/>
                  <w:vMerge w:val="restart"/>
                  <w:tcBorders>
                    <w:tl2br w:val="nil"/>
                    <w:tr2bl w:val="nil"/>
                  </w:tcBorders>
                  <w:vAlign w:val="center"/>
                </w:tcPr>
                <w:p w14:paraId="332D2DED">
                  <w:pPr>
                    <w:jc w:val="center"/>
                    <w:rPr>
                      <w:kern w:val="0"/>
                      <w:sz w:val="18"/>
                      <w:szCs w:val="18"/>
                    </w:rPr>
                  </w:pPr>
                  <w:r>
                    <w:rPr>
                      <w:b/>
                      <w:kern w:val="0"/>
                      <w:sz w:val="18"/>
                      <w:szCs w:val="18"/>
                      <w:lang w:bidi="ar"/>
                    </w:rPr>
                    <w:t>声源控制措</w:t>
                  </w:r>
                </w:p>
              </w:tc>
              <w:tc>
                <w:tcPr>
                  <w:tcW w:w="409" w:type="pct"/>
                  <w:vMerge w:val="restart"/>
                  <w:tcBorders>
                    <w:tl2br w:val="nil"/>
                    <w:tr2bl w:val="nil"/>
                  </w:tcBorders>
                  <w:vAlign w:val="center"/>
                </w:tcPr>
                <w:p w14:paraId="0D3D1D4C">
                  <w:pPr>
                    <w:jc w:val="center"/>
                    <w:rPr>
                      <w:kern w:val="0"/>
                      <w:sz w:val="18"/>
                      <w:szCs w:val="18"/>
                    </w:rPr>
                  </w:pPr>
                  <w:r>
                    <w:rPr>
                      <w:b/>
                      <w:kern w:val="0"/>
                      <w:sz w:val="18"/>
                      <w:szCs w:val="18"/>
                      <w:lang w:bidi="ar"/>
                    </w:rPr>
                    <w:t>运行时段</w:t>
                  </w:r>
                </w:p>
              </w:tc>
            </w:tr>
            <w:tr w14:paraId="5AF34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vMerge w:val="continue"/>
                  <w:tcBorders>
                    <w:tl2br w:val="nil"/>
                    <w:tr2bl w:val="nil"/>
                  </w:tcBorders>
                  <w:vAlign w:val="center"/>
                </w:tcPr>
                <w:p w14:paraId="59FF5ED9">
                  <w:pPr>
                    <w:jc w:val="center"/>
                    <w:rPr>
                      <w:kern w:val="0"/>
                      <w:sz w:val="18"/>
                      <w:szCs w:val="18"/>
                    </w:rPr>
                  </w:pPr>
                </w:p>
              </w:tc>
              <w:tc>
                <w:tcPr>
                  <w:tcW w:w="536" w:type="pct"/>
                  <w:vMerge w:val="continue"/>
                  <w:tcBorders>
                    <w:tl2br w:val="nil"/>
                    <w:tr2bl w:val="nil"/>
                  </w:tcBorders>
                  <w:vAlign w:val="center"/>
                </w:tcPr>
                <w:p w14:paraId="3F890554">
                  <w:pPr>
                    <w:jc w:val="center"/>
                    <w:rPr>
                      <w:kern w:val="0"/>
                      <w:sz w:val="18"/>
                      <w:szCs w:val="18"/>
                    </w:rPr>
                  </w:pPr>
                </w:p>
              </w:tc>
              <w:tc>
                <w:tcPr>
                  <w:tcW w:w="431" w:type="pct"/>
                  <w:vMerge w:val="continue"/>
                  <w:tcBorders>
                    <w:tl2br w:val="nil"/>
                    <w:tr2bl w:val="nil"/>
                  </w:tcBorders>
                  <w:vAlign w:val="center"/>
                </w:tcPr>
                <w:p w14:paraId="6BBD4178">
                  <w:pPr>
                    <w:jc w:val="center"/>
                    <w:rPr>
                      <w:kern w:val="0"/>
                      <w:sz w:val="18"/>
                      <w:szCs w:val="18"/>
                    </w:rPr>
                  </w:pPr>
                </w:p>
              </w:tc>
              <w:tc>
                <w:tcPr>
                  <w:tcW w:w="456" w:type="pct"/>
                  <w:tcBorders>
                    <w:tl2br w:val="nil"/>
                    <w:tr2bl w:val="nil"/>
                  </w:tcBorders>
                  <w:vAlign w:val="center"/>
                </w:tcPr>
                <w:p w14:paraId="6A268981">
                  <w:pPr>
                    <w:jc w:val="center"/>
                    <w:rPr>
                      <w:sz w:val="18"/>
                      <w:szCs w:val="18"/>
                    </w:rPr>
                  </w:pPr>
                  <w:r>
                    <w:rPr>
                      <w:b/>
                      <w:sz w:val="18"/>
                      <w:szCs w:val="18"/>
                      <w:lang w:bidi="ar"/>
                    </w:rPr>
                    <w:t>X</w:t>
                  </w:r>
                </w:p>
              </w:tc>
              <w:tc>
                <w:tcPr>
                  <w:tcW w:w="456" w:type="pct"/>
                  <w:tcBorders>
                    <w:tl2br w:val="nil"/>
                    <w:tr2bl w:val="nil"/>
                  </w:tcBorders>
                  <w:vAlign w:val="center"/>
                </w:tcPr>
                <w:p w14:paraId="6BC8348D">
                  <w:pPr>
                    <w:jc w:val="center"/>
                    <w:rPr>
                      <w:sz w:val="18"/>
                      <w:szCs w:val="18"/>
                    </w:rPr>
                  </w:pPr>
                  <w:r>
                    <w:rPr>
                      <w:b/>
                      <w:sz w:val="18"/>
                      <w:szCs w:val="18"/>
                      <w:lang w:bidi="ar"/>
                    </w:rPr>
                    <w:t>Y</w:t>
                  </w:r>
                </w:p>
              </w:tc>
              <w:tc>
                <w:tcPr>
                  <w:tcW w:w="437" w:type="pct"/>
                  <w:tcBorders>
                    <w:tl2br w:val="nil"/>
                    <w:tr2bl w:val="nil"/>
                  </w:tcBorders>
                  <w:vAlign w:val="center"/>
                </w:tcPr>
                <w:p w14:paraId="3F66913E">
                  <w:pPr>
                    <w:jc w:val="center"/>
                    <w:rPr>
                      <w:sz w:val="18"/>
                      <w:szCs w:val="18"/>
                    </w:rPr>
                  </w:pPr>
                  <w:r>
                    <w:rPr>
                      <w:b/>
                      <w:sz w:val="18"/>
                      <w:szCs w:val="18"/>
                      <w:lang w:bidi="ar"/>
                    </w:rPr>
                    <w:t>Z</w:t>
                  </w:r>
                </w:p>
              </w:tc>
              <w:tc>
                <w:tcPr>
                  <w:tcW w:w="778" w:type="pct"/>
                  <w:tcBorders>
                    <w:tl2br w:val="nil"/>
                    <w:tr2bl w:val="nil"/>
                  </w:tcBorders>
                  <w:vAlign w:val="center"/>
                </w:tcPr>
                <w:p w14:paraId="62BE5F44">
                  <w:pPr>
                    <w:jc w:val="center"/>
                    <w:rPr>
                      <w:sz w:val="18"/>
                      <w:szCs w:val="18"/>
                    </w:rPr>
                  </w:pPr>
                  <w:r>
                    <w:rPr>
                      <w:b/>
                      <w:sz w:val="18"/>
                      <w:szCs w:val="18"/>
                    </w:rPr>
                    <w:t>（声压级/距声源距离）/（dB(A)/m）</w:t>
                  </w:r>
                </w:p>
              </w:tc>
              <w:tc>
                <w:tcPr>
                  <w:tcW w:w="546" w:type="pct"/>
                  <w:tcBorders>
                    <w:tl2br w:val="nil"/>
                    <w:tr2bl w:val="nil"/>
                  </w:tcBorders>
                  <w:vAlign w:val="center"/>
                </w:tcPr>
                <w:p w14:paraId="26F6EAB9">
                  <w:pPr>
                    <w:jc w:val="center"/>
                    <w:rPr>
                      <w:sz w:val="18"/>
                      <w:szCs w:val="18"/>
                    </w:rPr>
                  </w:pPr>
                  <w:r>
                    <w:rPr>
                      <w:b/>
                      <w:sz w:val="18"/>
                      <w:szCs w:val="18"/>
                    </w:rPr>
                    <w:t>声功率级/dB(A)</w:t>
                  </w:r>
                </w:p>
              </w:tc>
              <w:tc>
                <w:tcPr>
                  <w:tcW w:w="631" w:type="pct"/>
                  <w:vMerge w:val="continue"/>
                  <w:tcBorders>
                    <w:tl2br w:val="nil"/>
                    <w:tr2bl w:val="nil"/>
                  </w:tcBorders>
                  <w:vAlign w:val="center"/>
                </w:tcPr>
                <w:p w14:paraId="1092936E">
                  <w:pPr>
                    <w:jc w:val="center"/>
                    <w:rPr>
                      <w:kern w:val="0"/>
                      <w:sz w:val="18"/>
                      <w:szCs w:val="18"/>
                    </w:rPr>
                  </w:pPr>
                </w:p>
              </w:tc>
              <w:tc>
                <w:tcPr>
                  <w:tcW w:w="409" w:type="pct"/>
                  <w:vMerge w:val="continue"/>
                  <w:tcBorders>
                    <w:tl2br w:val="nil"/>
                    <w:tr2bl w:val="nil"/>
                  </w:tcBorders>
                  <w:vAlign w:val="center"/>
                </w:tcPr>
                <w:p w14:paraId="2C63AD86">
                  <w:pPr>
                    <w:jc w:val="center"/>
                    <w:rPr>
                      <w:kern w:val="0"/>
                      <w:sz w:val="18"/>
                      <w:szCs w:val="18"/>
                    </w:rPr>
                  </w:pPr>
                </w:p>
              </w:tc>
            </w:tr>
            <w:tr w14:paraId="45953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0" w:type="pct"/>
                  <w:tcBorders>
                    <w:tl2br w:val="nil"/>
                    <w:tr2bl w:val="nil"/>
                  </w:tcBorders>
                  <w:vAlign w:val="center"/>
                </w:tcPr>
                <w:p w14:paraId="6EBBA147">
                  <w:pPr>
                    <w:jc w:val="center"/>
                    <w:rPr>
                      <w:sz w:val="18"/>
                      <w:szCs w:val="18"/>
                      <w:lang w:bidi="ar"/>
                    </w:rPr>
                  </w:pPr>
                  <w:r>
                    <w:rPr>
                      <w:rFonts w:hint="eastAsia"/>
                      <w:sz w:val="18"/>
                      <w:szCs w:val="18"/>
                      <w:lang w:bidi="ar"/>
                    </w:rPr>
                    <w:t>1</w:t>
                  </w:r>
                </w:p>
              </w:tc>
              <w:tc>
                <w:tcPr>
                  <w:tcW w:w="536" w:type="pct"/>
                  <w:tcBorders>
                    <w:tl2br w:val="nil"/>
                    <w:tr2bl w:val="nil"/>
                  </w:tcBorders>
                  <w:vAlign w:val="center"/>
                </w:tcPr>
                <w:p w14:paraId="77EC515B">
                  <w:pPr>
                    <w:autoSpaceDE w:val="0"/>
                    <w:autoSpaceDN w:val="0"/>
                    <w:jc w:val="center"/>
                    <w:rPr>
                      <w:kern w:val="0"/>
                      <w:sz w:val="18"/>
                      <w:szCs w:val="18"/>
                    </w:rPr>
                  </w:pPr>
                  <w:r>
                    <w:rPr>
                      <w:rFonts w:hint="eastAsia"/>
                      <w:kern w:val="0"/>
                      <w:sz w:val="18"/>
                      <w:szCs w:val="18"/>
                    </w:rPr>
                    <w:t>风机</w:t>
                  </w:r>
                </w:p>
              </w:tc>
              <w:tc>
                <w:tcPr>
                  <w:tcW w:w="431" w:type="pct"/>
                  <w:tcBorders>
                    <w:tl2br w:val="nil"/>
                    <w:tr2bl w:val="nil"/>
                  </w:tcBorders>
                  <w:vAlign w:val="center"/>
                </w:tcPr>
                <w:p w14:paraId="27BB7CFD">
                  <w:pPr>
                    <w:jc w:val="center"/>
                    <w:rPr>
                      <w:kern w:val="0"/>
                      <w:sz w:val="18"/>
                      <w:szCs w:val="18"/>
                    </w:rPr>
                  </w:pPr>
                  <w:r>
                    <w:rPr>
                      <w:rFonts w:hint="eastAsia"/>
                      <w:kern w:val="0"/>
                      <w:sz w:val="18"/>
                      <w:szCs w:val="18"/>
                    </w:rPr>
                    <w:t>/</w:t>
                  </w:r>
                </w:p>
              </w:tc>
              <w:tc>
                <w:tcPr>
                  <w:tcW w:w="456" w:type="pct"/>
                  <w:tcBorders>
                    <w:tl2br w:val="nil"/>
                    <w:tr2bl w:val="nil"/>
                  </w:tcBorders>
                  <w:vAlign w:val="center"/>
                </w:tcPr>
                <w:p w14:paraId="719140FA">
                  <w:pPr>
                    <w:autoSpaceDE w:val="0"/>
                    <w:autoSpaceDN w:val="0"/>
                    <w:jc w:val="center"/>
                    <w:rPr>
                      <w:kern w:val="0"/>
                      <w:sz w:val="18"/>
                      <w:szCs w:val="18"/>
                    </w:rPr>
                  </w:pPr>
                  <w:r>
                    <w:rPr>
                      <w:rFonts w:hint="eastAsia"/>
                      <w:kern w:val="0"/>
                      <w:sz w:val="18"/>
                      <w:szCs w:val="18"/>
                    </w:rPr>
                    <w:t>-106.12</w:t>
                  </w:r>
                </w:p>
              </w:tc>
              <w:tc>
                <w:tcPr>
                  <w:tcW w:w="456" w:type="pct"/>
                  <w:tcBorders>
                    <w:tl2br w:val="nil"/>
                    <w:tr2bl w:val="nil"/>
                  </w:tcBorders>
                  <w:vAlign w:val="center"/>
                </w:tcPr>
                <w:p w14:paraId="71A3F3C9">
                  <w:pPr>
                    <w:autoSpaceDE w:val="0"/>
                    <w:autoSpaceDN w:val="0"/>
                    <w:jc w:val="center"/>
                    <w:rPr>
                      <w:kern w:val="0"/>
                      <w:sz w:val="18"/>
                      <w:szCs w:val="18"/>
                    </w:rPr>
                  </w:pPr>
                  <w:r>
                    <w:rPr>
                      <w:rFonts w:hint="eastAsia"/>
                      <w:kern w:val="0"/>
                      <w:sz w:val="18"/>
                      <w:szCs w:val="18"/>
                    </w:rPr>
                    <w:t>169.24</w:t>
                  </w:r>
                </w:p>
              </w:tc>
              <w:tc>
                <w:tcPr>
                  <w:tcW w:w="437" w:type="pct"/>
                  <w:tcBorders>
                    <w:tl2br w:val="nil"/>
                    <w:tr2bl w:val="nil"/>
                  </w:tcBorders>
                  <w:vAlign w:val="center"/>
                </w:tcPr>
                <w:p w14:paraId="1FD5C17E">
                  <w:pPr>
                    <w:autoSpaceDE w:val="0"/>
                    <w:autoSpaceDN w:val="0"/>
                    <w:jc w:val="center"/>
                    <w:rPr>
                      <w:kern w:val="0"/>
                      <w:sz w:val="18"/>
                      <w:szCs w:val="18"/>
                    </w:rPr>
                  </w:pPr>
                  <w:r>
                    <w:rPr>
                      <w:rFonts w:hint="eastAsia"/>
                      <w:kern w:val="0"/>
                      <w:sz w:val="18"/>
                      <w:szCs w:val="18"/>
                    </w:rPr>
                    <w:t>1.2</w:t>
                  </w:r>
                </w:p>
              </w:tc>
              <w:tc>
                <w:tcPr>
                  <w:tcW w:w="778" w:type="pct"/>
                  <w:tcBorders>
                    <w:tl2br w:val="nil"/>
                    <w:tr2bl w:val="nil"/>
                  </w:tcBorders>
                  <w:vAlign w:val="center"/>
                </w:tcPr>
                <w:p w14:paraId="13984935">
                  <w:pPr>
                    <w:jc w:val="center"/>
                    <w:rPr>
                      <w:kern w:val="0"/>
                      <w:sz w:val="18"/>
                      <w:szCs w:val="18"/>
                    </w:rPr>
                  </w:pPr>
                  <w:r>
                    <w:rPr>
                      <w:rFonts w:hint="eastAsia"/>
                      <w:kern w:val="0"/>
                      <w:sz w:val="18"/>
                      <w:szCs w:val="18"/>
                    </w:rPr>
                    <w:t>/</w:t>
                  </w:r>
                </w:p>
              </w:tc>
              <w:tc>
                <w:tcPr>
                  <w:tcW w:w="546" w:type="pct"/>
                  <w:tcBorders>
                    <w:tl2br w:val="nil"/>
                    <w:tr2bl w:val="nil"/>
                  </w:tcBorders>
                  <w:vAlign w:val="center"/>
                </w:tcPr>
                <w:p w14:paraId="2E25BFE0">
                  <w:pPr>
                    <w:jc w:val="center"/>
                    <w:rPr>
                      <w:kern w:val="0"/>
                      <w:sz w:val="18"/>
                      <w:szCs w:val="18"/>
                    </w:rPr>
                  </w:pPr>
                  <w:r>
                    <w:rPr>
                      <w:rFonts w:hint="eastAsia"/>
                      <w:kern w:val="0"/>
                      <w:sz w:val="18"/>
                      <w:szCs w:val="18"/>
                    </w:rPr>
                    <w:t>85</w:t>
                  </w:r>
                </w:p>
              </w:tc>
              <w:tc>
                <w:tcPr>
                  <w:tcW w:w="631" w:type="pct"/>
                  <w:tcBorders>
                    <w:tl2br w:val="nil"/>
                    <w:tr2bl w:val="nil"/>
                  </w:tcBorders>
                  <w:vAlign w:val="center"/>
                </w:tcPr>
                <w:p w14:paraId="304DBD34">
                  <w:pPr>
                    <w:jc w:val="center"/>
                    <w:rPr>
                      <w:kern w:val="0"/>
                      <w:sz w:val="18"/>
                      <w:szCs w:val="18"/>
                    </w:rPr>
                  </w:pPr>
                  <w:r>
                    <w:rPr>
                      <w:kern w:val="0"/>
                      <w:sz w:val="18"/>
                      <w:szCs w:val="18"/>
                    </w:rPr>
                    <w:t>低噪声设备、基础减振</w:t>
                  </w:r>
                </w:p>
              </w:tc>
              <w:tc>
                <w:tcPr>
                  <w:tcW w:w="409" w:type="pct"/>
                  <w:tcBorders>
                    <w:tl2br w:val="nil"/>
                    <w:tr2bl w:val="nil"/>
                  </w:tcBorders>
                  <w:vAlign w:val="center"/>
                </w:tcPr>
                <w:p w14:paraId="68644516">
                  <w:pPr>
                    <w:jc w:val="center"/>
                    <w:rPr>
                      <w:kern w:val="0"/>
                      <w:sz w:val="18"/>
                      <w:szCs w:val="18"/>
                    </w:rPr>
                  </w:pPr>
                  <w:r>
                    <w:rPr>
                      <w:rFonts w:hint="eastAsia"/>
                      <w:kern w:val="0"/>
                      <w:sz w:val="18"/>
                      <w:szCs w:val="18"/>
                    </w:rPr>
                    <w:t>24h</w:t>
                  </w:r>
                </w:p>
              </w:tc>
            </w:tr>
          </w:tbl>
          <w:p w14:paraId="2A3E40DC">
            <w:pPr>
              <w:spacing w:line="360" w:lineRule="auto"/>
              <w:ind w:firstLine="482" w:firstLineChars="200"/>
              <w:rPr>
                <w:rFonts w:hAnsi="宋体"/>
                <w:b/>
                <w:kern w:val="0"/>
                <w:sz w:val="24"/>
              </w:rPr>
            </w:pPr>
            <w:r>
              <w:rPr>
                <w:rFonts w:hint="eastAsia" w:hAnsi="宋体"/>
                <w:b/>
                <w:kern w:val="0"/>
                <w:sz w:val="24"/>
              </w:rPr>
              <w:t>2、基础数据</w:t>
            </w:r>
          </w:p>
          <w:p w14:paraId="4DF5E9DA">
            <w:pPr>
              <w:spacing w:line="360" w:lineRule="auto"/>
              <w:ind w:firstLine="480" w:firstLineChars="200"/>
              <w:rPr>
                <w:rFonts w:hAnsi="宋体"/>
                <w:kern w:val="0"/>
                <w:sz w:val="24"/>
              </w:rPr>
            </w:pPr>
            <w:r>
              <w:rPr>
                <w:rFonts w:hint="eastAsia" w:hAnsi="宋体"/>
                <w:kern w:val="0"/>
                <w:sz w:val="24"/>
              </w:rPr>
              <w:t>项目噪声环境影响预测基础数据见表4-16。</w:t>
            </w:r>
          </w:p>
          <w:p w14:paraId="7F464BA7">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4-16  项目噪声环境影响预测基础数据表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47"/>
              <w:gridCol w:w="2353"/>
              <w:gridCol w:w="2345"/>
              <w:gridCol w:w="2343"/>
            </w:tblGrid>
            <w:tr w14:paraId="13776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250" w:type="pct"/>
                  <w:vAlign w:val="center"/>
                </w:tcPr>
                <w:p w14:paraId="4486468E">
                  <w:pPr>
                    <w:overflowPunct w:val="0"/>
                    <w:snapToGrid w:val="0"/>
                    <w:jc w:val="center"/>
                    <w:rPr>
                      <w:rFonts w:eastAsiaTheme="minorEastAsia"/>
                      <w:b/>
                      <w:szCs w:val="21"/>
                    </w:rPr>
                  </w:pPr>
                  <w:r>
                    <w:rPr>
                      <w:rFonts w:eastAsiaTheme="minorEastAsia"/>
                      <w:b/>
                      <w:szCs w:val="21"/>
                    </w:rPr>
                    <w:t>序号</w:t>
                  </w:r>
                </w:p>
              </w:tc>
              <w:tc>
                <w:tcPr>
                  <w:tcW w:w="1253" w:type="pct"/>
                  <w:vAlign w:val="center"/>
                </w:tcPr>
                <w:p w14:paraId="4FD609F6">
                  <w:pPr>
                    <w:overflowPunct w:val="0"/>
                    <w:snapToGrid w:val="0"/>
                    <w:jc w:val="center"/>
                    <w:rPr>
                      <w:rFonts w:eastAsiaTheme="minorEastAsia"/>
                      <w:b/>
                      <w:szCs w:val="21"/>
                    </w:rPr>
                  </w:pPr>
                  <w:r>
                    <w:rPr>
                      <w:rFonts w:eastAsiaTheme="minorEastAsia"/>
                      <w:b/>
                      <w:szCs w:val="21"/>
                    </w:rPr>
                    <w:t>名称</w:t>
                  </w:r>
                </w:p>
              </w:tc>
              <w:tc>
                <w:tcPr>
                  <w:tcW w:w="1249" w:type="pct"/>
                  <w:vAlign w:val="center"/>
                </w:tcPr>
                <w:p w14:paraId="17177291">
                  <w:pPr>
                    <w:overflowPunct w:val="0"/>
                    <w:snapToGrid w:val="0"/>
                    <w:jc w:val="center"/>
                    <w:rPr>
                      <w:rFonts w:eastAsiaTheme="minorEastAsia"/>
                      <w:b/>
                      <w:szCs w:val="21"/>
                    </w:rPr>
                  </w:pPr>
                  <w:r>
                    <w:rPr>
                      <w:rFonts w:eastAsiaTheme="minorEastAsia"/>
                      <w:b/>
                      <w:szCs w:val="21"/>
                    </w:rPr>
                    <w:t>单位</w:t>
                  </w:r>
                </w:p>
              </w:tc>
              <w:tc>
                <w:tcPr>
                  <w:tcW w:w="1248" w:type="pct"/>
                  <w:vAlign w:val="center"/>
                </w:tcPr>
                <w:p w14:paraId="2A698866">
                  <w:pPr>
                    <w:overflowPunct w:val="0"/>
                    <w:snapToGrid w:val="0"/>
                    <w:jc w:val="center"/>
                    <w:rPr>
                      <w:rFonts w:eastAsiaTheme="minorEastAsia"/>
                      <w:b/>
                      <w:szCs w:val="21"/>
                    </w:rPr>
                  </w:pPr>
                  <w:r>
                    <w:rPr>
                      <w:rFonts w:eastAsiaTheme="minorEastAsia"/>
                      <w:b/>
                      <w:szCs w:val="21"/>
                    </w:rPr>
                    <w:t>数据</w:t>
                  </w:r>
                </w:p>
              </w:tc>
            </w:tr>
            <w:tr w14:paraId="69A888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52C6B01A">
                  <w:pPr>
                    <w:overflowPunct w:val="0"/>
                    <w:snapToGrid w:val="0"/>
                    <w:jc w:val="center"/>
                    <w:rPr>
                      <w:rFonts w:eastAsiaTheme="minorEastAsia"/>
                      <w:szCs w:val="21"/>
                    </w:rPr>
                  </w:pPr>
                  <w:r>
                    <w:rPr>
                      <w:rFonts w:hint="eastAsia" w:eastAsiaTheme="minorEastAsia"/>
                      <w:szCs w:val="21"/>
                    </w:rPr>
                    <w:t>1</w:t>
                  </w:r>
                </w:p>
              </w:tc>
              <w:tc>
                <w:tcPr>
                  <w:tcW w:w="1253" w:type="pct"/>
                  <w:vAlign w:val="center"/>
                </w:tcPr>
                <w:p w14:paraId="3F13A1AE">
                  <w:pPr>
                    <w:pStyle w:val="2"/>
                    <w:ind w:firstLine="210"/>
                    <w:jc w:val="center"/>
                    <w:rPr>
                      <w:rFonts w:eastAsiaTheme="minorEastAsia"/>
                      <w:color w:val="auto"/>
                      <w:szCs w:val="21"/>
                    </w:rPr>
                  </w:pPr>
                  <w:r>
                    <w:rPr>
                      <w:rFonts w:hint="eastAsia"/>
                      <w:color w:val="auto"/>
                      <w:sz w:val="21"/>
                      <w:szCs w:val="21"/>
                    </w:rPr>
                    <w:t>年平均风速</w:t>
                  </w:r>
                </w:p>
              </w:tc>
              <w:tc>
                <w:tcPr>
                  <w:tcW w:w="1249" w:type="pct"/>
                  <w:vAlign w:val="center"/>
                </w:tcPr>
                <w:p w14:paraId="1F4F3A0E">
                  <w:pPr>
                    <w:overflowPunct w:val="0"/>
                    <w:snapToGrid w:val="0"/>
                    <w:jc w:val="center"/>
                    <w:rPr>
                      <w:rFonts w:eastAsiaTheme="minorEastAsia"/>
                      <w:szCs w:val="21"/>
                    </w:rPr>
                  </w:pPr>
                  <w:r>
                    <w:rPr>
                      <w:rFonts w:hint="eastAsia" w:eastAsiaTheme="minorEastAsia"/>
                      <w:szCs w:val="21"/>
                    </w:rPr>
                    <w:t>m/s</w:t>
                  </w:r>
                </w:p>
              </w:tc>
              <w:tc>
                <w:tcPr>
                  <w:tcW w:w="1248" w:type="pct"/>
                  <w:vAlign w:val="center"/>
                </w:tcPr>
                <w:p w14:paraId="44C1A0A8">
                  <w:pPr>
                    <w:overflowPunct w:val="0"/>
                    <w:snapToGrid w:val="0"/>
                    <w:jc w:val="center"/>
                    <w:rPr>
                      <w:rFonts w:eastAsiaTheme="minorEastAsia"/>
                      <w:szCs w:val="21"/>
                    </w:rPr>
                  </w:pPr>
                  <w:r>
                    <w:rPr>
                      <w:rFonts w:hint="eastAsia" w:eastAsiaTheme="minorEastAsia"/>
                      <w:szCs w:val="21"/>
                    </w:rPr>
                    <w:t>1.9</w:t>
                  </w:r>
                </w:p>
              </w:tc>
            </w:tr>
            <w:tr w14:paraId="5741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7811D540">
                  <w:pPr>
                    <w:jc w:val="center"/>
                    <w:rPr>
                      <w:rFonts w:eastAsiaTheme="minorEastAsia"/>
                      <w:szCs w:val="21"/>
                    </w:rPr>
                  </w:pPr>
                  <w:r>
                    <w:rPr>
                      <w:rFonts w:hint="eastAsia" w:eastAsiaTheme="minorEastAsia"/>
                      <w:szCs w:val="21"/>
                    </w:rPr>
                    <w:t>2</w:t>
                  </w:r>
                </w:p>
              </w:tc>
              <w:tc>
                <w:tcPr>
                  <w:tcW w:w="1253" w:type="pct"/>
                  <w:vAlign w:val="center"/>
                </w:tcPr>
                <w:p w14:paraId="4F6A212B">
                  <w:pPr>
                    <w:jc w:val="center"/>
                    <w:rPr>
                      <w:rFonts w:eastAsiaTheme="minorEastAsia"/>
                      <w:szCs w:val="21"/>
                    </w:rPr>
                  </w:pPr>
                  <w:r>
                    <w:rPr>
                      <w:rFonts w:eastAsiaTheme="minorEastAsia"/>
                      <w:szCs w:val="21"/>
                    </w:rPr>
                    <w:t>主导风向</w:t>
                  </w:r>
                </w:p>
              </w:tc>
              <w:tc>
                <w:tcPr>
                  <w:tcW w:w="1249" w:type="pct"/>
                  <w:vAlign w:val="center"/>
                </w:tcPr>
                <w:p w14:paraId="7A879643">
                  <w:pPr>
                    <w:jc w:val="center"/>
                    <w:rPr>
                      <w:rFonts w:eastAsiaTheme="minorEastAsia"/>
                      <w:szCs w:val="21"/>
                    </w:rPr>
                  </w:pPr>
                  <w:r>
                    <w:rPr>
                      <w:rFonts w:hint="eastAsia" w:eastAsiaTheme="minorEastAsia"/>
                      <w:szCs w:val="21"/>
                    </w:rPr>
                    <w:t>/</w:t>
                  </w:r>
                </w:p>
              </w:tc>
              <w:tc>
                <w:tcPr>
                  <w:tcW w:w="1248" w:type="pct"/>
                  <w:vAlign w:val="center"/>
                </w:tcPr>
                <w:p w14:paraId="6604A4E4">
                  <w:pPr>
                    <w:overflowPunct w:val="0"/>
                    <w:snapToGrid w:val="0"/>
                    <w:jc w:val="center"/>
                    <w:rPr>
                      <w:rFonts w:eastAsiaTheme="minorEastAsia"/>
                      <w:szCs w:val="21"/>
                    </w:rPr>
                  </w:pPr>
                  <w:r>
                    <w:rPr>
                      <w:rFonts w:hint="eastAsia" w:eastAsiaTheme="minorEastAsia"/>
                      <w:szCs w:val="21"/>
                    </w:rPr>
                    <w:t>北</w:t>
                  </w:r>
                </w:p>
              </w:tc>
            </w:tr>
            <w:tr w14:paraId="124B6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0506C6B5">
                  <w:pPr>
                    <w:jc w:val="center"/>
                    <w:rPr>
                      <w:rFonts w:eastAsiaTheme="minorEastAsia"/>
                      <w:szCs w:val="21"/>
                    </w:rPr>
                  </w:pPr>
                  <w:r>
                    <w:rPr>
                      <w:rFonts w:hint="eastAsia" w:eastAsiaTheme="minorEastAsia"/>
                      <w:szCs w:val="21"/>
                    </w:rPr>
                    <w:t>3</w:t>
                  </w:r>
                </w:p>
              </w:tc>
              <w:tc>
                <w:tcPr>
                  <w:tcW w:w="1253" w:type="pct"/>
                  <w:vAlign w:val="center"/>
                </w:tcPr>
                <w:p w14:paraId="0646C845">
                  <w:pPr>
                    <w:jc w:val="center"/>
                    <w:rPr>
                      <w:rFonts w:eastAsiaTheme="minorEastAsia"/>
                      <w:szCs w:val="21"/>
                    </w:rPr>
                  </w:pPr>
                  <w:r>
                    <w:rPr>
                      <w:rFonts w:eastAsiaTheme="minorEastAsia"/>
                      <w:szCs w:val="21"/>
                    </w:rPr>
                    <w:t>年平均气温</w:t>
                  </w:r>
                </w:p>
              </w:tc>
              <w:tc>
                <w:tcPr>
                  <w:tcW w:w="1249" w:type="pct"/>
                  <w:vAlign w:val="center"/>
                </w:tcPr>
                <w:p w14:paraId="0F269AA4">
                  <w:pPr>
                    <w:jc w:val="center"/>
                    <w:rPr>
                      <w:rFonts w:eastAsiaTheme="minorEastAsia"/>
                      <w:szCs w:val="21"/>
                    </w:rPr>
                  </w:pPr>
                  <w:r>
                    <w:rPr>
                      <w:rFonts w:eastAsiaTheme="minorEastAsia"/>
                      <w:szCs w:val="21"/>
                    </w:rPr>
                    <w:t>℃</w:t>
                  </w:r>
                </w:p>
              </w:tc>
              <w:tc>
                <w:tcPr>
                  <w:tcW w:w="1248" w:type="pct"/>
                  <w:vAlign w:val="center"/>
                </w:tcPr>
                <w:p w14:paraId="41D2FF35">
                  <w:pPr>
                    <w:overflowPunct w:val="0"/>
                    <w:snapToGrid w:val="0"/>
                    <w:jc w:val="center"/>
                    <w:rPr>
                      <w:rFonts w:eastAsiaTheme="minorEastAsia"/>
                      <w:szCs w:val="21"/>
                    </w:rPr>
                  </w:pPr>
                  <w:r>
                    <w:rPr>
                      <w:rFonts w:hint="eastAsia" w:eastAsiaTheme="minorEastAsia"/>
                      <w:szCs w:val="21"/>
                    </w:rPr>
                    <w:t>18.5</w:t>
                  </w:r>
                </w:p>
              </w:tc>
            </w:tr>
            <w:tr w14:paraId="0CD882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6058DEAA">
                  <w:pPr>
                    <w:jc w:val="center"/>
                    <w:rPr>
                      <w:rFonts w:eastAsiaTheme="minorEastAsia"/>
                      <w:szCs w:val="21"/>
                    </w:rPr>
                  </w:pPr>
                  <w:r>
                    <w:rPr>
                      <w:rFonts w:hint="eastAsia" w:eastAsiaTheme="minorEastAsia"/>
                      <w:szCs w:val="21"/>
                    </w:rPr>
                    <w:t>4</w:t>
                  </w:r>
                </w:p>
              </w:tc>
              <w:tc>
                <w:tcPr>
                  <w:tcW w:w="1253" w:type="pct"/>
                  <w:vAlign w:val="center"/>
                </w:tcPr>
                <w:p w14:paraId="234D6718">
                  <w:pPr>
                    <w:jc w:val="center"/>
                    <w:rPr>
                      <w:rFonts w:eastAsiaTheme="minorEastAsia"/>
                      <w:szCs w:val="21"/>
                    </w:rPr>
                  </w:pPr>
                  <w:r>
                    <w:rPr>
                      <w:rFonts w:eastAsiaTheme="minorEastAsia"/>
                      <w:szCs w:val="21"/>
                    </w:rPr>
                    <w:t>年平均相对湿度</w:t>
                  </w:r>
                </w:p>
              </w:tc>
              <w:tc>
                <w:tcPr>
                  <w:tcW w:w="1249" w:type="pct"/>
                  <w:vAlign w:val="center"/>
                </w:tcPr>
                <w:p w14:paraId="4CA87DD1">
                  <w:pPr>
                    <w:jc w:val="center"/>
                    <w:rPr>
                      <w:rFonts w:eastAsiaTheme="minorEastAsia"/>
                      <w:szCs w:val="21"/>
                    </w:rPr>
                  </w:pPr>
                  <w:r>
                    <w:rPr>
                      <w:rFonts w:eastAsiaTheme="minorEastAsia"/>
                      <w:szCs w:val="21"/>
                    </w:rPr>
                    <w:t>%</w:t>
                  </w:r>
                </w:p>
              </w:tc>
              <w:tc>
                <w:tcPr>
                  <w:tcW w:w="1248" w:type="pct"/>
                  <w:vAlign w:val="center"/>
                </w:tcPr>
                <w:p w14:paraId="28F9B396">
                  <w:pPr>
                    <w:overflowPunct w:val="0"/>
                    <w:snapToGrid w:val="0"/>
                    <w:jc w:val="center"/>
                    <w:rPr>
                      <w:rFonts w:eastAsiaTheme="minorEastAsia"/>
                      <w:szCs w:val="21"/>
                    </w:rPr>
                  </w:pPr>
                  <w:r>
                    <w:rPr>
                      <w:rFonts w:hint="eastAsia" w:eastAsiaTheme="minorEastAsia"/>
                      <w:szCs w:val="21"/>
                    </w:rPr>
                    <w:t>76.5</w:t>
                  </w:r>
                </w:p>
              </w:tc>
            </w:tr>
            <w:tr w14:paraId="43F15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14:paraId="1CC63FC9">
                  <w:pPr>
                    <w:jc w:val="center"/>
                    <w:rPr>
                      <w:rFonts w:eastAsiaTheme="minorEastAsia"/>
                      <w:szCs w:val="21"/>
                    </w:rPr>
                  </w:pPr>
                  <w:r>
                    <w:rPr>
                      <w:rFonts w:hint="eastAsia" w:eastAsiaTheme="minorEastAsia"/>
                      <w:szCs w:val="21"/>
                    </w:rPr>
                    <w:t>5</w:t>
                  </w:r>
                </w:p>
              </w:tc>
              <w:tc>
                <w:tcPr>
                  <w:tcW w:w="1253" w:type="pct"/>
                  <w:vAlign w:val="center"/>
                </w:tcPr>
                <w:p w14:paraId="1BC173EF">
                  <w:pPr>
                    <w:jc w:val="center"/>
                    <w:rPr>
                      <w:rFonts w:eastAsiaTheme="minorEastAsia"/>
                      <w:szCs w:val="21"/>
                    </w:rPr>
                  </w:pPr>
                  <w:r>
                    <w:rPr>
                      <w:rFonts w:eastAsiaTheme="minorEastAsia"/>
                      <w:szCs w:val="21"/>
                    </w:rPr>
                    <w:t>大气压强</w:t>
                  </w:r>
                </w:p>
              </w:tc>
              <w:tc>
                <w:tcPr>
                  <w:tcW w:w="1249" w:type="pct"/>
                  <w:vAlign w:val="center"/>
                </w:tcPr>
                <w:p w14:paraId="0C32778D">
                  <w:pPr>
                    <w:jc w:val="center"/>
                    <w:rPr>
                      <w:rFonts w:eastAsiaTheme="minorEastAsia"/>
                      <w:szCs w:val="21"/>
                    </w:rPr>
                  </w:pPr>
                  <w:r>
                    <w:rPr>
                      <w:rFonts w:hint="eastAsia" w:eastAsiaTheme="minorEastAsia"/>
                      <w:szCs w:val="21"/>
                    </w:rPr>
                    <w:t>atm</w:t>
                  </w:r>
                </w:p>
              </w:tc>
              <w:tc>
                <w:tcPr>
                  <w:tcW w:w="1248" w:type="pct"/>
                  <w:vAlign w:val="center"/>
                </w:tcPr>
                <w:p w14:paraId="1972F217">
                  <w:pPr>
                    <w:overflowPunct w:val="0"/>
                    <w:snapToGrid w:val="0"/>
                    <w:jc w:val="center"/>
                    <w:rPr>
                      <w:rFonts w:eastAsiaTheme="minorEastAsia"/>
                      <w:szCs w:val="21"/>
                    </w:rPr>
                  </w:pPr>
                  <w:r>
                    <w:rPr>
                      <w:rFonts w:hint="eastAsia" w:eastAsiaTheme="minorEastAsia"/>
                      <w:szCs w:val="21"/>
                    </w:rPr>
                    <w:t>1</w:t>
                  </w:r>
                </w:p>
              </w:tc>
            </w:tr>
          </w:tbl>
          <w:p w14:paraId="63696A41">
            <w:pPr>
              <w:spacing w:line="360" w:lineRule="auto"/>
              <w:ind w:firstLine="480" w:firstLineChars="200"/>
              <w:rPr>
                <w:rFonts w:hAnsi="宋体"/>
                <w:kern w:val="0"/>
                <w:sz w:val="24"/>
              </w:rPr>
            </w:pPr>
            <w:r>
              <w:rPr>
                <w:rFonts w:hint="eastAsia" w:hAnsi="宋体"/>
                <w:kern w:val="0"/>
                <w:sz w:val="24"/>
              </w:rPr>
              <w:t>声源和预测点间的地形、高差、障碍物、树林、灌木等的分布情况以及地面覆盖情况（如草地、水面、水泥地面、土质地面等）根据现场踏勘、项目总平</w:t>
            </w:r>
            <w:r>
              <w:rPr>
                <w:rFonts w:hint="eastAsia" w:hAnsi="宋体"/>
                <w:kern w:val="0"/>
                <w:sz w:val="24"/>
                <w:lang w:val="en-US" w:eastAsia="zh-CN"/>
              </w:rPr>
              <w:t>面</w:t>
            </w:r>
            <w:r>
              <w:rPr>
                <w:rFonts w:hint="eastAsia" w:hAnsi="宋体"/>
                <w:kern w:val="0"/>
                <w:sz w:val="24"/>
              </w:rPr>
              <w:t>图等，并结合卫星图片地理信息数据确定，数据精度为</w:t>
            </w:r>
            <w:r>
              <w:rPr>
                <w:rFonts w:hAnsi="宋体"/>
                <w:kern w:val="0"/>
                <w:sz w:val="24"/>
              </w:rPr>
              <w:t>10m</w:t>
            </w:r>
            <w:r>
              <w:rPr>
                <w:rFonts w:hint="eastAsia" w:hAnsi="宋体"/>
                <w:kern w:val="0"/>
                <w:sz w:val="24"/>
              </w:rPr>
              <w:t>。</w:t>
            </w:r>
          </w:p>
          <w:p w14:paraId="779A0CB9">
            <w:pPr>
              <w:spacing w:line="360" w:lineRule="auto"/>
              <w:ind w:firstLine="482" w:firstLineChars="200"/>
              <w:rPr>
                <w:rFonts w:hAnsi="宋体"/>
                <w:b/>
                <w:kern w:val="0"/>
                <w:sz w:val="24"/>
              </w:rPr>
            </w:pPr>
            <w:r>
              <w:rPr>
                <w:rFonts w:hint="eastAsia" w:hAnsi="宋体"/>
                <w:b/>
                <w:kern w:val="0"/>
                <w:sz w:val="24"/>
              </w:rPr>
              <w:t>3、预测模型</w:t>
            </w:r>
          </w:p>
          <w:p w14:paraId="27824406">
            <w:pPr>
              <w:spacing w:line="360" w:lineRule="auto"/>
              <w:ind w:firstLine="480" w:firstLineChars="200"/>
              <w:rPr>
                <w:rFonts w:hAnsi="宋体"/>
                <w:kern w:val="0"/>
                <w:sz w:val="24"/>
              </w:rPr>
            </w:pPr>
            <w:r>
              <w:rPr>
                <w:rFonts w:hint="eastAsia" w:hAnsi="宋体"/>
                <w:kern w:val="0"/>
                <w:sz w:val="24"/>
              </w:rPr>
              <w:t>预测模式采用 HJ2.4-2021 推荐的室外点声源衰预测模式和室内声源等效为室外声源预测模式，具体如下。</w:t>
            </w:r>
          </w:p>
          <w:p w14:paraId="616ED61C">
            <w:pPr>
              <w:spacing w:line="360" w:lineRule="auto"/>
              <w:ind w:firstLine="480" w:firstLineChars="200"/>
              <w:rPr>
                <w:rFonts w:hAnsi="宋体"/>
                <w:kern w:val="0"/>
                <w:sz w:val="24"/>
              </w:rPr>
            </w:pPr>
            <w:r>
              <w:rPr>
                <w:rFonts w:hint="eastAsia" w:hAnsi="宋体"/>
                <w:kern w:val="0"/>
                <w:sz w:val="24"/>
              </w:rPr>
              <w:t>（1）室外的点声源在预测点产生的声级计算基本公式</w:t>
            </w:r>
          </w:p>
          <w:p w14:paraId="29ADE7E7">
            <w:pPr>
              <w:spacing w:line="360" w:lineRule="auto"/>
              <w:ind w:firstLine="480" w:firstLineChars="200"/>
              <w:rPr>
                <w:rFonts w:hAnsi="宋体"/>
                <w:kern w:val="0"/>
                <w:sz w:val="24"/>
              </w:rPr>
            </w:pPr>
            <w:r>
              <w:rPr>
                <w:rFonts w:hint="eastAsia" w:hAnsi="宋体"/>
                <w:kern w:val="0"/>
                <w:sz w:val="24"/>
              </w:rPr>
              <w:t>本次室外声源传播衰减不考虑大气吸收、地面效应、障碍物屏蔽等因素引起的噪声衰减，仅考虑几何发散引起的噪声衰减，根据 HJ2.4-2021，声源处于半自由场时，几何发散引起的噪声衰减采用如下公式进行计算：</w:t>
            </w:r>
          </w:p>
          <w:p w14:paraId="76409D85">
            <w:pPr>
              <w:spacing w:line="360" w:lineRule="auto"/>
              <w:jc w:val="center"/>
              <w:rPr>
                <w:rFonts w:hAnsi="宋体"/>
                <w:b/>
                <w:kern w:val="0"/>
                <w:sz w:val="24"/>
              </w:rPr>
            </w:pPr>
            <w:r>
              <w:drawing>
                <wp:inline distT="0" distB="0" distL="0" distR="0">
                  <wp:extent cx="2780665" cy="33274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780953" cy="333333"/>
                          </a:xfrm>
                          <a:prstGeom prst="rect">
                            <a:avLst/>
                          </a:prstGeom>
                        </pic:spPr>
                      </pic:pic>
                    </a:graphicData>
                  </a:graphic>
                </wp:inline>
              </w:drawing>
            </w:r>
          </w:p>
          <w:p w14:paraId="3303B9BF">
            <w:pPr>
              <w:spacing w:line="360" w:lineRule="auto"/>
              <w:ind w:firstLine="480" w:firstLineChars="200"/>
              <w:rPr>
                <w:rFonts w:hAnsi="宋体"/>
                <w:kern w:val="0"/>
                <w:sz w:val="24"/>
              </w:rPr>
            </w:pPr>
            <w:r>
              <w:rPr>
                <w:rFonts w:hint="eastAsia" w:hAnsi="宋体"/>
                <w:kern w:val="0"/>
                <w:sz w:val="24"/>
              </w:rPr>
              <w:t>式中：LA(r)—距声源r处的A声级，dB（A）；</w:t>
            </w:r>
          </w:p>
          <w:p w14:paraId="17D3029D">
            <w:pPr>
              <w:spacing w:line="360" w:lineRule="auto"/>
              <w:ind w:firstLine="1200" w:firstLineChars="500"/>
              <w:rPr>
                <w:rFonts w:hAnsi="宋体"/>
                <w:kern w:val="0"/>
                <w:sz w:val="24"/>
              </w:rPr>
            </w:pPr>
            <w:r>
              <w:rPr>
                <w:rFonts w:hint="eastAsia" w:hAnsi="宋体"/>
                <w:kern w:val="0"/>
                <w:sz w:val="24"/>
              </w:rPr>
              <w:t>LAw—点声源处计权声功率级A声级，dB；</w:t>
            </w:r>
          </w:p>
          <w:p w14:paraId="11259D49">
            <w:pPr>
              <w:spacing w:line="360" w:lineRule="auto"/>
              <w:ind w:firstLine="1200" w:firstLineChars="500"/>
              <w:rPr>
                <w:rFonts w:hAnsi="宋体"/>
                <w:kern w:val="0"/>
                <w:sz w:val="24"/>
              </w:rPr>
            </w:pPr>
            <w:r>
              <w:rPr>
                <w:rFonts w:hint="eastAsia" w:hAnsi="宋体"/>
                <w:kern w:val="0"/>
                <w:sz w:val="24"/>
              </w:rPr>
              <w:t>r—预测点距声源的距离，m（见下表1、2、3）；</w:t>
            </w:r>
          </w:p>
          <w:p w14:paraId="0E6B688F">
            <w:pPr>
              <w:spacing w:line="360" w:lineRule="auto"/>
              <w:ind w:firstLine="480" w:firstLineChars="200"/>
              <w:rPr>
                <w:rFonts w:hAnsi="宋体"/>
                <w:kern w:val="0"/>
                <w:sz w:val="24"/>
              </w:rPr>
            </w:pPr>
            <w:r>
              <w:rPr>
                <w:rFonts w:hint="eastAsia" w:hAnsi="宋体"/>
                <w:kern w:val="0"/>
                <w:sz w:val="24"/>
              </w:rPr>
              <w:t>（2）室内声源等效为室外声源计算基本公式</w:t>
            </w:r>
          </w:p>
          <w:p w14:paraId="24BF163C">
            <w:pPr>
              <w:spacing w:line="360" w:lineRule="auto"/>
              <w:ind w:firstLine="480" w:firstLineChars="200"/>
              <w:rPr>
                <w:rFonts w:hAnsi="宋体"/>
                <w:kern w:val="0"/>
                <w:sz w:val="24"/>
              </w:rPr>
            </w:pPr>
            <w:r>
              <w:rPr>
                <w:rFonts w:hint="eastAsia" w:hAnsi="宋体"/>
                <w:kern w:val="0"/>
                <w:sz w:val="24"/>
              </w:rPr>
              <w:t>根据 HJ2.4-2021 中“附录B.1.3 室内声源等效室外声源声功率级计算方法”，室内声源等效为室外声源可按如下步骤进行。如图4-1所示，声源位于室内，室内声源可采用等效室外声源声功率级法进行计算。设靠近开口处（或窗户）室内、室外A声级分别为L</w:t>
            </w:r>
            <w:r>
              <w:rPr>
                <w:rFonts w:hint="eastAsia" w:hAnsi="宋体"/>
                <w:kern w:val="0"/>
                <w:sz w:val="24"/>
                <w:vertAlign w:val="subscript"/>
              </w:rPr>
              <w:t>p1</w:t>
            </w:r>
            <w:r>
              <w:rPr>
                <w:rFonts w:hint="eastAsia" w:hAnsi="宋体"/>
                <w:kern w:val="0"/>
                <w:sz w:val="24"/>
              </w:rPr>
              <w:t>和L</w:t>
            </w:r>
            <w:r>
              <w:rPr>
                <w:rFonts w:hint="eastAsia" w:hAnsi="宋体"/>
                <w:kern w:val="0"/>
                <w:sz w:val="24"/>
                <w:vertAlign w:val="subscript"/>
              </w:rPr>
              <w:t>p2</w:t>
            </w:r>
            <w:r>
              <w:rPr>
                <w:rFonts w:hint="eastAsia" w:hAnsi="宋体"/>
                <w:kern w:val="0"/>
                <w:sz w:val="24"/>
              </w:rPr>
              <w:t>。若声源所在室内声场为近似扩散声场，则室外的A声级可按下式近似求出，然后按室外声源预测方法计算预测点出的A声级。</w:t>
            </w:r>
          </w:p>
          <w:p w14:paraId="18620D19">
            <w:pPr>
              <w:widowControl/>
              <w:adjustRightInd w:val="0"/>
              <w:snapToGrid w:val="0"/>
              <w:spacing w:line="360" w:lineRule="auto"/>
              <w:ind w:firstLine="480" w:firstLineChars="200"/>
              <w:jc w:val="center"/>
              <w:rPr>
                <w:sz w:val="24"/>
              </w:rPr>
            </w:pPr>
            <w:r>
              <w:rPr>
                <w:sz w:val="24"/>
              </w:rPr>
              <w:drawing>
                <wp:inline distT="0" distB="0" distL="0" distR="0">
                  <wp:extent cx="3609975" cy="1743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b="8575"/>
                          <a:stretch>
                            <a:fillRect/>
                          </a:stretch>
                        </pic:blipFill>
                        <pic:spPr>
                          <a:xfrm>
                            <a:off x="0" y="0"/>
                            <a:ext cx="3609975" cy="1743075"/>
                          </a:xfrm>
                          <a:prstGeom prst="rect">
                            <a:avLst/>
                          </a:prstGeom>
                          <a:noFill/>
                          <a:ln>
                            <a:noFill/>
                          </a:ln>
                        </pic:spPr>
                      </pic:pic>
                    </a:graphicData>
                  </a:graphic>
                </wp:inline>
              </w:drawing>
            </w:r>
          </w:p>
          <w:p w14:paraId="4A86CC29">
            <w:pPr>
              <w:widowControl/>
              <w:adjustRightInd w:val="0"/>
              <w:snapToGrid w:val="0"/>
              <w:spacing w:after="120" w:afterLines="50"/>
              <w:jc w:val="center"/>
              <w:rPr>
                <w:b/>
                <w:bCs/>
                <w:szCs w:val="21"/>
              </w:rPr>
            </w:pPr>
            <w:r>
              <w:rPr>
                <w:rFonts w:hint="eastAsia"/>
                <w:b/>
                <w:bCs/>
                <w:szCs w:val="21"/>
              </w:rPr>
              <w:t>图4</w:t>
            </w:r>
            <w:r>
              <w:rPr>
                <w:rFonts w:hint="eastAsia"/>
                <w:b/>
                <w:bCs/>
                <w:szCs w:val="21"/>
              </w:rPr>
              <w:noBreakHyphen/>
            </w:r>
            <w:r>
              <w:rPr>
                <w:rFonts w:hint="eastAsia"/>
                <w:b/>
                <w:bCs/>
                <w:szCs w:val="21"/>
              </w:rPr>
              <w:t>1  室内声源等效为室外声源图例</w:t>
            </w:r>
          </w:p>
          <w:p w14:paraId="4E1B0739">
            <w:pPr>
              <w:pStyle w:val="4"/>
              <w:ind w:left="0" w:leftChars="0" w:firstLine="0" w:firstLineChars="0"/>
              <w:jc w:val="center"/>
            </w:pPr>
            <w:r>
              <w:drawing>
                <wp:inline distT="0" distB="0" distL="0" distR="0">
                  <wp:extent cx="2723515" cy="2565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2723810" cy="257143"/>
                          </a:xfrm>
                          <a:prstGeom prst="rect">
                            <a:avLst/>
                          </a:prstGeom>
                        </pic:spPr>
                      </pic:pic>
                    </a:graphicData>
                  </a:graphic>
                </wp:inline>
              </w:drawing>
            </w:r>
          </w:p>
          <w:p w14:paraId="27269C38">
            <w:pPr>
              <w:spacing w:line="360" w:lineRule="auto"/>
              <w:ind w:firstLine="480" w:firstLineChars="200"/>
              <w:rPr>
                <w:rFonts w:hAnsi="宋体"/>
                <w:kern w:val="0"/>
                <w:sz w:val="24"/>
              </w:rPr>
            </w:pPr>
            <w:r>
              <w:rPr>
                <w:rFonts w:hint="eastAsia" w:hAnsi="宋体"/>
                <w:kern w:val="0"/>
                <w:sz w:val="24"/>
              </w:rPr>
              <w:t>式中：L</w:t>
            </w:r>
            <w:r>
              <w:rPr>
                <w:rFonts w:hint="eastAsia" w:hAnsi="宋体"/>
                <w:kern w:val="0"/>
                <w:sz w:val="24"/>
                <w:vertAlign w:val="subscript"/>
              </w:rPr>
              <w:t>p1</w:t>
            </w:r>
            <w:r>
              <w:rPr>
                <w:rFonts w:hint="eastAsia" w:hAnsi="宋体"/>
                <w:kern w:val="0"/>
                <w:sz w:val="24"/>
              </w:rPr>
              <w:t>—靠近开口处（或窗户）室内A声级，dB；</w:t>
            </w:r>
          </w:p>
          <w:p w14:paraId="5102C370">
            <w:pPr>
              <w:spacing w:line="360" w:lineRule="auto"/>
              <w:ind w:firstLine="1200" w:firstLineChars="500"/>
              <w:rPr>
                <w:rFonts w:hAnsi="宋体"/>
                <w:kern w:val="0"/>
                <w:sz w:val="24"/>
              </w:rPr>
            </w:pPr>
            <w:r>
              <w:rPr>
                <w:rFonts w:hint="eastAsia" w:hAnsi="宋体"/>
                <w:kern w:val="0"/>
                <w:sz w:val="24"/>
              </w:rPr>
              <w:t>L</w:t>
            </w:r>
            <w:r>
              <w:rPr>
                <w:rFonts w:hint="eastAsia" w:hAnsi="宋体"/>
                <w:kern w:val="0"/>
                <w:sz w:val="24"/>
                <w:vertAlign w:val="subscript"/>
              </w:rPr>
              <w:t>p2</w:t>
            </w:r>
            <w:r>
              <w:rPr>
                <w:rFonts w:hint="eastAsia" w:hAnsi="宋体"/>
                <w:kern w:val="0"/>
                <w:sz w:val="24"/>
              </w:rPr>
              <w:t>—靠近开口处（或窗户）室外A声级，dB；</w:t>
            </w:r>
          </w:p>
          <w:p w14:paraId="4101CF80">
            <w:pPr>
              <w:spacing w:line="360" w:lineRule="auto"/>
              <w:ind w:firstLine="1200" w:firstLineChars="500"/>
              <w:rPr>
                <w:rFonts w:hAnsi="宋体"/>
                <w:kern w:val="0"/>
                <w:sz w:val="24"/>
              </w:rPr>
            </w:pPr>
            <w:r>
              <w:rPr>
                <w:rFonts w:hint="eastAsia" w:hAnsi="宋体"/>
                <w:kern w:val="0"/>
                <w:sz w:val="24"/>
              </w:rPr>
              <w:t>TL—隔墙（或窗户）的隔声量，dB。</w:t>
            </w:r>
          </w:p>
          <w:p w14:paraId="4BEFB155">
            <w:pPr>
              <w:pStyle w:val="2"/>
              <w:jc w:val="center"/>
              <w:rPr>
                <w:color w:val="auto"/>
              </w:rPr>
            </w:pPr>
            <w:r>
              <w:rPr>
                <w:color w:val="auto"/>
              </w:rPr>
              <w:drawing>
                <wp:inline distT="0" distB="0" distL="0" distR="0">
                  <wp:extent cx="3533140" cy="6470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3533334" cy="647619"/>
                          </a:xfrm>
                          <a:prstGeom prst="rect">
                            <a:avLst/>
                          </a:prstGeom>
                        </pic:spPr>
                      </pic:pic>
                    </a:graphicData>
                  </a:graphic>
                </wp:inline>
              </w:drawing>
            </w:r>
          </w:p>
          <w:p w14:paraId="63E38F42">
            <w:pPr>
              <w:spacing w:line="360" w:lineRule="auto"/>
              <w:ind w:firstLine="480" w:firstLineChars="200"/>
              <w:rPr>
                <w:rFonts w:hAnsi="宋体"/>
                <w:kern w:val="0"/>
                <w:sz w:val="24"/>
              </w:rPr>
            </w:pPr>
            <w:r>
              <w:rPr>
                <w:rFonts w:hint="eastAsia" w:hAnsi="宋体"/>
                <w:kern w:val="0"/>
                <w:sz w:val="24"/>
              </w:rPr>
              <w:t>式中：L</w:t>
            </w:r>
            <w:r>
              <w:rPr>
                <w:rFonts w:hint="eastAsia" w:hAnsi="宋体"/>
                <w:kern w:val="0"/>
                <w:sz w:val="24"/>
                <w:vertAlign w:val="subscript"/>
              </w:rPr>
              <w:t>p1</w:t>
            </w:r>
            <w:r>
              <w:rPr>
                <w:rFonts w:hint="eastAsia" w:hAnsi="宋体"/>
                <w:kern w:val="0"/>
                <w:sz w:val="24"/>
              </w:rPr>
              <w:t>—靠近开口处（或窗户）室内A声级，dB；</w:t>
            </w:r>
          </w:p>
          <w:p w14:paraId="5FD567BF">
            <w:pPr>
              <w:spacing w:line="360" w:lineRule="auto"/>
              <w:ind w:firstLine="1200" w:firstLineChars="500"/>
              <w:rPr>
                <w:rFonts w:hAnsi="宋体"/>
                <w:kern w:val="0"/>
                <w:sz w:val="24"/>
              </w:rPr>
            </w:pPr>
            <w:r>
              <w:rPr>
                <w:rFonts w:hint="eastAsia" w:hAnsi="宋体"/>
                <w:kern w:val="0"/>
                <w:sz w:val="24"/>
              </w:rPr>
              <w:t>Lw—点声源声功率级（A计权或倍频带），dB；</w:t>
            </w:r>
          </w:p>
          <w:p w14:paraId="73493147">
            <w:pPr>
              <w:spacing w:line="360" w:lineRule="auto"/>
              <w:ind w:firstLine="1200" w:firstLineChars="500"/>
              <w:rPr>
                <w:rFonts w:hAnsi="宋体"/>
                <w:kern w:val="0"/>
                <w:sz w:val="24"/>
              </w:rPr>
            </w:pPr>
            <w:r>
              <w:rPr>
                <w:rFonts w:hint="eastAsia" w:hAnsi="宋体"/>
                <w:kern w:val="0"/>
                <w:sz w:val="24"/>
              </w:rPr>
              <w:t>Q—指向性因素；通常对无指向性声源，当声源放在房间中心时，Q=1；当放在一面墙的中心时，Q=2；当放在两面墙夹角处时，Q=4；当放在三面墙夹角处时，Q=8；</w:t>
            </w:r>
          </w:p>
          <w:p w14:paraId="4D93BCEE">
            <w:pPr>
              <w:spacing w:line="360" w:lineRule="auto"/>
              <w:ind w:firstLine="1200" w:firstLineChars="500"/>
              <w:rPr>
                <w:rFonts w:hAnsi="宋体"/>
                <w:kern w:val="0"/>
                <w:sz w:val="24"/>
              </w:rPr>
            </w:pPr>
            <w:r>
              <w:rPr>
                <w:rFonts w:hint="eastAsia" w:hAnsi="宋体"/>
                <w:kern w:val="0"/>
                <w:sz w:val="24"/>
              </w:rPr>
              <w:t>R—房间常数；R=Sa/(1-a)，S为房间内表面面积，m</w:t>
            </w:r>
            <w:r>
              <w:rPr>
                <w:rFonts w:hint="eastAsia" w:hAnsi="宋体"/>
                <w:kern w:val="0"/>
                <w:sz w:val="24"/>
                <w:vertAlign w:val="superscript"/>
              </w:rPr>
              <w:t>2</w:t>
            </w:r>
            <w:r>
              <w:rPr>
                <w:rFonts w:hint="eastAsia" w:hAnsi="宋体"/>
                <w:kern w:val="0"/>
                <w:sz w:val="24"/>
              </w:rPr>
              <w:t>，a为平均吸声系数，取0.1；</w:t>
            </w:r>
          </w:p>
          <w:p w14:paraId="56F12E33">
            <w:pPr>
              <w:spacing w:line="360" w:lineRule="auto"/>
              <w:ind w:firstLine="1200" w:firstLineChars="500"/>
              <w:rPr>
                <w:rFonts w:hAnsi="宋体"/>
                <w:kern w:val="0"/>
                <w:sz w:val="24"/>
              </w:rPr>
            </w:pPr>
            <w:r>
              <w:rPr>
                <w:rFonts w:hint="eastAsia" w:hAnsi="宋体"/>
                <w:kern w:val="0"/>
                <w:sz w:val="24"/>
              </w:rPr>
              <w:t>r—声源到靠近围护结构某点处的距离，m。</w:t>
            </w:r>
          </w:p>
          <w:p w14:paraId="28A1E084">
            <w:pPr>
              <w:spacing w:line="360" w:lineRule="auto"/>
              <w:ind w:firstLine="480" w:firstLineChars="200"/>
              <w:rPr>
                <w:rFonts w:hAnsi="宋体"/>
                <w:kern w:val="0"/>
                <w:sz w:val="24"/>
              </w:rPr>
            </w:pPr>
            <w:r>
              <w:rPr>
                <w:rFonts w:hint="eastAsia" w:hAnsi="宋体"/>
                <w:kern w:val="0"/>
                <w:sz w:val="24"/>
              </w:rPr>
              <w:t>（3）叠加影响公式</w:t>
            </w:r>
          </w:p>
          <w:p w14:paraId="59AE8143">
            <w:pPr>
              <w:spacing w:line="360" w:lineRule="auto"/>
              <w:ind w:firstLine="480" w:firstLineChars="200"/>
              <w:rPr>
                <w:rFonts w:hAnsi="宋体"/>
                <w:kern w:val="0"/>
                <w:sz w:val="24"/>
              </w:rPr>
            </w:pPr>
            <w:r>
              <w:rPr>
                <w:rFonts w:hint="eastAsia" w:hAnsi="宋体"/>
                <w:kern w:val="0"/>
                <w:sz w:val="24"/>
              </w:rPr>
              <w:t>a）建设项目声源在预测点产生的贡献值（Leqg）计算公式如下：</w:t>
            </w:r>
          </w:p>
          <w:p w14:paraId="207B8BCE">
            <w:pPr>
              <w:spacing w:line="360" w:lineRule="auto"/>
              <w:jc w:val="center"/>
              <w:rPr>
                <w:rFonts w:hAnsi="宋体"/>
                <w:b/>
                <w:kern w:val="0"/>
                <w:sz w:val="24"/>
              </w:rPr>
            </w:pPr>
            <w:r>
              <w:drawing>
                <wp:inline distT="0" distB="0" distL="0" distR="0">
                  <wp:extent cx="4733290" cy="5422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4733334" cy="542857"/>
                          </a:xfrm>
                          <a:prstGeom prst="rect">
                            <a:avLst/>
                          </a:prstGeom>
                        </pic:spPr>
                      </pic:pic>
                    </a:graphicData>
                  </a:graphic>
                </wp:inline>
              </w:drawing>
            </w:r>
          </w:p>
          <w:p w14:paraId="33B13651">
            <w:pPr>
              <w:spacing w:line="360" w:lineRule="auto"/>
              <w:ind w:firstLine="480" w:firstLineChars="200"/>
              <w:rPr>
                <w:rFonts w:hAnsi="宋体"/>
                <w:kern w:val="0"/>
                <w:sz w:val="24"/>
              </w:rPr>
            </w:pPr>
            <w:r>
              <w:rPr>
                <w:rFonts w:hint="eastAsia" w:hAnsi="宋体"/>
                <w:kern w:val="0"/>
                <w:sz w:val="24"/>
              </w:rPr>
              <w:t>式中：Leqg——建设项目声源在预测点产生的噪声贡献值，dB（A）；</w:t>
            </w:r>
          </w:p>
          <w:p w14:paraId="4EABF6C3">
            <w:pPr>
              <w:spacing w:line="360" w:lineRule="auto"/>
              <w:ind w:firstLine="1200" w:firstLineChars="500"/>
              <w:rPr>
                <w:rFonts w:hAnsi="宋体"/>
                <w:kern w:val="0"/>
                <w:sz w:val="24"/>
              </w:rPr>
            </w:pPr>
            <w:r>
              <w:rPr>
                <w:rFonts w:hint="eastAsia" w:hAnsi="宋体"/>
                <w:kern w:val="0"/>
                <w:sz w:val="24"/>
              </w:rPr>
              <w:t>N——室外声源个数；</w:t>
            </w:r>
          </w:p>
          <w:p w14:paraId="29E64199">
            <w:pPr>
              <w:spacing w:line="360" w:lineRule="auto"/>
              <w:ind w:firstLine="1200" w:firstLineChars="500"/>
              <w:rPr>
                <w:rFonts w:hAnsi="宋体"/>
                <w:kern w:val="0"/>
                <w:sz w:val="24"/>
              </w:rPr>
            </w:pPr>
            <w:r>
              <w:rPr>
                <w:rFonts w:hint="eastAsia" w:hAnsi="宋体"/>
                <w:kern w:val="0"/>
                <w:sz w:val="24"/>
              </w:rPr>
              <w:t>T——用于计算等效声级的时间，s；</w:t>
            </w:r>
          </w:p>
          <w:p w14:paraId="0B3DFFCD">
            <w:pPr>
              <w:spacing w:line="360" w:lineRule="auto"/>
              <w:ind w:firstLine="1200" w:firstLineChars="500"/>
              <w:rPr>
                <w:rFonts w:hAnsi="宋体"/>
                <w:kern w:val="0"/>
                <w:sz w:val="24"/>
              </w:rPr>
            </w:pPr>
            <w:r>
              <w:rPr>
                <w:rFonts w:hint="eastAsia" w:hAnsi="宋体"/>
                <w:kern w:val="0"/>
                <w:sz w:val="24"/>
              </w:rPr>
              <w:t>t</w:t>
            </w:r>
            <w:r>
              <w:rPr>
                <w:rFonts w:hint="eastAsia" w:hAnsi="宋体"/>
                <w:kern w:val="0"/>
                <w:sz w:val="24"/>
                <w:vertAlign w:val="subscript"/>
              </w:rPr>
              <w:t>i</w:t>
            </w:r>
            <w:r>
              <w:rPr>
                <w:rFonts w:hint="eastAsia" w:hAnsi="宋体"/>
                <w:kern w:val="0"/>
                <w:sz w:val="24"/>
              </w:rPr>
              <w:t>——在T时间内i声源的工作时间，s；</w:t>
            </w:r>
          </w:p>
          <w:p w14:paraId="702A0607">
            <w:pPr>
              <w:spacing w:line="360" w:lineRule="auto"/>
              <w:ind w:firstLine="1200" w:firstLineChars="500"/>
              <w:rPr>
                <w:rFonts w:hAnsi="宋体"/>
                <w:kern w:val="0"/>
                <w:sz w:val="24"/>
              </w:rPr>
            </w:pPr>
            <w:r>
              <w:rPr>
                <w:rFonts w:hint="eastAsia" w:hAnsi="宋体"/>
                <w:kern w:val="0"/>
                <w:sz w:val="24"/>
              </w:rPr>
              <w:t>M——等效室外声源个数；</w:t>
            </w:r>
          </w:p>
          <w:p w14:paraId="0F132C01">
            <w:pPr>
              <w:spacing w:line="360" w:lineRule="auto"/>
              <w:ind w:firstLine="1200" w:firstLineChars="500"/>
              <w:rPr>
                <w:rFonts w:hAnsi="宋体"/>
                <w:kern w:val="0"/>
                <w:sz w:val="24"/>
              </w:rPr>
            </w:pPr>
            <w:r>
              <w:rPr>
                <w:rFonts w:hint="eastAsia" w:hAnsi="宋体"/>
                <w:kern w:val="0"/>
                <w:sz w:val="24"/>
              </w:rPr>
              <w:t>tj——在T时间内j声源的工作时间，s。</w:t>
            </w:r>
          </w:p>
          <w:p w14:paraId="7AA70FA1">
            <w:pPr>
              <w:spacing w:line="360" w:lineRule="auto"/>
              <w:ind w:firstLine="480" w:firstLineChars="200"/>
              <w:rPr>
                <w:rFonts w:hAnsi="宋体"/>
                <w:kern w:val="0"/>
                <w:sz w:val="24"/>
              </w:rPr>
            </w:pPr>
            <w:r>
              <w:rPr>
                <w:rFonts w:hint="eastAsia" w:hAnsi="宋体"/>
                <w:kern w:val="0"/>
                <w:sz w:val="24"/>
              </w:rPr>
              <w:t>b）预测点的预测等效声级（Leq）计算公式如下：</w:t>
            </w:r>
          </w:p>
          <w:p w14:paraId="063C5CFB">
            <w:pPr>
              <w:pStyle w:val="2"/>
              <w:jc w:val="center"/>
              <w:rPr>
                <w:color w:val="auto"/>
              </w:rPr>
            </w:pPr>
            <w:r>
              <w:rPr>
                <w:color w:val="auto"/>
              </w:rPr>
              <w:drawing>
                <wp:inline distT="0" distB="0" distL="0" distR="0">
                  <wp:extent cx="4076065" cy="4660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4076191" cy="466667"/>
                          </a:xfrm>
                          <a:prstGeom prst="rect">
                            <a:avLst/>
                          </a:prstGeom>
                        </pic:spPr>
                      </pic:pic>
                    </a:graphicData>
                  </a:graphic>
                </wp:inline>
              </w:drawing>
            </w:r>
          </w:p>
          <w:p w14:paraId="504BE011">
            <w:pPr>
              <w:spacing w:line="360" w:lineRule="auto"/>
              <w:ind w:firstLine="480" w:firstLineChars="200"/>
              <w:rPr>
                <w:rFonts w:hAnsi="宋体"/>
                <w:kern w:val="0"/>
                <w:sz w:val="24"/>
              </w:rPr>
            </w:pPr>
            <w:r>
              <w:rPr>
                <w:rFonts w:hint="eastAsia" w:hAnsi="宋体"/>
                <w:kern w:val="0"/>
                <w:sz w:val="24"/>
              </w:rPr>
              <w:t>式中：Leqg——建设项目声源在预测点产生的噪声贡献值，dB（A）；</w:t>
            </w:r>
          </w:p>
          <w:p w14:paraId="55D30EE1">
            <w:pPr>
              <w:spacing w:line="360" w:lineRule="auto"/>
              <w:ind w:firstLine="1200" w:firstLineChars="500"/>
              <w:rPr>
                <w:rFonts w:hAnsi="宋体"/>
                <w:kern w:val="0"/>
                <w:sz w:val="24"/>
              </w:rPr>
            </w:pPr>
            <w:r>
              <w:rPr>
                <w:rFonts w:hint="eastAsia" w:hAnsi="宋体"/>
                <w:kern w:val="0"/>
                <w:sz w:val="24"/>
              </w:rPr>
              <w:t>Leqg——建设项目声源在预测点产生的噪声贡献值，dB（A）；</w:t>
            </w:r>
          </w:p>
          <w:p w14:paraId="459A0737">
            <w:pPr>
              <w:spacing w:line="360" w:lineRule="auto"/>
              <w:ind w:firstLine="1200" w:firstLineChars="500"/>
              <w:rPr>
                <w:rFonts w:hAnsi="宋体"/>
                <w:kern w:val="0"/>
                <w:sz w:val="24"/>
              </w:rPr>
            </w:pPr>
            <w:r>
              <w:rPr>
                <w:rFonts w:hint="eastAsia" w:hAnsi="宋体"/>
                <w:kern w:val="0"/>
                <w:sz w:val="24"/>
              </w:rPr>
              <w:t>Leqb——预测点的背景噪声值，dB（A）。</w:t>
            </w:r>
          </w:p>
          <w:p w14:paraId="3D9EA45F">
            <w:pPr>
              <w:spacing w:line="360" w:lineRule="auto"/>
              <w:ind w:firstLine="482" w:firstLineChars="200"/>
              <w:rPr>
                <w:rFonts w:hAnsi="宋体"/>
                <w:b/>
                <w:kern w:val="0"/>
                <w:sz w:val="24"/>
              </w:rPr>
            </w:pPr>
            <w:r>
              <w:rPr>
                <w:rFonts w:hint="eastAsia" w:hAnsi="宋体"/>
                <w:b/>
                <w:kern w:val="0"/>
                <w:sz w:val="24"/>
              </w:rPr>
              <w:t>4、预测结果</w:t>
            </w:r>
          </w:p>
          <w:p w14:paraId="4A35A5A3">
            <w:pPr>
              <w:spacing w:line="360" w:lineRule="auto"/>
              <w:ind w:firstLine="480" w:firstLineChars="200"/>
              <w:rPr>
                <w:rFonts w:hAnsi="宋体"/>
                <w:kern w:val="0"/>
                <w:sz w:val="24"/>
              </w:rPr>
            </w:pPr>
            <w:r>
              <w:rPr>
                <w:rFonts w:hint="eastAsia" w:hAnsi="宋体"/>
                <w:kern w:val="0"/>
                <w:sz w:val="24"/>
              </w:rPr>
              <w:t>根据噪声预测公式，预测点的昼间噪声的预测结果见表4-17。</w:t>
            </w:r>
          </w:p>
          <w:p w14:paraId="30B31F3D">
            <w:pPr>
              <w:pStyle w:val="13"/>
              <w:spacing w:before="120" w:beforeLines="50"/>
              <w:rPr>
                <w:rFonts w:ascii="Times New Roman" w:hAnsi="Times New Roman"/>
                <w:color w:val="auto"/>
                <w:sz w:val="21"/>
              </w:rPr>
            </w:pPr>
            <w:r>
              <w:rPr>
                <w:rFonts w:ascii="Times New Roman" w:hAnsi="Times New Roman"/>
                <w:color w:val="auto"/>
                <w:sz w:val="21"/>
              </w:rPr>
              <w:t>表</w:t>
            </w:r>
            <w:r>
              <w:rPr>
                <w:rFonts w:hint="eastAsia" w:ascii="Times New Roman" w:hAnsi="Times New Roman"/>
                <w:color w:val="auto"/>
                <w:sz w:val="21"/>
              </w:rPr>
              <w:t>4-17</w:t>
            </w:r>
            <w:r>
              <w:rPr>
                <w:rFonts w:ascii="Times New Roman" w:hAnsi="Times New Roman"/>
                <w:color w:val="auto"/>
                <w:sz w:val="21"/>
              </w:rPr>
              <w:t xml:space="preserve"> </w:t>
            </w:r>
            <w:r>
              <w:rPr>
                <w:rFonts w:hint="eastAsia" w:ascii="Times New Roman" w:hAnsi="Times New Roman"/>
                <w:color w:val="auto"/>
                <w:sz w:val="21"/>
              </w:rPr>
              <w:t xml:space="preserve"> </w:t>
            </w:r>
            <w:r>
              <w:rPr>
                <w:rFonts w:ascii="Times New Roman" w:hAnsi="Times New Roman"/>
                <w:color w:val="auto"/>
                <w:sz w:val="21"/>
              </w:rPr>
              <w:t>项目厂界噪声预测结果  单位：dB（</w:t>
            </w:r>
            <w:r>
              <w:rPr>
                <w:rFonts w:hint="eastAsia" w:ascii="Times New Roman" w:hAnsi="Times New Roman"/>
                <w:color w:val="auto"/>
                <w:sz w:val="21"/>
              </w:rPr>
              <w:t>A</w:t>
            </w:r>
            <w:r>
              <w:rPr>
                <w:rFonts w:ascii="Times New Roman" w:hAnsi="Times New Roman"/>
                <w:color w:val="auto"/>
                <w:sz w:val="21"/>
              </w:rPr>
              <w:t>）</w:t>
            </w:r>
          </w:p>
          <w:tbl>
            <w:tblPr>
              <w:tblStyle w:val="28"/>
              <w:tblW w:w="499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1342"/>
              <w:gridCol w:w="1342"/>
              <w:gridCol w:w="1342"/>
              <w:gridCol w:w="1342"/>
              <w:gridCol w:w="1342"/>
              <w:gridCol w:w="1332"/>
            </w:tblGrid>
            <w:tr w14:paraId="5AA9A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713" w:type="pct"/>
                  <w:vAlign w:val="center"/>
                </w:tcPr>
                <w:p w14:paraId="5E32250A">
                  <w:pPr>
                    <w:overflowPunct w:val="0"/>
                    <w:snapToGrid w:val="0"/>
                    <w:jc w:val="center"/>
                    <w:rPr>
                      <w:rFonts w:eastAsiaTheme="minorEastAsia"/>
                      <w:b/>
                      <w:szCs w:val="21"/>
                    </w:rPr>
                  </w:pPr>
                  <w:r>
                    <w:rPr>
                      <w:rFonts w:eastAsiaTheme="minorEastAsia"/>
                      <w:b/>
                      <w:szCs w:val="21"/>
                    </w:rPr>
                    <w:t>预测方位</w:t>
                  </w:r>
                </w:p>
              </w:tc>
              <w:tc>
                <w:tcPr>
                  <w:tcW w:w="715" w:type="pct"/>
                  <w:vAlign w:val="center"/>
                </w:tcPr>
                <w:p w14:paraId="52002D8E">
                  <w:pPr>
                    <w:overflowPunct w:val="0"/>
                    <w:snapToGrid w:val="0"/>
                    <w:jc w:val="center"/>
                    <w:rPr>
                      <w:rFonts w:eastAsiaTheme="minorEastAsia"/>
                      <w:b/>
                      <w:szCs w:val="21"/>
                    </w:rPr>
                  </w:pPr>
                  <w:r>
                    <w:rPr>
                      <w:rFonts w:eastAsiaTheme="minorEastAsia"/>
                      <w:b/>
                      <w:szCs w:val="21"/>
                    </w:rPr>
                    <w:t>时段</w:t>
                  </w:r>
                </w:p>
              </w:tc>
              <w:tc>
                <w:tcPr>
                  <w:tcW w:w="715" w:type="pct"/>
                  <w:vAlign w:val="center"/>
                </w:tcPr>
                <w:p w14:paraId="6DD8FCD7">
                  <w:pPr>
                    <w:overflowPunct w:val="0"/>
                    <w:snapToGrid w:val="0"/>
                    <w:jc w:val="center"/>
                    <w:rPr>
                      <w:rFonts w:eastAsiaTheme="minorEastAsia"/>
                      <w:b/>
                      <w:szCs w:val="21"/>
                    </w:rPr>
                  </w:pPr>
                  <w:r>
                    <w:rPr>
                      <w:rFonts w:eastAsiaTheme="minorEastAsia"/>
                      <w:b/>
                      <w:szCs w:val="21"/>
                    </w:rPr>
                    <w:t>贡献值</w:t>
                  </w:r>
                </w:p>
              </w:tc>
              <w:tc>
                <w:tcPr>
                  <w:tcW w:w="715" w:type="pct"/>
                  <w:vAlign w:val="center"/>
                </w:tcPr>
                <w:p w14:paraId="7293BF86">
                  <w:pPr>
                    <w:overflowPunct w:val="0"/>
                    <w:snapToGrid w:val="0"/>
                    <w:jc w:val="center"/>
                    <w:rPr>
                      <w:rFonts w:eastAsiaTheme="minorEastAsia"/>
                      <w:b/>
                      <w:szCs w:val="21"/>
                    </w:rPr>
                  </w:pPr>
                  <w:r>
                    <w:rPr>
                      <w:rFonts w:hint="eastAsia" w:eastAsiaTheme="minorEastAsia"/>
                      <w:b/>
                      <w:szCs w:val="21"/>
                    </w:rPr>
                    <w:t>背景值</w:t>
                  </w:r>
                </w:p>
              </w:tc>
              <w:tc>
                <w:tcPr>
                  <w:tcW w:w="715" w:type="pct"/>
                  <w:vAlign w:val="center"/>
                </w:tcPr>
                <w:p w14:paraId="315190AC">
                  <w:pPr>
                    <w:overflowPunct w:val="0"/>
                    <w:snapToGrid w:val="0"/>
                    <w:jc w:val="center"/>
                    <w:rPr>
                      <w:rFonts w:eastAsiaTheme="minorEastAsia"/>
                      <w:b/>
                      <w:szCs w:val="21"/>
                    </w:rPr>
                  </w:pPr>
                  <w:r>
                    <w:rPr>
                      <w:rFonts w:hint="eastAsia" w:eastAsiaTheme="minorEastAsia"/>
                      <w:b/>
                      <w:szCs w:val="21"/>
                    </w:rPr>
                    <w:t>预测值</w:t>
                  </w:r>
                </w:p>
              </w:tc>
              <w:tc>
                <w:tcPr>
                  <w:tcW w:w="715" w:type="pct"/>
                  <w:vAlign w:val="center"/>
                </w:tcPr>
                <w:p w14:paraId="0547644D">
                  <w:pPr>
                    <w:overflowPunct w:val="0"/>
                    <w:snapToGrid w:val="0"/>
                    <w:jc w:val="center"/>
                    <w:rPr>
                      <w:rFonts w:eastAsiaTheme="minorEastAsia"/>
                      <w:b/>
                      <w:szCs w:val="21"/>
                    </w:rPr>
                  </w:pPr>
                  <w:r>
                    <w:rPr>
                      <w:rFonts w:eastAsiaTheme="minorEastAsia"/>
                      <w:b/>
                      <w:szCs w:val="21"/>
                    </w:rPr>
                    <w:t>标准值</w:t>
                  </w:r>
                </w:p>
              </w:tc>
              <w:tc>
                <w:tcPr>
                  <w:tcW w:w="710" w:type="pct"/>
                  <w:vAlign w:val="center"/>
                </w:tcPr>
                <w:p w14:paraId="7C70EC47">
                  <w:pPr>
                    <w:overflowPunct w:val="0"/>
                    <w:snapToGrid w:val="0"/>
                    <w:jc w:val="center"/>
                    <w:rPr>
                      <w:rFonts w:eastAsiaTheme="minorEastAsia"/>
                      <w:b/>
                      <w:szCs w:val="21"/>
                    </w:rPr>
                  </w:pPr>
                  <w:r>
                    <w:rPr>
                      <w:rFonts w:eastAsiaTheme="minorEastAsia"/>
                      <w:b/>
                      <w:szCs w:val="21"/>
                    </w:rPr>
                    <w:t>达标情况</w:t>
                  </w:r>
                </w:p>
              </w:tc>
            </w:tr>
            <w:tr w14:paraId="0A365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0EC20932">
                  <w:pPr>
                    <w:overflowPunct w:val="0"/>
                    <w:snapToGrid w:val="0"/>
                    <w:jc w:val="center"/>
                    <w:rPr>
                      <w:rFonts w:eastAsiaTheme="minorEastAsia"/>
                      <w:szCs w:val="21"/>
                    </w:rPr>
                  </w:pPr>
                  <w:r>
                    <w:rPr>
                      <w:rFonts w:eastAsiaTheme="minorEastAsia"/>
                      <w:szCs w:val="21"/>
                    </w:rPr>
                    <w:t>东厂界</w:t>
                  </w:r>
                </w:p>
              </w:tc>
              <w:tc>
                <w:tcPr>
                  <w:tcW w:w="715" w:type="pct"/>
                  <w:vAlign w:val="center"/>
                </w:tcPr>
                <w:p w14:paraId="5EEF8805">
                  <w:pPr>
                    <w:overflowPunct w:val="0"/>
                    <w:snapToGrid w:val="0"/>
                    <w:jc w:val="center"/>
                    <w:rPr>
                      <w:rFonts w:eastAsiaTheme="minorEastAsia"/>
                      <w:szCs w:val="21"/>
                    </w:rPr>
                  </w:pPr>
                  <w:r>
                    <w:rPr>
                      <w:rFonts w:eastAsiaTheme="minorEastAsia"/>
                      <w:szCs w:val="21"/>
                    </w:rPr>
                    <w:t>昼间</w:t>
                  </w:r>
                </w:p>
              </w:tc>
              <w:tc>
                <w:tcPr>
                  <w:tcW w:w="715" w:type="pct"/>
                  <w:vAlign w:val="center"/>
                </w:tcPr>
                <w:p w14:paraId="70DE139A">
                  <w:pPr>
                    <w:jc w:val="center"/>
                    <w:rPr>
                      <w:rFonts w:eastAsiaTheme="minorEastAsia"/>
                      <w:szCs w:val="21"/>
                    </w:rPr>
                  </w:pPr>
                  <w:r>
                    <w:rPr>
                      <w:rFonts w:hint="eastAsia" w:eastAsiaTheme="minorEastAsia"/>
                      <w:szCs w:val="21"/>
                    </w:rPr>
                    <w:t>40.28</w:t>
                  </w:r>
                </w:p>
              </w:tc>
              <w:tc>
                <w:tcPr>
                  <w:tcW w:w="715" w:type="pct"/>
                  <w:vAlign w:val="center"/>
                </w:tcPr>
                <w:p w14:paraId="659E3FEA">
                  <w:pPr>
                    <w:jc w:val="center"/>
                    <w:rPr>
                      <w:rFonts w:eastAsiaTheme="minorEastAsia"/>
                      <w:szCs w:val="21"/>
                    </w:rPr>
                  </w:pPr>
                  <w:r>
                    <w:rPr>
                      <w:rFonts w:hint="eastAsia" w:eastAsiaTheme="minorEastAsia"/>
                      <w:szCs w:val="21"/>
                    </w:rPr>
                    <w:t>/</w:t>
                  </w:r>
                </w:p>
              </w:tc>
              <w:tc>
                <w:tcPr>
                  <w:tcW w:w="715" w:type="pct"/>
                  <w:vAlign w:val="center"/>
                </w:tcPr>
                <w:p w14:paraId="63DAE985">
                  <w:pPr>
                    <w:jc w:val="center"/>
                    <w:rPr>
                      <w:rFonts w:eastAsiaTheme="minorEastAsia"/>
                      <w:szCs w:val="21"/>
                    </w:rPr>
                  </w:pPr>
                  <w:r>
                    <w:rPr>
                      <w:rFonts w:hint="eastAsia" w:eastAsiaTheme="minorEastAsia"/>
                      <w:szCs w:val="21"/>
                    </w:rPr>
                    <w:t>/</w:t>
                  </w:r>
                </w:p>
              </w:tc>
              <w:tc>
                <w:tcPr>
                  <w:tcW w:w="715" w:type="pct"/>
                  <w:vAlign w:val="center"/>
                </w:tcPr>
                <w:p w14:paraId="7E1F232B">
                  <w:pPr>
                    <w:jc w:val="center"/>
                    <w:rPr>
                      <w:rFonts w:eastAsiaTheme="minorEastAsia"/>
                      <w:szCs w:val="21"/>
                    </w:rPr>
                  </w:pPr>
                  <w:r>
                    <w:rPr>
                      <w:rFonts w:hint="eastAsia" w:eastAsiaTheme="minorEastAsia"/>
                      <w:szCs w:val="21"/>
                    </w:rPr>
                    <w:t>70</w:t>
                  </w:r>
                </w:p>
              </w:tc>
              <w:tc>
                <w:tcPr>
                  <w:tcW w:w="710" w:type="pct"/>
                  <w:vAlign w:val="center"/>
                </w:tcPr>
                <w:p w14:paraId="0B0F4519">
                  <w:pPr>
                    <w:jc w:val="center"/>
                    <w:rPr>
                      <w:rFonts w:eastAsiaTheme="minorEastAsia"/>
                      <w:szCs w:val="21"/>
                    </w:rPr>
                  </w:pPr>
                  <w:r>
                    <w:rPr>
                      <w:rFonts w:eastAsiaTheme="minorEastAsia"/>
                      <w:szCs w:val="21"/>
                    </w:rPr>
                    <w:t>达标</w:t>
                  </w:r>
                </w:p>
              </w:tc>
            </w:tr>
            <w:tr w14:paraId="21AF0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4862801A">
                  <w:pPr>
                    <w:overflowPunct w:val="0"/>
                    <w:snapToGrid w:val="0"/>
                    <w:jc w:val="center"/>
                    <w:rPr>
                      <w:rFonts w:eastAsiaTheme="minorEastAsia"/>
                      <w:szCs w:val="21"/>
                    </w:rPr>
                  </w:pPr>
                </w:p>
              </w:tc>
              <w:tc>
                <w:tcPr>
                  <w:tcW w:w="715" w:type="pct"/>
                  <w:vAlign w:val="center"/>
                </w:tcPr>
                <w:p w14:paraId="65CFD24D">
                  <w:pPr>
                    <w:overflowPunct w:val="0"/>
                    <w:snapToGrid w:val="0"/>
                    <w:jc w:val="center"/>
                    <w:rPr>
                      <w:rFonts w:eastAsiaTheme="minorEastAsia"/>
                      <w:szCs w:val="21"/>
                    </w:rPr>
                  </w:pPr>
                  <w:r>
                    <w:rPr>
                      <w:rFonts w:eastAsiaTheme="minorEastAsia"/>
                      <w:szCs w:val="21"/>
                    </w:rPr>
                    <w:t>夜间</w:t>
                  </w:r>
                </w:p>
              </w:tc>
              <w:tc>
                <w:tcPr>
                  <w:tcW w:w="715" w:type="pct"/>
                  <w:vAlign w:val="center"/>
                </w:tcPr>
                <w:p w14:paraId="6EDA35EC">
                  <w:pPr>
                    <w:jc w:val="center"/>
                    <w:rPr>
                      <w:rFonts w:eastAsiaTheme="minorEastAsia"/>
                      <w:szCs w:val="21"/>
                    </w:rPr>
                  </w:pPr>
                  <w:r>
                    <w:rPr>
                      <w:rFonts w:hint="eastAsia" w:eastAsiaTheme="minorEastAsia"/>
                      <w:szCs w:val="21"/>
                    </w:rPr>
                    <w:t>38.09</w:t>
                  </w:r>
                </w:p>
              </w:tc>
              <w:tc>
                <w:tcPr>
                  <w:tcW w:w="715" w:type="pct"/>
                  <w:vAlign w:val="center"/>
                </w:tcPr>
                <w:p w14:paraId="41911C2A">
                  <w:pPr>
                    <w:jc w:val="center"/>
                    <w:rPr>
                      <w:rFonts w:eastAsiaTheme="minorEastAsia"/>
                      <w:szCs w:val="21"/>
                    </w:rPr>
                  </w:pPr>
                  <w:r>
                    <w:rPr>
                      <w:rFonts w:hint="eastAsia" w:eastAsiaTheme="minorEastAsia"/>
                      <w:szCs w:val="21"/>
                    </w:rPr>
                    <w:t>/</w:t>
                  </w:r>
                </w:p>
              </w:tc>
              <w:tc>
                <w:tcPr>
                  <w:tcW w:w="715" w:type="pct"/>
                  <w:vAlign w:val="center"/>
                </w:tcPr>
                <w:p w14:paraId="1B11DF69">
                  <w:pPr>
                    <w:jc w:val="center"/>
                    <w:rPr>
                      <w:rFonts w:eastAsiaTheme="minorEastAsia"/>
                      <w:szCs w:val="21"/>
                    </w:rPr>
                  </w:pPr>
                  <w:r>
                    <w:rPr>
                      <w:rFonts w:hint="eastAsia" w:eastAsiaTheme="minorEastAsia"/>
                      <w:szCs w:val="21"/>
                    </w:rPr>
                    <w:t>/</w:t>
                  </w:r>
                </w:p>
              </w:tc>
              <w:tc>
                <w:tcPr>
                  <w:tcW w:w="715" w:type="pct"/>
                  <w:vAlign w:val="center"/>
                </w:tcPr>
                <w:p w14:paraId="7261D927">
                  <w:pPr>
                    <w:jc w:val="center"/>
                    <w:rPr>
                      <w:rFonts w:eastAsiaTheme="minorEastAsia"/>
                      <w:szCs w:val="21"/>
                    </w:rPr>
                  </w:pPr>
                  <w:r>
                    <w:rPr>
                      <w:rFonts w:hint="eastAsia" w:eastAsiaTheme="minorEastAsia"/>
                      <w:szCs w:val="21"/>
                    </w:rPr>
                    <w:t>55</w:t>
                  </w:r>
                </w:p>
              </w:tc>
              <w:tc>
                <w:tcPr>
                  <w:tcW w:w="710" w:type="pct"/>
                  <w:vAlign w:val="center"/>
                </w:tcPr>
                <w:p w14:paraId="1376AE59">
                  <w:pPr>
                    <w:jc w:val="center"/>
                    <w:rPr>
                      <w:rFonts w:eastAsiaTheme="minorEastAsia"/>
                      <w:szCs w:val="21"/>
                    </w:rPr>
                  </w:pPr>
                  <w:r>
                    <w:rPr>
                      <w:rFonts w:eastAsiaTheme="minorEastAsia"/>
                      <w:szCs w:val="21"/>
                    </w:rPr>
                    <w:t>达标</w:t>
                  </w:r>
                </w:p>
              </w:tc>
            </w:tr>
            <w:tr w14:paraId="2B821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7AE1BFC6">
                  <w:pPr>
                    <w:jc w:val="center"/>
                    <w:rPr>
                      <w:rFonts w:eastAsiaTheme="minorEastAsia"/>
                      <w:szCs w:val="21"/>
                    </w:rPr>
                  </w:pPr>
                  <w:r>
                    <w:rPr>
                      <w:rFonts w:eastAsiaTheme="minorEastAsia"/>
                      <w:szCs w:val="21"/>
                    </w:rPr>
                    <w:t>南厂界</w:t>
                  </w:r>
                </w:p>
              </w:tc>
              <w:tc>
                <w:tcPr>
                  <w:tcW w:w="715" w:type="pct"/>
                  <w:vAlign w:val="center"/>
                </w:tcPr>
                <w:p w14:paraId="4986D419">
                  <w:pPr>
                    <w:overflowPunct w:val="0"/>
                    <w:snapToGrid w:val="0"/>
                    <w:jc w:val="center"/>
                    <w:rPr>
                      <w:rFonts w:eastAsiaTheme="minorEastAsia"/>
                      <w:szCs w:val="21"/>
                    </w:rPr>
                  </w:pPr>
                  <w:r>
                    <w:rPr>
                      <w:rFonts w:eastAsiaTheme="minorEastAsia"/>
                      <w:szCs w:val="21"/>
                    </w:rPr>
                    <w:t>昼间</w:t>
                  </w:r>
                </w:p>
              </w:tc>
              <w:tc>
                <w:tcPr>
                  <w:tcW w:w="715" w:type="pct"/>
                  <w:vAlign w:val="center"/>
                </w:tcPr>
                <w:p w14:paraId="53FA7D25">
                  <w:pPr>
                    <w:jc w:val="center"/>
                    <w:rPr>
                      <w:rFonts w:eastAsiaTheme="minorEastAsia"/>
                      <w:szCs w:val="21"/>
                    </w:rPr>
                  </w:pPr>
                  <w:r>
                    <w:rPr>
                      <w:rFonts w:hint="eastAsia" w:eastAsiaTheme="minorEastAsia"/>
                      <w:szCs w:val="21"/>
                    </w:rPr>
                    <w:t>30.81</w:t>
                  </w:r>
                </w:p>
              </w:tc>
              <w:tc>
                <w:tcPr>
                  <w:tcW w:w="715" w:type="pct"/>
                  <w:vAlign w:val="center"/>
                </w:tcPr>
                <w:p w14:paraId="6C5D6A79">
                  <w:pPr>
                    <w:jc w:val="center"/>
                    <w:rPr>
                      <w:rFonts w:eastAsiaTheme="minorEastAsia"/>
                      <w:szCs w:val="21"/>
                    </w:rPr>
                  </w:pPr>
                  <w:r>
                    <w:rPr>
                      <w:rFonts w:hint="eastAsia" w:eastAsiaTheme="minorEastAsia"/>
                      <w:szCs w:val="21"/>
                    </w:rPr>
                    <w:t>/</w:t>
                  </w:r>
                </w:p>
              </w:tc>
              <w:tc>
                <w:tcPr>
                  <w:tcW w:w="715" w:type="pct"/>
                  <w:vAlign w:val="center"/>
                </w:tcPr>
                <w:p w14:paraId="4B5D65B5">
                  <w:pPr>
                    <w:jc w:val="center"/>
                    <w:rPr>
                      <w:rFonts w:eastAsiaTheme="minorEastAsia"/>
                      <w:szCs w:val="21"/>
                    </w:rPr>
                  </w:pPr>
                  <w:r>
                    <w:rPr>
                      <w:rFonts w:hint="eastAsia" w:eastAsiaTheme="minorEastAsia"/>
                      <w:szCs w:val="21"/>
                    </w:rPr>
                    <w:t>/</w:t>
                  </w:r>
                </w:p>
              </w:tc>
              <w:tc>
                <w:tcPr>
                  <w:tcW w:w="715" w:type="pct"/>
                  <w:vAlign w:val="center"/>
                </w:tcPr>
                <w:p w14:paraId="26CD3EC6">
                  <w:pPr>
                    <w:jc w:val="center"/>
                    <w:rPr>
                      <w:rFonts w:eastAsiaTheme="minorEastAsia"/>
                      <w:szCs w:val="21"/>
                    </w:rPr>
                  </w:pPr>
                  <w:r>
                    <w:rPr>
                      <w:rFonts w:hint="eastAsia" w:eastAsiaTheme="minorEastAsia"/>
                      <w:szCs w:val="21"/>
                    </w:rPr>
                    <w:t>60</w:t>
                  </w:r>
                </w:p>
              </w:tc>
              <w:tc>
                <w:tcPr>
                  <w:tcW w:w="710" w:type="pct"/>
                  <w:vAlign w:val="center"/>
                </w:tcPr>
                <w:p w14:paraId="491A064F">
                  <w:pPr>
                    <w:jc w:val="center"/>
                    <w:rPr>
                      <w:rFonts w:eastAsiaTheme="minorEastAsia"/>
                      <w:szCs w:val="21"/>
                    </w:rPr>
                  </w:pPr>
                  <w:r>
                    <w:rPr>
                      <w:rFonts w:eastAsiaTheme="minorEastAsia"/>
                      <w:szCs w:val="21"/>
                    </w:rPr>
                    <w:t>达标</w:t>
                  </w:r>
                </w:p>
              </w:tc>
            </w:tr>
            <w:tr w14:paraId="711C0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5DC396AE">
                  <w:pPr>
                    <w:jc w:val="center"/>
                    <w:rPr>
                      <w:rFonts w:eastAsiaTheme="minorEastAsia"/>
                      <w:szCs w:val="21"/>
                    </w:rPr>
                  </w:pPr>
                </w:p>
              </w:tc>
              <w:tc>
                <w:tcPr>
                  <w:tcW w:w="715" w:type="pct"/>
                  <w:vAlign w:val="center"/>
                </w:tcPr>
                <w:p w14:paraId="17E92B7F">
                  <w:pPr>
                    <w:overflowPunct w:val="0"/>
                    <w:snapToGrid w:val="0"/>
                    <w:jc w:val="center"/>
                    <w:rPr>
                      <w:rFonts w:eastAsiaTheme="minorEastAsia"/>
                      <w:szCs w:val="21"/>
                    </w:rPr>
                  </w:pPr>
                  <w:r>
                    <w:rPr>
                      <w:rFonts w:eastAsiaTheme="minorEastAsia"/>
                      <w:szCs w:val="21"/>
                    </w:rPr>
                    <w:t>夜间</w:t>
                  </w:r>
                </w:p>
              </w:tc>
              <w:tc>
                <w:tcPr>
                  <w:tcW w:w="715" w:type="pct"/>
                  <w:vAlign w:val="center"/>
                </w:tcPr>
                <w:p w14:paraId="4B6DD0F0">
                  <w:pPr>
                    <w:jc w:val="center"/>
                    <w:rPr>
                      <w:rFonts w:eastAsiaTheme="minorEastAsia"/>
                      <w:szCs w:val="21"/>
                    </w:rPr>
                  </w:pPr>
                  <w:r>
                    <w:rPr>
                      <w:rFonts w:hint="eastAsia" w:eastAsiaTheme="minorEastAsia"/>
                      <w:szCs w:val="21"/>
                    </w:rPr>
                    <w:t>18.27</w:t>
                  </w:r>
                </w:p>
              </w:tc>
              <w:tc>
                <w:tcPr>
                  <w:tcW w:w="715" w:type="pct"/>
                  <w:vAlign w:val="center"/>
                </w:tcPr>
                <w:p w14:paraId="36FBBF03">
                  <w:pPr>
                    <w:jc w:val="center"/>
                    <w:rPr>
                      <w:rFonts w:eastAsiaTheme="minorEastAsia"/>
                      <w:szCs w:val="21"/>
                    </w:rPr>
                  </w:pPr>
                  <w:r>
                    <w:rPr>
                      <w:rFonts w:hint="eastAsia" w:eastAsiaTheme="minorEastAsia"/>
                      <w:szCs w:val="21"/>
                    </w:rPr>
                    <w:t>/</w:t>
                  </w:r>
                </w:p>
              </w:tc>
              <w:tc>
                <w:tcPr>
                  <w:tcW w:w="715" w:type="pct"/>
                  <w:vAlign w:val="center"/>
                </w:tcPr>
                <w:p w14:paraId="0367A5B1">
                  <w:pPr>
                    <w:jc w:val="center"/>
                    <w:rPr>
                      <w:rFonts w:eastAsiaTheme="minorEastAsia"/>
                      <w:szCs w:val="21"/>
                    </w:rPr>
                  </w:pPr>
                  <w:r>
                    <w:rPr>
                      <w:rFonts w:hint="eastAsia" w:eastAsiaTheme="minorEastAsia"/>
                      <w:szCs w:val="21"/>
                    </w:rPr>
                    <w:t>/</w:t>
                  </w:r>
                </w:p>
              </w:tc>
              <w:tc>
                <w:tcPr>
                  <w:tcW w:w="715" w:type="pct"/>
                  <w:vAlign w:val="center"/>
                </w:tcPr>
                <w:p w14:paraId="27D26FE6">
                  <w:pPr>
                    <w:jc w:val="center"/>
                    <w:rPr>
                      <w:rFonts w:eastAsiaTheme="minorEastAsia"/>
                      <w:szCs w:val="21"/>
                    </w:rPr>
                  </w:pPr>
                  <w:r>
                    <w:rPr>
                      <w:rFonts w:hint="eastAsia" w:eastAsiaTheme="minorEastAsia"/>
                      <w:szCs w:val="21"/>
                    </w:rPr>
                    <w:t>50</w:t>
                  </w:r>
                </w:p>
              </w:tc>
              <w:tc>
                <w:tcPr>
                  <w:tcW w:w="710" w:type="pct"/>
                  <w:vAlign w:val="center"/>
                </w:tcPr>
                <w:p w14:paraId="68A8F19B">
                  <w:pPr>
                    <w:jc w:val="center"/>
                    <w:rPr>
                      <w:rFonts w:eastAsiaTheme="minorEastAsia"/>
                      <w:szCs w:val="21"/>
                    </w:rPr>
                  </w:pPr>
                  <w:r>
                    <w:rPr>
                      <w:rFonts w:eastAsiaTheme="minorEastAsia"/>
                      <w:szCs w:val="21"/>
                    </w:rPr>
                    <w:t>达标</w:t>
                  </w:r>
                </w:p>
              </w:tc>
            </w:tr>
            <w:tr w14:paraId="00C10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1B5FB982">
                  <w:pPr>
                    <w:jc w:val="center"/>
                    <w:rPr>
                      <w:rFonts w:eastAsiaTheme="minorEastAsia"/>
                      <w:szCs w:val="21"/>
                    </w:rPr>
                  </w:pPr>
                  <w:r>
                    <w:rPr>
                      <w:rFonts w:eastAsiaTheme="minorEastAsia"/>
                      <w:szCs w:val="21"/>
                    </w:rPr>
                    <w:t>西厂界</w:t>
                  </w:r>
                </w:p>
              </w:tc>
              <w:tc>
                <w:tcPr>
                  <w:tcW w:w="715" w:type="pct"/>
                  <w:vAlign w:val="center"/>
                </w:tcPr>
                <w:p w14:paraId="429CBE25">
                  <w:pPr>
                    <w:overflowPunct w:val="0"/>
                    <w:snapToGrid w:val="0"/>
                    <w:jc w:val="center"/>
                    <w:rPr>
                      <w:rFonts w:eastAsiaTheme="minorEastAsia"/>
                      <w:szCs w:val="21"/>
                    </w:rPr>
                  </w:pPr>
                  <w:r>
                    <w:rPr>
                      <w:rFonts w:eastAsiaTheme="minorEastAsia"/>
                      <w:szCs w:val="21"/>
                    </w:rPr>
                    <w:t>昼间</w:t>
                  </w:r>
                </w:p>
              </w:tc>
              <w:tc>
                <w:tcPr>
                  <w:tcW w:w="715" w:type="pct"/>
                  <w:vAlign w:val="center"/>
                </w:tcPr>
                <w:p w14:paraId="2341FD76">
                  <w:pPr>
                    <w:jc w:val="center"/>
                    <w:rPr>
                      <w:rFonts w:eastAsiaTheme="minorEastAsia"/>
                      <w:szCs w:val="21"/>
                    </w:rPr>
                  </w:pPr>
                  <w:r>
                    <w:rPr>
                      <w:rFonts w:hint="eastAsia" w:eastAsiaTheme="minorEastAsia"/>
                      <w:szCs w:val="21"/>
                    </w:rPr>
                    <w:t>44.78</w:t>
                  </w:r>
                </w:p>
              </w:tc>
              <w:tc>
                <w:tcPr>
                  <w:tcW w:w="715" w:type="pct"/>
                  <w:vAlign w:val="center"/>
                </w:tcPr>
                <w:p w14:paraId="0E225EB0">
                  <w:pPr>
                    <w:jc w:val="center"/>
                    <w:rPr>
                      <w:rFonts w:eastAsiaTheme="minorEastAsia"/>
                      <w:szCs w:val="21"/>
                    </w:rPr>
                  </w:pPr>
                  <w:r>
                    <w:rPr>
                      <w:rFonts w:hint="eastAsia" w:eastAsiaTheme="minorEastAsia"/>
                      <w:szCs w:val="21"/>
                    </w:rPr>
                    <w:t>/</w:t>
                  </w:r>
                </w:p>
              </w:tc>
              <w:tc>
                <w:tcPr>
                  <w:tcW w:w="715" w:type="pct"/>
                  <w:vAlign w:val="center"/>
                </w:tcPr>
                <w:p w14:paraId="5D940036">
                  <w:pPr>
                    <w:jc w:val="center"/>
                    <w:rPr>
                      <w:rFonts w:eastAsiaTheme="minorEastAsia"/>
                      <w:szCs w:val="21"/>
                    </w:rPr>
                  </w:pPr>
                  <w:r>
                    <w:rPr>
                      <w:rFonts w:hint="eastAsia" w:eastAsiaTheme="minorEastAsia"/>
                      <w:szCs w:val="21"/>
                    </w:rPr>
                    <w:t>/</w:t>
                  </w:r>
                </w:p>
              </w:tc>
              <w:tc>
                <w:tcPr>
                  <w:tcW w:w="715" w:type="pct"/>
                  <w:vAlign w:val="center"/>
                </w:tcPr>
                <w:p w14:paraId="405426E6">
                  <w:pPr>
                    <w:jc w:val="center"/>
                    <w:rPr>
                      <w:rFonts w:eastAsiaTheme="minorEastAsia"/>
                      <w:szCs w:val="21"/>
                    </w:rPr>
                  </w:pPr>
                  <w:r>
                    <w:rPr>
                      <w:rFonts w:hint="eastAsia" w:eastAsiaTheme="minorEastAsia"/>
                      <w:szCs w:val="21"/>
                    </w:rPr>
                    <w:t>60</w:t>
                  </w:r>
                </w:p>
              </w:tc>
              <w:tc>
                <w:tcPr>
                  <w:tcW w:w="710" w:type="pct"/>
                  <w:vAlign w:val="center"/>
                </w:tcPr>
                <w:p w14:paraId="6710EA27">
                  <w:pPr>
                    <w:jc w:val="center"/>
                    <w:rPr>
                      <w:rFonts w:eastAsiaTheme="minorEastAsia"/>
                      <w:szCs w:val="21"/>
                    </w:rPr>
                  </w:pPr>
                  <w:r>
                    <w:rPr>
                      <w:rFonts w:eastAsiaTheme="minorEastAsia"/>
                      <w:szCs w:val="21"/>
                    </w:rPr>
                    <w:t>达标</w:t>
                  </w:r>
                </w:p>
              </w:tc>
            </w:tr>
            <w:tr w14:paraId="4527F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5C0B2023">
                  <w:pPr>
                    <w:jc w:val="center"/>
                    <w:rPr>
                      <w:rFonts w:eastAsiaTheme="minorEastAsia"/>
                      <w:szCs w:val="21"/>
                    </w:rPr>
                  </w:pPr>
                </w:p>
              </w:tc>
              <w:tc>
                <w:tcPr>
                  <w:tcW w:w="715" w:type="pct"/>
                  <w:vAlign w:val="center"/>
                </w:tcPr>
                <w:p w14:paraId="0CEF7A9B">
                  <w:pPr>
                    <w:overflowPunct w:val="0"/>
                    <w:snapToGrid w:val="0"/>
                    <w:jc w:val="center"/>
                    <w:rPr>
                      <w:rFonts w:eastAsiaTheme="minorEastAsia"/>
                      <w:szCs w:val="21"/>
                    </w:rPr>
                  </w:pPr>
                  <w:r>
                    <w:rPr>
                      <w:rFonts w:eastAsiaTheme="minorEastAsia"/>
                      <w:szCs w:val="21"/>
                    </w:rPr>
                    <w:t>夜间</w:t>
                  </w:r>
                </w:p>
              </w:tc>
              <w:tc>
                <w:tcPr>
                  <w:tcW w:w="715" w:type="pct"/>
                  <w:vAlign w:val="center"/>
                </w:tcPr>
                <w:p w14:paraId="0982247E">
                  <w:pPr>
                    <w:jc w:val="center"/>
                    <w:rPr>
                      <w:rFonts w:eastAsiaTheme="minorEastAsia"/>
                      <w:szCs w:val="21"/>
                    </w:rPr>
                  </w:pPr>
                  <w:r>
                    <w:rPr>
                      <w:rFonts w:hint="eastAsia" w:eastAsiaTheme="minorEastAsia"/>
                      <w:szCs w:val="21"/>
                    </w:rPr>
                    <w:t>44.30</w:t>
                  </w:r>
                </w:p>
              </w:tc>
              <w:tc>
                <w:tcPr>
                  <w:tcW w:w="715" w:type="pct"/>
                  <w:vAlign w:val="center"/>
                </w:tcPr>
                <w:p w14:paraId="44E8173A">
                  <w:pPr>
                    <w:jc w:val="center"/>
                    <w:rPr>
                      <w:rFonts w:eastAsiaTheme="minorEastAsia"/>
                      <w:szCs w:val="21"/>
                    </w:rPr>
                  </w:pPr>
                  <w:r>
                    <w:rPr>
                      <w:rFonts w:hint="eastAsia" w:eastAsiaTheme="minorEastAsia"/>
                      <w:szCs w:val="21"/>
                    </w:rPr>
                    <w:t>/</w:t>
                  </w:r>
                </w:p>
              </w:tc>
              <w:tc>
                <w:tcPr>
                  <w:tcW w:w="715" w:type="pct"/>
                  <w:vAlign w:val="center"/>
                </w:tcPr>
                <w:p w14:paraId="59FA0A90">
                  <w:pPr>
                    <w:jc w:val="center"/>
                    <w:rPr>
                      <w:rFonts w:eastAsiaTheme="minorEastAsia"/>
                      <w:szCs w:val="21"/>
                    </w:rPr>
                  </w:pPr>
                  <w:r>
                    <w:rPr>
                      <w:rFonts w:hint="eastAsia" w:eastAsiaTheme="minorEastAsia"/>
                      <w:szCs w:val="21"/>
                    </w:rPr>
                    <w:t>/</w:t>
                  </w:r>
                </w:p>
              </w:tc>
              <w:tc>
                <w:tcPr>
                  <w:tcW w:w="715" w:type="pct"/>
                  <w:vAlign w:val="center"/>
                </w:tcPr>
                <w:p w14:paraId="4DBB71C0">
                  <w:pPr>
                    <w:jc w:val="center"/>
                    <w:rPr>
                      <w:rFonts w:eastAsiaTheme="minorEastAsia"/>
                      <w:szCs w:val="21"/>
                    </w:rPr>
                  </w:pPr>
                  <w:r>
                    <w:rPr>
                      <w:rFonts w:hint="eastAsia" w:eastAsiaTheme="minorEastAsia"/>
                      <w:szCs w:val="21"/>
                    </w:rPr>
                    <w:t>50</w:t>
                  </w:r>
                </w:p>
              </w:tc>
              <w:tc>
                <w:tcPr>
                  <w:tcW w:w="710" w:type="pct"/>
                  <w:vAlign w:val="center"/>
                </w:tcPr>
                <w:p w14:paraId="479C21DB">
                  <w:pPr>
                    <w:jc w:val="center"/>
                    <w:rPr>
                      <w:rFonts w:eastAsiaTheme="minorEastAsia"/>
                      <w:szCs w:val="21"/>
                    </w:rPr>
                  </w:pPr>
                  <w:r>
                    <w:rPr>
                      <w:rFonts w:eastAsiaTheme="minorEastAsia"/>
                      <w:szCs w:val="21"/>
                    </w:rPr>
                    <w:t>达标</w:t>
                  </w:r>
                </w:p>
              </w:tc>
            </w:tr>
            <w:tr w14:paraId="27F9D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7B444690">
                  <w:pPr>
                    <w:overflowPunct w:val="0"/>
                    <w:snapToGrid w:val="0"/>
                    <w:jc w:val="center"/>
                    <w:rPr>
                      <w:rFonts w:eastAsiaTheme="minorEastAsia"/>
                      <w:szCs w:val="21"/>
                    </w:rPr>
                  </w:pPr>
                  <w:r>
                    <w:rPr>
                      <w:rFonts w:eastAsiaTheme="minorEastAsia"/>
                      <w:szCs w:val="21"/>
                    </w:rPr>
                    <w:t>北厂界</w:t>
                  </w:r>
                </w:p>
              </w:tc>
              <w:tc>
                <w:tcPr>
                  <w:tcW w:w="715" w:type="pct"/>
                  <w:vAlign w:val="center"/>
                </w:tcPr>
                <w:p w14:paraId="186E7B15">
                  <w:pPr>
                    <w:overflowPunct w:val="0"/>
                    <w:snapToGrid w:val="0"/>
                    <w:jc w:val="center"/>
                    <w:rPr>
                      <w:rFonts w:eastAsiaTheme="minorEastAsia"/>
                      <w:szCs w:val="21"/>
                    </w:rPr>
                  </w:pPr>
                  <w:r>
                    <w:rPr>
                      <w:rFonts w:eastAsiaTheme="minorEastAsia"/>
                      <w:szCs w:val="21"/>
                    </w:rPr>
                    <w:t>昼间</w:t>
                  </w:r>
                </w:p>
              </w:tc>
              <w:tc>
                <w:tcPr>
                  <w:tcW w:w="715" w:type="pct"/>
                  <w:vAlign w:val="center"/>
                </w:tcPr>
                <w:p w14:paraId="251637AC">
                  <w:pPr>
                    <w:jc w:val="center"/>
                    <w:rPr>
                      <w:rFonts w:eastAsiaTheme="minorEastAsia"/>
                      <w:szCs w:val="21"/>
                    </w:rPr>
                  </w:pPr>
                  <w:r>
                    <w:rPr>
                      <w:rFonts w:hint="eastAsia" w:eastAsiaTheme="minorEastAsia"/>
                      <w:szCs w:val="21"/>
                    </w:rPr>
                    <w:t>33.07</w:t>
                  </w:r>
                </w:p>
              </w:tc>
              <w:tc>
                <w:tcPr>
                  <w:tcW w:w="715" w:type="pct"/>
                  <w:vAlign w:val="center"/>
                </w:tcPr>
                <w:p w14:paraId="449B044C">
                  <w:pPr>
                    <w:overflowPunct w:val="0"/>
                    <w:snapToGrid w:val="0"/>
                    <w:jc w:val="center"/>
                    <w:rPr>
                      <w:rFonts w:eastAsiaTheme="minorEastAsia"/>
                      <w:szCs w:val="21"/>
                    </w:rPr>
                  </w:pPr>
                  <w:r>
                    <w:rPr>
                      <w:rFonts w:hint="eastAsia" w:eastAsiaTheme="minorEastAsia"/>
                      <w:szCs w:val="21"/>
                    </w:rPr>
                    <w:t>/</w:t>
                  </w:r>
                </w:p>
              </w:tc>
              <w:tc>
                <w:tcPr>
                  <w:tcW w:w="715" w:type="pct"/>
                  <w:vAlign w:val="center"/>
                </w:tcPr>
                <w:p w14:paraId="00EE0671">
                  <w:pPr>
                    <w:overflowPunct w:val="0"/>
                    <w:snapToGrid w:val="0"/>
                    <w:jc w:val="center"/>
                    <w:rPr>
                      <w:rFonts w:eastAsiaTheme="minorEastAsia"/>
                      <w:szCs w:val="21"/>
                    </w:rPr>
                  </w:pPr>
                  <w:r>
                    <w:rPr>
                      <w:rFonts w:hint="eastAsia" w:eastAsiaTheme="minorEastAsia"/>
                      <w:szCs w:val="21"/>
                    </w:rPr>
                    <w:t>/</w:t>
                  </w:r>
                </w:p>
              </w:tc>
              <w:tc>
                <w:tcPr>
                  <w:tcW w:w="715" w:type="pct"/>
                  <w:vAlign w:val="center"/>
                </w:tcPr>
                <w:p w14:paraId="096BF593">
                  <w:pPr>
                    <w:jc w:val="center"/>
                    <w:rPr>
                      <w:rFonts w:eastAsiaTheme="minorEastAsia"/>
                      <w:szCs w:val="21"/>
                    </w:rPr>
                  </w:pPr>
                  <w:r>
                    <w:rPr>
                      <w:rFonts w:hint="eastAsia" w:eastAsiaTheme="minorEastAsia"/>
                      <w:szCs w:val="21"/>
                    </w:rPr>
                    <w:t>60</w:t>
                  </w:r>
                </w:p>
              </w:tc>
              <w:tc>
                <w:tcPr>
                  <w:tcW w:w="710" w:type="pct"/>
                  <w:vAlign w:val="center"/>
                </w:tcPr>
                <w:p w14:paraId="5374EC3E">
                  <w:pPr>
                    <w:jc w:val="center"/>
                    <w:rPr>
                      <w:rFonts w:eastAsiaTheme="minorEastAsia"/>
                      <w:szCs w:val="21"/>
                    </w:rPr>
                  </w:pPr>
                  <w:r>
                    <w:rPr>
                      <w:rFonts w:eastAsiaTheme="minorEastAsia"/>
                      <w:szCs w:val="21"/>
                    </w:rPr>
                    <w:t>达标</w:t>
                  </w:r>
                </w:p>
              </w:tc>
            </w:tr>
            <w:tr w14:paraId="13BD04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54983894">
                  <w:pPr>
                    <w:overflowPunct w:val="0"/>
                    <w:snapToGrid w:val="0"/>
                    <w:jc w:val="center"/>
                    <w:rPr>
                      <w:rFonts w:eastAsiaTheme="minorEastAsia"/>
                      <w:szCs w:val="21"/>
                    </w:rPr>
                  </w:pPr>
                </w:p>
              </w:tc>
              <w:tc>
                <w:tcPr>
                  <w:tcW w:w="715" w:type="pct"/>
                  <w:vAlign w:val="center"/>
                </w:tcPr>
                <w:p w14:paraId="286B665A">
                  <w:pPr>
                    <w:overflowPunct w:val="0"/>
                    <w:snapToGrid w:val="0"/>
                    <w:jc w:val="center"/>
                    <w:rPr>
                      <w:rFonts w:eastAsiaTheme="minorEastAsia"/>
                      <w:szCs w:val="21"/>
                    </w:rPr>
                  </w:pPr>
                  <w:r>
                    <w:rPr>
                      <w:rFonts w:eastAsiaTheme="minorEastAsia"/>
                      <w:szCs w:val="21"/>
                    </w:rPr>
                    <w:t>夜间</w:t>
                  </w:r>
                </w:p>
              </w:tc>
              <w:tc>
                <w:tcPr>
                  <w:tcW w:w="715" w:type="pct"/>
                  <w:vAlign w:val="center"/>
                </w:tcPr>
                <w:p w14:paraId="7C1B4F61">
                  <w:pPr>
                    <w:jc w:val="center"/>
                    <w:rPr>
                      <w:rFonts w:eastAsiaTheme="minorEastAsia"/>
                      <w:szCs w:val="21"/>
                    </w:rPr>
                  </w:pPr>
                  <w:r>
                    <w:rPr>
                      <w:rFonts w:hint="eastAsia" w:eastAsiaTheme="minorEastAsia"/>
                      <w:szCs w:val="21"/>
                    </w:rPr>
                    <w:t>32.77</w:t>
                  </w:r>
                </w:p>
              </w:tc>
              <w:tc>
                <w:tcPr>
                  <w:tcW w:w="715" w:type="pct"/>
                  <w:vAlign w:val="center"/>
                </w:tcPr>
                <w:p w14:paraId="1270CA13">
                  <w:pPr>
                    <w:jc w:val="center"/>
                    <w:rPr>
                      <w:rFonts w:eastAsiaTheme="minorEastAsia"/>
                      <w:szCs w:val="21"/>
                    </w:rPr>
                  </w:pPr>
                  <w:r>
                    <w:rPr>
                      <w:rFonts w:hint="eastAsia" w:eastAsiaTheme="minorEastAsia"/>
                      <w:szCs w:val="21"/>
                    </w:rPr>
                    <w:t>/</w:t>
                  </w:r>
                </w:p>
              </w:tc>
              <w:tc>
                <w:tcPr>
                  <w:tcW w:w="715" w:type="pct"/>
                  <w:vAlign w:val="center"/>
                </w:tcPr>
                <w:p w14:paraId="07B378B2">
                  <w:pPr>
                    <w:jc w:val="center"/>
                    <w:rPr>
                      <w:rFonts w:eastAsiaTheme="minorEastAsia"/>
                      <w:szCs w:val="21"/>
                    </w:rPr>
                  </w:pPr>
                  <w:r>
                    <w:rPr>
                      <w:rFonts w:hint="eastAsia" w:eastAsiaTheme="minorEastAsia"/>
                      <w:szCs w:val="21"/>
                    </w:rPr>
                    <w:t>/</w:t>
                  </w:r>
                </w:p>
              </w:tc>
              <w:tc>
                <w:tcPr>
                  <w:tcW w:w="715" w:type="pct"/>
                  <w:vAlign w:val="center"/>
                </w:tcPr>
                <w:p w14:paraId="065BAA23">
                  <w:pPr>
                    <w:jc w:val="center"/>
                    <w:rPr>
                      <w:rFonts w:eastAsiaTheme="minorEastAsia"/>
                      <w:szCs w:val="21"/>
                    </w:rPr>
                  </w:pPr>
                  <w:r>
                    <w:rPr>
                      <w:rFonts w:hint="eastAsia" w:eastAsiaTheme="minorEastAsia"/>
                      <w:szCs w:val="21"/>
                    </w:rPr>
                    <w:t>50</w:t>
                  </w:r>
                </w:p>
              </w:tc>
              <w:tc>
                <w:tcPr>
                  <w:tcW w:w="710" w:type="pct"/>
                  <w:vAlign w:val="center"/>
                </w:tcPr>
                <w:p w14:paraId="318715B9">
                  <w:pPr>
                    <w:jc w:val="center"/>
                    <w:rPr>
                      <w:rFonts w:eastAsiaTheme="minorEastAsia"/>
                      <w:szCs w:val="21"/>
                    </w:rPr>
                  </w:pPr>
                  <w:r>
                    <w:rPr>
                      <w:rFonts w:eastAsiaTheme="minorEastAsia"/>
                      <w:szCs w:val="21"/>
                    </w:rPr>
                    <w:t>达标</w:t>
                  </w:r>
                </w:p>
              </w:tc>
            </w:tr>
            <w:tr w14:paraId="7AA4B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581B41F9">
                  <w:pPr>
                    <w:overflowPunct w:val="0"/>
                    <w:snapToGrid w:val="0"/>
                    <w:jc w:val="center"/>
                    <w:rPr>
                      <w:rFonts w:eastAsiaTheme="minorEastAsia"/>
                      <w:szCs w:val="21"/>
                    </w:rPr>
                  </w:pPr>
                  <w:r>
                    <w:rPr>
                      <w:rFonts w:hint="eastAsia"/>
                      <w:szCs w:val="21"/>
                    </w:rPr>
                    <w:t>项目东南侧居民点</w:t>
                  </w:r>
                </w:p>
              </w:tc>
              <w:tc>
                <w:tcPr>
                  <w:tcW w:w="715" w:type="pct"/>
                  <w:vAlign w:val="center"/>
                </w:tcPr>
                <w:p w14:paraId="41185DE9">
                  <w:pPr>
                    <w:overflowPunct w:val="0"/>
                    <w:snapToGrid w:val="0"/>
                    <w:jc w:val="center"/>
                    <w:rPr>
                      <w:rFonts w:eastAsiaTheme="minorEastAsia"/>
                      <w:szCs w:val="21"/>
                    </w:rPr>
                  </w:pPr>
                  <w:r>
                    <w:rPr>
                      <w:rFonts w:eastAsiaTheme="minorEastAsia"/>
                      <w:szCs w:val="21"/>
                    </w:rPr>
                    <w:t>昼间</w:t>
                  </w:r>
                </w:p>
              </w:tc>
              <w:tc>
                <w:tcPr>
                  <w:tcW w:w="715" w:type="pct"/>
                  <w:vAlign w:val="center"/>
                </w:tcPr>
                <w:p w14:paraId="77637D85">
                  <w:pPr>
                    <w:jc w:val="center"/>
                    <w:rPr>
                      <w:rFonts w:eastAsiaTheme="minorEastAsia"/>
                      <w:szCs w:val="21"/>
                    </w:rPr>
                  </w:pPr>
                  <w:r>
                    <w:rPr>
                      <w:rFonts w:hint="eastAsia" w:eastAsiaTheme="minorEastAsia"/>
                      <w:szCs w:val="21"/>
                    </w:rPr>
                    <w:t>37.66</w:t>
                  </w:r>
                </w:p>
              </w:tc>
              <w:tc>
                <w:tcPr>
                  <w:tcW w:w="715" w:type="pct"/>
                  <w:vAlign w:val="center"/>
                </w:tcPr>
                <w:p w14:paraId="569EE811">
                  <w:pPr>
                    <w:overflowPunct w:val="0"/>
                    <w:snapToGrid w:val="0"/>
                    <w:jc w:val="center"/>
                    <w:rPr>
                      <w:rFonts w:eastAsiaTheme="minorEastAsia"/>
                      <w:szCs w:val="21"/>
                    </w:rPr>
                  </w:pPr>
                  <w:r>
                    <w:rPr>
                      <w:rFonts w:hint="eastAsia" w:eastAsiaTheme="minorEastAsia"/>
                      <w:szCs w:val="21"/>
                    </w:rPr>
                    <w:t>56.50</w:t>
                  </w:r>
                </w:p>
              </w:tc>
              <w:tc>
                <w:tcPr>
                  <w:tcW w:w="715" w:type="pct"/>
                  <w:vAlign w:val="center"/>
                </w:tcPr>
                <w:p w14:paraId="1913F4A8">
                  <w:pPr>
                    <w:overflowPunct w:val="0"/>
                    <w:snapToGrid w:val="0"/>
                    <w:jc w:val="center"/>
                    <w:rPr>
                      <w:rFonts w:eastAsiaTheme="minorEastAsia"/>
                      <w:szCs w:val="21"/>
                    </w:rPr>
                  </w:pPr>
                  <w:r>
                    <w:rPr>
                      <w:rFonts w:hint="eastAsia" w:eastAsiaTheme="minorEastAsia"/>
                      <w:szCs w:val="21"/>
                    </w:rPr>
                    <w:t>56.56</w:t>
                  </w:r>
                </w:p>
              </w:tc>
              <w:tc>
                <w:tcPr>
                  <w:tcW w:w="715" w:type="pct"/>
                  <w:vAlign w:val="center"/>
                </w:tcPr>
                <w:p w14:paraId="003F269D">
                  <w:pPr>
                    <w:jc w:val="center"/>
                    <w:rPr>
                      <w:rFonts w:eastAsiaTheme="minorEastAsia"/>
                      <w:szCs w:val="21"/>
                    </w:rPr>
                  </w:pPr>
                  <w:r>
                    <w:rPr>
                      <w:rFonts w:hint="eastAsia" w:eastAsiaTheme="minorEastAsia"/>
                      <w:szCs w:val="21"/>
                    </w:rPr>
                    <w:t>70</w:t>
                  </w:r>
                </w:p>
              </w:tc>
              <w:tc>
                <w:tcPr>
                  <w:tcW w:w="710" w:type="pct"/>
                  <w:vAlign w:val="center"/>
                </w:tcPr>
                <w:p w14:paraId="31F74BE5">
                  <w:pPr>
                    <w:jc w:val="center"/>
                    <w:rPr>
                      <w:rFonts w:eastAsiaTheme="minorEastAsia"/>
                      <w:szCs w:val="21"/>
                    </w:rPr>
                  </w:pPr>
                  <w:r>
                    <w:rPr>
                      <w:rFonts w:eastAsiaTheme="minorEastAsia"/>
                      <w:szCs w:val="21"/>
                    </w:rPr>
                    <w:t>达标</w:t>
                  </w:r>
                </w:p>
              </w:tc>
            </w:tr>
            <w:tr w14:paraId="2AD4D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73CE10F8">
                  <w:pPr>
                    <w:overflowPunct w:val="0"/>
                    <w:snapToGrid w:val="0"/>
                    <w:jc w:val="center"/>
                    <w:rPr>
                      <w:rFonts w:eastAsiaTheme="minorEastAsia"/>
                      <w:szCs w:val="21"/>
                    </w:rPr>
                  </w:pPr>
                </w:p>
              </w:tc>
              <w:tc>
                <w:tcPr>
                  <w:tcW w:w="715" w:type="pct"/>
                  <w:vAlign w:val="center"/>
                </w:tcPr>
                <w:p w14:paraId="43C4336B">
                  <w:pPr>
                    <w:overflowPunct w:val="0"/>
                    <w:snapToGrid w:val="0"/>
                    <w:jc w:val="center"/>
                    <w:rPr>
                      <w:rFonts w:eastAsiaTheme="minorEastAsia"/>
                      <w:szCs w:val="21"/>
                    </w:rPr>
                  </w:pPr>
                  <w:r>
                    <w:rPr>
                      <w:rFonts w:eastAsiaTheme="minorEastAsia"/>
                      <w:szCs w:val="21"/>
                    </w:rPr>
                    <w:t>夜间</w:t>
                  </w:r>
                </w:p>
              </w:tc>
              <w:tc>
                <w:tcPr>
                  <w:tcW w:w="715" w:type="pct"/>
                  <w:vAlign w:val="center"/>
                </w:tcPr>
                <w:p w14:paraId="0CFA648A">
                  <w:pPr>
                    <w:jc w:val="center"/>
                    <w:rPr>
                      <w:rFonts w:eastAsiaTheme="minorEastAsia"/>
                      <w:szCs w:val="21"/>
                    </w:rPr>
                  </w:pPr>
                  <w:r>
                    <w:rPr>
                      <w:rFonts w:hint="eastAsia" w:eastAsiaTheme="minorEastAsia"/>
                      <w:szCs w:val="21"/>
                    </w:rPr>
                    <w:t>24.07</w:t>
                  </w:r>
                </w:p>
              </w:tc>
              <w:tc>
                <w:tcPr>
                  <w:tcW w:w="715" w:type="pct"/>
                  <w:vAlign w:val="center"/>
                </w:tcPr>
                <w:p w14:paraId="173A4ACB">
                  <w:pPr>
                    <w:overflowPunct w:val="0"/>
                    <w:snapToGrid w:val="0"/>
                    <w:jc w:val="center"/>
                    <w:rPr>
                      <w:rFonts w:eastAsiaTheme="minorEastAsia"/>
                      <w:szCs w:val="21"/>
                    </w:rPr>
                  </w:pPr>
                  <w:r>
                    <w:rPr>
                      <w:rFonts w:hint="eastAsia" w:eastAsiaTheme="minorEastAsia"/>
                      <w:szCs w:val="21"/>
                    </w:rPr>
                    <w:t>44.30</w:t>
                  </w:r>
                </w:p>
              </w:tc>
              <w:tc>
                <w:tcPr>
                  <w:tcW w:w="715" w:type="pct"/>
                  <w:vAlign w:val="center"/>
                </w:tcPr>
                <w:p w14:paraId="5ECA0CCF">
                  <w:pPr>
                    <w:overflowPunct w:val="0"/>
                    <w:snapToGrid w:val="0"/>
                    <w:jc w:val="center"/>
                    <w:rPr>
                      <w:rFonts w:eastAsiaTheme="minorEastAsia"/>
                      <w:szCs w:val="21"/>
                    </w:rPr>
                  </w:pPr>
                  <w:r>
                    <w:rPr>
                      <w:rFonts w:hint="eastAsia" w:eastAsiaTheme="minorEastAsia"/>
                      <w:szCs w:val="21"/>
                    </w:rPr>
                    <w:t>44.34</w:t>
                  </w:r>
                </w:p>
              </w:tc>
              <w:tc>
                <w:tcPr>
                  <w:tcW w:w="715" w:type="pct"/>
                  <w:vAlign w:val="center"/>
                </w:tcPr>
                <w:p w14:paraId="54D59701">
                  <w:pPr>
                    <w:jc w:val="center"/>
                    <w:rPr>
                      <w:rFonts w:eastAsiaTheme="minorEastAsia"/>
                      <w:szCs w:val="21"/>
                    </w:rPr>
                  </w:pPr>
                  <w:r>
                    <w:rPr>
                      <w:rFonts w:hint="eastAsia" w:eastAsiaTheme="minorEastAsia"/>
                      <w:szCs w:val="21"/>
                    </w:rPr>
                    <w:t>55</w:t>
                  </w:r>
                </w:p>
              </w:tc>
              <w:tc>
                <w:tcPr>
                  <w:tcW w:w="710" w:type="pct"/>
                  <w:vAlign w:val="center"/>
                </w:tcPr>
                <w:p w14:paraId="32F98028">
                  <w:pPr>
                    <w:jc w:val="center"/>
                    <w:rPr>
                      <w:rFonts w:eastAsiaTheme="minorEastAsia"/>
                      <w:szCs w:val="21"/>
                    </w:rPr>
                  </w:pPr>
                  <w:r>
                    <w:rPr>
                      <w:rFonts w:eastAsiaTheme="minorEastAsia"/>
                      <w:szCs w:val="21"/>
                    </w:rPr>
                    <w:t>达标</w:t>
                  </w:r>
                </w:p>
              </w:tc>
            </w:tr>
            <w:tr w14:paraId="2B3FE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28818904">
                  <w:pPr>
                    <w:overflowPunct w:val="0"/>
                    <w:snapToGrid w:val="0"/>
                    <w:jc w:val="center"/>
                    <w:rPr>
                      <w:rFonts w:eastAsiaTheme="minorEastAsia"/>
                      <w:szCs w:val="21"/>
                    </w:rPr>
                  </w:pPr>
                  <w:r>
                    <w:rPr>
                      <w:rFonts w:hint="eastAsia"/>
                      <w:szCs w:val="21"/>
                    </w:rPr>
                    <w:t>项目东侧居民点</w:t>
                  </w:r>
                </w:p>
              </w:tc>
              <w:tc>
                <w:tcPr>
                  <w:tcW w:w="715" w:type="pct"/>
                  <w:vAlign w:val="center"/>
                </w:tcPr>
                <w:p w14:paraId="276D9B84">
                  <w:pPr>
                    <w:overflowPunct w:val="0"/>
                    <w:snapToGrid w:val="0"/>
                    <w:jc w:val="center"/>
                    <w:rPr>
                      <w:rFonts w:eastAsiaTheme="minorEastAsia"/>
                      <w:szCs w:val="21"/>
                    </w:rPr>
                  </w:pPr>
                  <w:r>
                    <w:rPr>
                      <w:rFonts w:eastAsiaTheme="minorEastAsia"/>
                      <w:szCs w:val="21"/>
                    </w:rPr>
                    <w:t>昼间</w:t>
                  </w:r>
                </w:p>
              </w:tc>
              <w:tc>
                <w:tcPr>
                  <w:tcW w:w="715" w:type="pct"/>
                  <w:vAlign w:val="center"/>
                </w:tcPr>
                <w:p w14:paraId="42EA37B3">
                  <w:pPr>
                    <w:jc w:val="center"/>
                    <w:rPr>
                      <w:rFonts w:eastAsiaTheme="minorEastAsia"/>
                      <w:szCs w:val="21"/>
                    </w:rPr>
                  </w:pPr>
                  <w:r>
                    <w:rPr>
                      <w:rFonts w:hint="eastAsia" w:eastAsiaTheme="minorEastAsia"/>
                      <w:szCs w:val="21"/>
                    </w:rPr>
                    <w:t>34.61</w:t>
                  </w:r>
                </w:p>
              </w:tc>
              <w:tc>
                <w:tcPr>
                  <w:tcW w:w="715" w:type="pct"/>
                  <w:vAlign w:val="center"/>
                </w:tcPr>
                <w:p w14:paraId="74C73C07">
                  <w:pPr>
                    <w:overflowPunct w:val="0"/>
                    <w:snapToGrid w:val="0"/>
                    <w:jc w:val="center"/>
                    <w:rPr>
                      <w:rFonts w:eastAsiaTheme="minorEastAsia"/>
                      <w:szCs w:val="21"/>
                    </w:rPr>
                  </w:pPr>
                  <w:r>
                    <w:rPr>
                      <w:rFonts w:hint="eastAsia" w:eastAsiaTheme="minorEastAsia"/>
                      <w:szCs w:val="21"/>
                    </w:rPr>
                    <w:t>56.20</w:t>
                  </w:r>
                </w:p>
              </w:tc>
              <w:tc>
                <w:tcPr>
                  <w:tcW w:w="715" w:type="pct"/>
                  <w:vAlign w:val="center"/>
                </w:tcPr>
                <w:p w14:paraId="01EC5867">
                  <w:pPr>
                    <w:overflowPunct w:val="0"/>
                    <w:snapToGrid w:val="0"/>
                    <w:jc w:val="center"/>
                    <w:rPr>
                      <w:rFonts w:eastAsiaTheme="minorEastAsia"/>
                      <w:szCs w:val="21"/>
                    </w:rPr>
                  </w:pPr>
                  <w:r>
                    <w:rPr>
                      <w:rFonts w:hint="eastAsia" w:eastAsiaTheme="minorEastAsia"/>
                      <w:szCs w:val="21"/>
                    </w:rPr>
                    <w:t>56.23</w:t>
                  </w:r>
                </w:p>
              </w:tc>
              <w:tc>
                <w:tcPr>
                  <w:tcW w:w="715" w:type="pct"/>
                  <w:vAlign w:val="center"/>
                </w:tcPr>
                <w:p w14:paraId="24F6BC57">
                  <w:pPr>
                    <w:jc w:val="center"/>
                    <w:rPr>
                      <w:rFonts w:eastAsiaTheme="minorEastAsia"/>
                      <w:szCs w:val="21"/>
                    </w:rPr>
                  </w:pPr>
                  <w:r>
                    <w:rPr>
                      <w:rFonts w:hint="eastAsia" w:eastAsiaTheme="minorEastAsia"/>
                      <w:szCs w:val="21"/>
                    </w:rPr>
                    <w:t>70</w:t>
                  </w:r>
                </w:p>
              </w:tc>
              <w:tc>
                <w:tcPr>
                  <w:tcW w:w="710" w:type="pct"/>
                  <w:vAlign w:val="center"/>
                </w:tcPr>
                <w:p w14:paraId="421B3545">
                  <w:pPr>
                    <w:jc w:val="center"/>
                    <w:rPr>
                      <w:rFonts w:eastAsiaTheme="minorEastAsia"/>
                      <w:szCs w:val="21"/>
                    </w:rPr>
                  </w:pPr>
                  <w:r>
                    <w:rPr>
                      <w:rFonts w:eastAsiaTheme="minorEastAsia"/>
                      <w:szCs w:val="21"/>
                    </w:rPr>
                    <w:t>达标</w:t>
                  </w:r>
                </w:p>
              </w:tc>
            </w:tr>
            <w:tr w14:paraId="5304A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59619945">
                  <w:pPr>
                    <w:overflowPunct w:val="0"/>
                    <w:snapToGrid w:val="0"/>
                    <w:jc w:val="center"/>
                    <w:rPr>
                      <w:rFonts w:eastAsiaTheme="minorEastAsia"/>
                      <w:szCs w:val="21"/>
                    </w:rPr>
                  </w:pPr>
                </w:p>
              </w:tc>
              <w:tc>
                <w:tcPr>
                  <w:tcW w:w="715" w:type="pct"/>
                  <w:vAlign w:val="center"/>
                </w:tcPr>
                <w:p w14:paraId="713278B8">
                  <w:pPr>
                    <w:overflowPunct w:val="0"/>
                    <w:snapToGrid w:val="0"/>
                    <w:jc w:val="center"/>
                    <w:rPr>
                      <w:rFonts w:eastAsiaTheme="minorEastAsia"/>
                      <w:szCs w:val="21"/>
                    </w:rPr>
                  </w:pPr>
                  <w:r>
                    <w:rPr>
                      <w:rFonts w:eastAsiaTheme="minorEastAsia"/>
                      <w:szCs w:val="21"/>
                    </w:rPr>
                    <w:t>夜间</w:t>
                  </w:r>
                </w:p>
              </w:tc>
              <w:tc>
                <w:tcPr>
                  <w:tcW w:w="715" w:type="pct"/>
                  <w:vAlign w:val="center"/>
                </w:tcPr>
                <w:p w14:paraId="2170F56F">
                  <w:pPr>
                    <w:jc w:val="center"/>
                    <w:rPr>
                      <w:rFonts w:eastAsiaTheme="minorEastAsia"/>
                      <w:szCs w:val="21"/>
                    </w:rPr>
                  </w:pPr>
                  <w:r>
                    <w:rPr>
                      <w:rFonts w:hint="eastAsia" w:eastAsiaTheme="minorEastAsia"/>
                      <w:szCs w:val="21"/>
                    </w:rPr>
                    <w:t>20.91</w:t>
                  </w:r>
                </w:p>
              </w:tc>
              <w:tc>
                <w:tcPr>
                  <w:tcW w:w="715" w:type="pct"/>
                  <w:vAlign w:val="center"/>
                </w:tcPr>
                <w:p w14:paraId="3EBEFDF0">
                  <w:pPr>
                    <w:overflowPunct w:val="0"/>
                    <w:snapToGrid w:val="0"/>
                    <w:jc w:val="center"/>
                    <w:rPr>
                      <w:rFonts w:eastAsiaTheme="minorEastAsia"/>
                      <w:szCs w:val="21"/>
                    </w:rPr>
                  </w:pPr>
                  <w:r>
                    <w:rPr>
                      <w:rFonts w:hint="eastAsia" w:eastAsiaTheme="minorEastAsia"/>
                      <w:szCs w:val="21"/>
                    </w:rPr>
                    <w:t>43.80</w:t>
                  </w:r>
                </w:p>
              </w:tc>
              <w:tc>
                <w:tcPr>
                  <w:tcW w:w="715" w:type="pct"/>
                  <w:vAlign w:val="center"/>
                </w:tcPr>
                <w:p w14:paraId="43DB1996">
                  <w:pPr>
                    <w:overflowPunct w:val="0"/>
                    <w:snapToGrid w:val="0"/>
                    <w:jc w:val="center"/>
                    <w:rPr>
                      <w:rFonts w:eastAsiaTheme="minorEastAsia"/>
                      <w:szCs w:val="21"/>
                    </w:rPr>
                  </w:pPr>
                  <w:r>
                    <w:rPr>
                      <w:rFonts w:hint="eastAsia" w:eastAsiaTheme="minorEastAsia"/>
                      <w:szCs w:val="21"/>
                    </w:rPr>
                    <w:t>43.82</w:t>
                  </w:r>
                </w:p>
              </w:tc>
              <w:tc>
                <w:tcPr>
                  <w:tcW w:w="715" w:type="pct"/>
                  <w:vAlign w:val="center"/>
                </w:tcPr>
                <w:p w14:paraId="62E764E8">
                  <w:pPr>
                    <w:jc w:val="center"/>
                    <w:rPr>
                      <w:rFonts w:eastAsiaTheme="minorEastAsia"/>
                      <w:szCs w:val="21"/>
                    </w:rPr>
                  </w:pPr>
                  <w:r>
                    <w:rPr>
                      <w:rFonts w:hint="eastAsia" w:eastAsiaTheme="minorEastAsia"/>
                      <w:szCs w:val="21"/>
                    </w:rPr>
                    <w:t>55</w:t>
                  </w:r>
                </w:p>
              </w:tc>
              <w:tc>
                <w:tcPr>
                  <w:tcW w:w="710" w:type="pct"/>
                  <w:vAlign w:val="center"/>
                </w:tcPr>
                <w:p w14:paraId="0A40D43E">
                  <w:pPr>
                    <w:jc w:val="center"/>
                    <w:rPr>
                      <w:rFonts w:eastAsiaTheme="minorEastAsia"/>
                      <w:szCs w:val="21"/>
                    </w:rPr>
                  </w:pPr>
                  <w:r>
                    <w:rPr>
                      <w:rFonts w:eastAsiaTheme="minorEastAsia"/>
                      <w:szCs w:val="21"/>
                    </w:rPr>
                    <w:t>达标</w:t>
                  </w:r>
                </w:p>
              </w:tc>
            </w:tr>
            <w:tr w14:paraId="06F6D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0352859F">
                  <w:pPr>
                    <w:overflowPunct w:val="0"/>
                    <w:snapToGrid w:val="0"/>
                    <w:jc w:val="center"/>
                    <w:rPr>
                      <w:rFonts w:eastAsiaTheme="minorEastAsia"/>
                      <w:szCs w:val="21"/>
                    </w:rPr>
                  </w:pPr>
                  <w:r>
                    <w:rPr>
                      <w:rFonts w:hint="eastAsia"/>
                      <w:szCs w:val="21"/>
                    </w:rPr>
                    <w:t>项目东北侧居民点</w:t>
                  </w:r>
                </w:p>
              </w:tc>
              <w:tc>
                <w:tcPr>
                  <w:tcW w:w="715" w:type="pct"/>
                  <w:vAlign w:val="center"/>
                </w:tcPr>
                <w:p w14:paraId="22BF7995">
                  <w:pPr>
                    <w:overflowPunct w:val="0"/>
                    <w:snapToGrid w:val="0"/>
                    <w:jc w:val="center"/>
                    <w:rPr>
                      <w:rFonts w:eastAsiaTheme="minorEastAsia"/>
                      <w:szCs w:val="21"/>
                    </w:rPr>
                  </w:pPr>
                  <w:r>
                    <w:rPr>
                      <w:rFonts w:eastAsiaTheme="minorEastAsia"/>
                      <w:szCs w:val="21"/>
                    </w:rPr>
                    <w:t>昼间</w:t>
                  </w:r>
                </w:p>
              </w:tc>
              <w:tc>
                <w:tcPr>
                  <w:tcW w:w="715" w:type="pct"/>
                  <w:vAlign w:val="center"/>
                </w:tcPr>
                <w:p w14:paraId="00B47DB5">
                  <w:pPr>
                    <w:jc w:val="center"/>
                    <w:rPr>
                      <w:rFonts w:eastAsiaTheme="minorEastAsia"/>
                      <w:szCs w:val="21"/>
                    </w:rPr>
                  </w:pPr>
                  <w:r>
                    <w:rPr>
                      <w:rFonts w:hint="eastAsia" w:eastAsiaTheme="minorEastAsia"/>
                      <w:szCs w:val="21"/>
                    </w:rPr>
                    <w:t>38.51</w:t>
                  </w:r>
                </w:p>
              </w:tc>
              <w:tc>
                <w:tcPr>
                  <w:tcW w:w="715" w:type="pct"/>
                  <w:vAlign w:val="center"/>
                </w:tcPr>
                <w:p w14:paraId="6F8D6350">
                  <w:pPr>
                    <w:overflowPunct w:val="0"/>
                    <w:snapToGrid w:val="0"/>
                    <w:jc w:val="center"/>
                    <w:rPr>
                      <w:rFonts w:eastAsiaTheme="minorEastAsia"/>
                      <w:szCs w:val="21"/>
                    </w:rPr>
                  </w:pPr>
                  <w:r>
                    <w:rPr>
                      <w:rFonts w:hint="eastAsia" w:eastAsiaTheme="minorEastAsia"/>
                      <w:szCs w:val="21"/>
                    </w:rPr>
                    <w:t>55.60</w:t>
                  </w:r>
                </w:p>
              </w:tc>
              <w:tc>
                <w:tcPr>
                  <w:tcW w:w="715" w:type="pct"/>
                  <w:vAlign w:val="center"/>
                </w:tcPr>
                <w:p w14:paraId="6C690EBC">
                  <w:pPr>
                    <w:overflowPunct w:val="0"/>
                    <w:snapToGrid w:val="0"/>
                    <w:jc w:val="center"/>
                    <w:rPr>
                      <w:rFonts w:eastAsiaTheme="minorEastAsia"/>
                      <w:szCs w:val="21"/>
                    </w:rPr>
                  </w:pPr>
                  <w:r>
                    <w:rPr>
                      <w:rFonts w:hint="eastAsia" w:eastAsiaTheme="minorEastAsia"/>
                      <w:szCs w:val="21"/>
                    </w:rPr>
                    <w:t>55.68</w:t>
                  </w:r>
                </w:p>
              </w:tc>
              <w:tc>
                <w:tcPr>
                  <w:tcW w:w="715" w:type="pct"/>
                  <w:vAlign w:val="center"/>
                </w:tcPr>
                <w:p w14:paraId="6CA90BAC">
                  <w:pPr>
                    <w:jc w:val="center"/>
                    <w:rPr>
                      <w:rFonts w:eastAsiaTheme="minorEastAsia"/>
                      <w:szCs w:val="21"/>
                    </w:rPr>
                  </w:pPr>
                  <w:r>
                    <w:rPr>
                      <w:rFonts w:hint="eastAsia" w:eastAsiaTheme="minorEastAsia"/>
                      <w:szCs w:val="21"/>
                    </w:rPr>
                    <w:t>70</w:t>
                  </w:r>
                </w:p>
              </w:tc>
              <w:tc>
                <w:tcPr>
                  <w:tcW w:w="710" w:type="pct"/>
                  <w:vAlign w:val="center"/>
                </w:tcPr>
                <w:p w14:paraId="6044AD14">
                  <w:pPr>
                    <w:jc w:val="center"/>
                    <w:rPr>
                      <w:rFonts w:eastAsiaTheme="minorEastAsia"/>
                      <w:szCs w:val="21"/>
                    </w:rPr>
                  </w:pPr>
                  <w:r>
                    <w:rPr>
                      <w:rFonts w:eastAsiaTheme="minorEastAsia"/>
                      <w:szCs w:val="21"/>
                    </w:rPr>
                    <w:t>达标</w:t>
                  </w:r>
                </w:p>
              </w:tc>
            </w:tr>
            <w:tr w14:paraId="5AEEE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031E4096">
                  <w:pPr>
                    <w:overflowPunct w:val="0"/>
                    <w:snapToGrid w:val="0"/>
                    <w:jc w:val="center"/>
                    <w:rPr>
                      <w:rFonts w:eastAsiaTheme="minorEastAsia"/>
                      <w:szCs w:val="21"/>
                    </w:rPr>
                  </w:pPr>
                </w:p>
              </w:tc>
              <w:tc>
                <w:tcPr>
                  <w:tcW w:w="715" w:type="pct"/>
                  <w:vAlign w:val="center"/>
                </w:tcPr>
                <w:p w14:paraId="4C84CA31">
                  <w:pPr>
                    <w:overflowPunct w:val="0"/>
                    <w:snapToGrid w:val="0"/>
                    <w:jc w:val="center"/>
                    <w:rPr>
                      <w:rFonts w:eastAsiaTheme="minorEastAsia"/>
                      <w:szCs w:val="21"/>
                    </w:rPr>
                  </w:pPr>
                  <w:r>
                    <w:rPr>
                      <w:rFonts w:eastAsiaTheme="minorEastAsia"/>
                      <w:szCs w:val="21"/>
                    </w:rPr>
                    <w:t>夜间</w:t>
                  </w:r>
                </w:p>
              </w:tc>
              <w:tc>
                <w:tcPr>
                  <w:tcW w:w="715" w:type="pct"/>
                  <w:vAlign w:val="center"/>
                </w:tcPr>
                <w:p w14:paraId="008D8029">
                  <w:pPr>
                    <w:jc w:val="center"/>
                    <w:rPr>
                      <w:rFonts w:eastAsiaTheme="minorEastAsia"/>
                      <w:szCs w:val="21"/>
                    </w:rPr>
                  </w:pPr>
                  <w:r>
                    <w:rPr>
                      <w:rFonts w:hint="eastAsia" w:eastAsiaTheme="minorEastAsia"/>
                      <w:szCs w:val="21"/>
                    </w:rPr>
                    <w:t>26.86</w:t>
                  </w:r>
                </w:p>
              </w:tc>
              <w:tc>
                <w:tcPr>
                  <w:tcW w:w="715" w:type="pct"/>
                  <w:vAlign w:val="center"/>
                </w:tcPr>
                <w:p w14:paraId="797D41E7">
                  <w:pPr>
                    <w:overflowPunct w:val="0"/>
                    <w:snapToGrid w:val="0"/>
                    <w:jc w:val="center"/>
                    <w:rPr>
                      <w:rFonts w:eastAsiaTheme="minorEastAsia"/>
                      <w:szCs w:val="21"/>
                    </w:rPr>
                  </w:pPr>
                  <w:r>
                    <w:rPr>
                      <w:rFonts w:hint="eastAsia" w:eastAsiaTheme="minorEastAsia"/>
                      <w:szCs w:val="21"/>
                    </w:rPr>
                    <w:t>43.30</w:t>
                  </w:r>
                </w:p>
              </w:tc>
              <w:tc>
                <w:tcPr>
                  <w:tcW w:w="715" w:type="pct"/>
                  <w:vAlign w:val="center"/>
                </w:tcPr>
                <w:p w14:paraId="6C801F07">
                  <w:pPr>
                    <w:overflowPunct w:val="0"/>
                    <w:snapToGrid w:val="0"/>
                    <w:jc w:val="center"/>
                    <w:rPr>
                      <w:rFonts w:eastAsiaTheme="minorEastAsia"/>
                      <w:szCs w:val="21"/>
                    </w:rPr>
                  </w:pPr>
                  <w:r>
                    <w:rPr>
                      <w:rFonts w:hint="eastAsia" w:eastAsiaTheme="minorEastAsia"/>
                      <w:szCs w:val="21"/>
                    </w:rPr>
                    <w:t>43.40</w:t>
                  </w:r>
                </w:p>
              </w:tc>
              <w:tc>
                <w:tcPr>
                  <w:tcW w:w="715" w:type="pct"/>
                  <w:vAlign w:val="center"/>
                </w:tcPr>
                <w:p w14:paraId="71800F11">
                  <w:pPr>
                    <w:jc w:val="center"/>
                    <w:rPr>
                      <w:rFonts w:eastAsiaTheme="minorEastAsia"/>
                      <w:szCs w:val="21"/>
                    </w:rPr>
                  </w:pPr>
                  <w:r>
                    <w:rPr>
                      <w:rFonts w:hint="eastAsia" w:eastAsiaTheme="minorEastAsia"/>
                      <w:szCs w:val="21"/>
                    </w:rPr>
                    <w:t>55</w:t>
                  </w:r>
                </w:p>
              </w:tc>
              <w:tc>
                <w:tcPr>
                  <w:tcW w:w="710" w:type="pct"/>
                  <w:vAlign w:val="center"/>
                </w:tcPr>
                <w:p w14:paraId="106D58D3">
                  <w:pPr>
                    <w:jc w:val="center"/>
                    <w:rPr>
                      <w:rFonts w:eastAsiaTheme="minorEastAsia"/>
                      <w:szCs w:val="21"/>
                    </w:rPr>
                  </w:pPr>
                  <w:r>
                    <w:rPr>
                      <w:rFonts w:eastAsiaTheme="minorEastAsia"/>
                      <w:szCs w:val="21"/>
                    </w:rPr>
                    <w:t>达标</w:t>
                  </w:r>
                </w:p>
              </w:tc>
            </w:tr>
            <w:tr w14:paraId="46C26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36E5129C">
                  <w:pPr>
                    <w:overflowPunct w:val="0"/>
                    <w:snapToGrid w:val="0"/>
                    <w:jc w:val="center"/>
                    <w:rPr>
                      <w:rFonts w:eastAsiaTheme="minorEastAsia"/>
                      <w:szCs w:val="21"/>
                    </w:rPr>
                  </w:pPr>
                  <w:r>
                    <w:rPr>
                      <w:rFonts w:hint="eastAsia"/>
                      <w:szCs w:val="21"/>
                    </w:rPr>
                    <w:t>项目北侧居民点</w:t>
                  </w:r>
                </w:p>
              </w:tc>
              <w:tc>
                <w:tcPr>
                  <w:tcW w:w="715" w:type="pct"/>
                  <w:vAlign w:val="center"/>
                </w:tcPr>
                <w:p w14:paraId="7B3E596C">
                  <w:pPr>
                    <w:overflowPunct w:val="0"/>
                    <w:snapToGrid w:val="0"/>
                    <w:jc w:val="center"/>
                    <w:rPr>
                      <w:rFonts w:eastAsiaTheme="minorEastAsia"/>
                      <w:szCs w:val="21"/>
                    </w:rPr>
                  </w:pPr>
                  <w:r>
                    <w:rPr>
                      <w:rFonts w:eastAsiaTheme="minorEastAsia"/>
                      <w:szCs w:val="21"/>
                    </w:rPr>
                    <w:t>昼间</w:t>
                  </w:r>
                </w:p>
              </w:tc>
              <w:tc>
                <w:tcPr>
                  <w:tcW w:w="715" w:type="pct"/>
                  <w:vAlign w:val="center"/>
                </w:tcPr>
                <w:p w14:paraId="5102567C">
                  <w:pPr>
                    <w:jc w:val="center"/>
                    <w:rPr>
                      <w:rFonts w:eastAsiaTheme="minorEastAsia"/>
                      <w:szCs w:val="21"/>
                    </w:rPr>
                  </w:pPr>
                  <w:r>
                    <w:rPr>
                      <w:rFonts w:hint="eastAsia" w:eastAsiaTheme="minorEastAsia"/>
                      <w:szCs w:val="21"/>
                    </w:rPr>
                    <w:t>43.14</w:t>
                  </w:r>
                </w:p>
              </w:tc>
              <w:tc>
                <w:tcPr>
                  <w:tcW w:w="715" w:type="pct"/>
                  <w:vAlign w:val="center"/>
                </w:tcPr>
                <w:p w14:paraId="5DDB86FE">
                  <w:pPr>
                    <w:overflowPunct w:val="0"/>
                    <w:snapToGrid w:val="0"/>
                    <w:jc w:val="center"/>
                    <w:rPr>
                      <w:rFonts w:eastAsiaTheme="minorEastAsia"/>
                      <w:szCs w:val="21"/>
                    </w:rPr>
                  </w:pPr>
                  <w:r>
                    <w:rPr>
                      <w:rFonts w:hint="eastAsia" w:eastAsiaTheme="minorEastAsia"/>
                      <w:szCs w:val="21"/>
                    </w:rPr>
                    <w:t>54.40</w:t>
                  </w:r>
                </w:p>
              </w:tc>
              <w:tc>
                <w:tcPr>
                  <w:tcW w:w="715" w:type="pct"/>
                  <w:vAlign w:val="center"/>
                </w:tcPr>
                <w:p w14:paraId="6E8CBDA8">
                  <w:pPr>
                    <w:overflowPunct w:val="0"/>
                    <w:snapToGrid w:val="0"/>
                    <w:jc w:val="center"/>
                    <w:rPr>
                      <w:rFonts w:eastAsiaTheme="minorEastAsia"/>
                      <w:szCs w:val="21"/>
                    </w:rPr>
                  </w:pPr>
                  <w:r>
                    <w:rPr>
                      <w:rFonts w:hint="eastAsia" w:eastAsiaTheme="minorEastAsia"/>
                      <w:szCs w:val="21"/>
                    </w:rPr>
                    <w:t>54.71</w:t>
                  </w:r>
                </w:p>
              </w:tc>
              <w:tc>
                <w:tcPr>
                  <w:tcW w:w="715" w:type="pct"/>
                  <w:vAlign w:val="center"/>
                </w:tcPr>
                <w:p w14:paraId="1A7276C6">
                  <w:pPr>
                    <w:jc w:val="center"/>
                    <w:rPr>
                      <w:rFonts w:eastAsiaTheme="minorEastAsia"/>
                      <w:szCs w:val="21"/>
                    </w:rPr>
                  </w:pPr>
                  <w:r>
                    <w:rPr>
                      <w:rFonts w:hint="eastAsia" w:eastAsiaTheme="minorEastAsia"/>
                      <w:szCs w:val="21"/>
                    </w:rPr>
                    <w:t>60</w:t>
                  </w:r>
                </w:p>
              </w:tc>
              <w:tc>
                <w:tcPr>
                  <w:tcW w:w="710" w:type="pct"/>
                  <w:vAlign w:val="center"/>
                </w:tcPr>
                <w:p w14:paraId="525BCCAB">
                  <w:pPr>
                    <w:jc w:val="center"/>
                    <w:rPr>
                      <w:rFonts w:eastAsiaTheme="minorEastAsia"/>
                      <w:szCs w:val="21"/>
                    </w:rPr>
                  </w:pPr>
                  <w:r>
                    <w:rPr>
                      <w:rFonts w:eastAsiaTheme="minorEastAsia"/>
                      <w:szCs w:val="21"/>
                    </w:rPr>
                    <w:t>达标</w:t>
                  </w:r>
                </w:p>
              </w:tc>
            </w:tr>
            <w:tr w14:paraId="15756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296BBF8A">
                  <w:pPr>
                    <w:overflowPunct w:val="0"/>
                    <w:snapToGrid w:val="0"/>
                    <w:jc w:val="center"/>
                    <w:rPr>
                      <w:rFonts w:eastAsiaTheme="minorEastAsia"/>
                      <w:szCs w:val="21"/>
                    </w:rPr>
                  </w:pPr>
                </w:p>
              </w:tc>
              <w:tc>
                <w:tcPr>
                  <w:tcW w:w="715" w:type="pct"/>
                  <w:vAlign w:val="center"/>
                </w:tcPr>
                <w:p w14:paraId="57BA8B34">
                  <w:pPr>
                    <w:overflowPunct w:val="0"/>
                    <w:snapToGrid w:val="0"/>
                    <w:jc w:val="center"/>
                    <w:rPr>
                      <w:rFonts w:eastAsiaTheme="minorEastAsia"/>
                      <w:szCs w:val="21"/>
                    </w:rPr>
                  </w:pPr>
                  <w:r>
                    <w:rPr>
                      <w:rFonts w:eastAsiaTheme="minorEastAsia"/>
                      <w:szCs w:val="21"/>
                    </w:rPr>
                    <w:t>夜间</w:t>
                  </w:r>
                </w:p>
              </w:tc>
              <w:tc>
                <w:tcPr>
                  <w:tcW w:w="715" w:type="pct"/>
                  <w:vAlign w:val="center"/>
                </w:tcPr>
                <w:p w14:paraId="2A0D56AA">
                  <w:pPr>
                    <w:jc w:val="center"/>
                    <w:rPr>
                      <w:rFonts w:eastAsiaTheme="minorEastAsia"/>
                      <w:szCs w:val="21"/>
                    </w:rPr>
                  </w:pPr>
                  <w:r>
                    <w:rPr>
                      <w:rFonts w:hint="eastAsia" w:eastAsiaTheme="minorEastAsia"/>
                      <w:szCs w:val="21"/>
                    </w:rPr>
                    <w:t>39.94</w:t>
                  </w:r>
                </w:p>
              </w:tc>
              <w:tc>
                <w:tcPr>
                  <w:tcW w:w="715" w:type="pct"/>
                  <w:vAlign w:val="center"/>
                </w:tcPr>
                <w:p w14:paraId="245670D8">
                  <w:pPr>
                    <w:overflowPunct w:val="0"/>
                    <w:snapToGrid w:val="0"/>
                    <w:jc w:val="center"/>
                    <w:rPr>
                      <w:rFonts w:eastAsiaTheme="minorEastAsia"/>
                      <w:szCs w:val="21"/>
                    </w:rPr>
                  </w:pPr>
                  <w:r>
                    <w:rPr>
                      <w:rFonts w:hint="eastAsia" w:eastAsiaTheme="minorEastAsia"/>
                      <w:szCs w:val="21"/>
                    </w:rPr>
                    <w:t>42.20</w:t>
                  </w:r>
                </w:p>
              </w:tc>
              <w:tc>
                <w:tcPr>
                  <w:tcW w:w="715" w:type="pct"/>
                  <w:vAlign w:val="center"/>
                </w:tcPr>
                <w:p w14:paraId="5B927240">
                  <w:pPr>
                    <w:overflowPunct w:val="0"/>
                    <w:snapToGrid w:val="0"/>
                    <w:jc w:val="center"/>
                    <w:rPr>
                      <w:rFonts w:eastAsiaTheme="minorEastAsia"/>
                      <w:szCs w:val="21"/>
                    </w:rPr>
                  </w:pPr>
                  <w:r>
                    <w:rPr>
                      <w:rFonts w:hint="eastAsia" w:eastAsiaTheme="minorEastAsia"/>
                      <w:szCs w:val="21"/>
                    </w:rPr>
                    <w:t>44.23</w:t>
                  </w:r>
                </w:p>
              </w:tc>
              <w:tc>
                <w:tcPr>
                  <w:tcW w:w="715" w:type="pct"/>
                  <w:vAlign w:val="center"/>
                </w:tcPr>
                <w:p w14:paraId="71E4A30D">
                  <w:pPr>
                    <w:jc w:val="center"/>
                    <w:rPr>
                      <w:rFonts w:eastAsiaTheme="minorEastAsia"/>
                      <w:szCs w:val="21"/>
                    </w:rPr>
                  </w:pPr>
                  <w:r>
                    <w:rPr>
                      <w:rFonts w:hint="eastAsia" w:eastAsiaTheme="minorEastAsia"/>
                      <w:szCs w:val="21"/>
                    </w:rPr>
                    <w:t>50</w:t>
                  </w:r>
                </w:p>
              </w:tc>
              <w:tc>
                <w:tcPr>
                  <w:tcW w:w="710" w:type="pct"/>
                  <w:vAlign w:val="center"/>
                </w:tcPr>
                <w:p w14:paraId="6977FC2F">
                  <w:pPr>
                    <w:jc w:val="center"/>
                    <w:rPr>
                      <w:rFonts w:eastAsiaTheme="minorEastAsia"/>
                      <w:szCs w:val="21"/>
                    </w:rPr>
                  </w:pPr>
                  <w:r>
                    <w:rPr>
                      <w:rFonts w:eastAsiaTheme="minorEastAsia"/>
                      <w:szCs w:val="21"/>
                    </w:rPr>
                    <w:t>达标</w:t>
                  </w:r>
                </w:p>
              </w:tc>
            </w:tr>
            <w:tr w14:paraId="7B51B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restart"/>
                  <w:vAlign w:val="center"/>
                </w:tcPr>
                <w:p w14:paraId="620E7FA5">
                  <w:pPr>
                    <w:overflowPunct w:val="0"/>
                    <w:snapToGrid w:val="0"/>
                    <w:jc w:val="center"/>
                    <w:rPr>
                      <w:rFonts w:eastAsiaTheme="minorEastAsia"/>
                      <w:szCs w:val="21"/>
                    </w:rPr>
                  </w:pPr>
                  <w:r>
                    <w:rPr>
                      <w:rFonts w:hint="eastAsia"/>
                      <w:szCs w:val="21"/>
                    </w:rPr>
                    <w:t>项目西北侧居民点</w:t>
                  </w:r>
                </w:p>
              </w:tc>
              <w:tc>
                <w:tcPr>
                  <w:tcW w:w="715" w:type="pct"/>
                  <w:vAlign w:val="center"/>
                </w:tcPr>
                <w:p w14:paraId="67AAE853">
                  <w:pPr>
                    <w:overflowPunct w:val="0"/>
                    <w:snapToGrid w:val="0"/>
                    <w:jc w:val="center"/>
                    <w:rPr>
                      <w:rFonts w:eastAsiaTheme="minorEastAsia"/>
                      <w:szCs w:val="21"/>
                    </w:rPr>
                  </w:pPr>
                  <w:r>
                    <w:rPr>
                      <w:rFonts w:eastAsiaTheme="minorEastAsia"/>
                      <w:szCs w:val="21"/>
                    </w:rPr>
                    <w:t>昼间</w:t>
                  </w:r>
                </w:p>
              </w:tc>
              <w:tc>
                <w:tcPr>
                  <w:tcW w:w="715" w:type="pct"/>
                  <w:vAlign w:val="center"/>
                </w:tcPr>
                <w:p w14:paraId="440F9E91">
                  <w:pPr>
                    <w:jc w:val="center"/>
                    <w:rPr>
                      <w:rFonts w:eastAsiaTheme="minorEastAsia"/>
                      <w:szCs w:val="21"/>
                    </w:rPr>
                  </w:pPr>
                  <w:r>
                    <w:rPr>
                      <w:rFonts w:hint="eastAsia" w:eastAsiaTheme="minorEastAsia"/>
                      <w:szCs w:val="21"/>
                    </w:rPr>
                    <w:t>48.58</w:t>
                  </w:r>
                </w:p>
              </w:tc>
              <w:tc>
                <w:tcPr>
                  <w:tcW w:w="715" w:type="pct"/>
                  <w:vAlign w:val="center"/>
                </w:tcPr>
                <w:p w14:paraId="62099A36">
                  <w:pPr>
                    <w:overflowPunct w:val="0"/>
                    <w:snapToGrid w:val="0"/>
                    <w:jc w:val="center"/>
                    <w:rPr>
                      <w:rFonts w:eastAsiaTheme="minorEastAsia"/>
                      <w:szCs w:val="21"/>
                    </w:rPr>
                  </w:pPr>
                  <w:r>
                    <w:rPr>
                      <w:rFonts w:hint="eastAsia" w:eastAsiaTheme="minorEastAsia"/>
                      <w:szCs w:val="21"/>
                    </w:rPr>
                    <w:t>54.70</w:t>
                  </w:r>
                </w:p>
              </w:tc>
              <w:tc>
                <w:tcPr>
                  <w:tcW w:w="715" w:type="pct"/>
                  <w:vAlign w:val="center"/>
                </w:tcPr>
                <w:p w14:paraId="67B9EBD8">
                  <w:pPr>
                    <w:overflowPunct w:val="0"/>
                    <w:snapToGrid w:val="0"/>
                    <w:jc w:val="center"/>
                    <w:rPr>
                      <w:rFonts w:eastAsiaTheme="minorEastAsia"/>
                      <w:szCs w:val="21"/>
                    </w:rPr>
                  </w:pPr>
                  <w:r>
                    <w:rPr>
                      <w:rFonts w:hint="eastAsia" w:eastAsiaTheme="minorEastAsia"/>
                      <w:szCs w:val="21"/>
                    </w:rPr>
                    <w:t>55.65</w:t>
                  </w:r>
                </w:p>
              </w:tc>
              <w:tc>
                <w:tcPr>
                  <w:tcW w:w="715" w:type="pct"/>
                  <w:vAlign w:val="center"/>
                </w:tcPr>
                <w:p w14:paraId="50DC21B1">
                  <w:pPr>
                    <w:jc w:val="center"/>
                    <w:rPr>
                      <w:rFonts w:eastAsiaTheme="minorEastAsia"/>
                      <w:szCs w:val="21"/>
                    </w:rPr>
                  </w:pPr>
                  <w:r>
                    <w:rPr>
                      <w:rFonts w:hint="eastAsia" w:eastAsiaTheme="minorEastAsia"/>
                      <w:szCs w:val="21"/>
                    </w:rPr>
                    <w:t>60</w:t>
                  </w:r>
                </w:p>
              </w:tc>
              <w:tc>
                <w:tcPr>
                  <w:tcW w:w="710" w:type="pct"/>
                  <w:vAlign w:val="center"/>
                </w:tcPr>
                <w:p w14:paraId="0B99F716">
                  <w:pPr>
                    <w:jc w:val="center"/>
                    <w:rPr>
                      <w:rFonts w:eastAsiaTheme="minorEastAsia"/>
                      <w:szCs w:val="21"/>
                    </w:rPr>
                  </w:pPr>
                  <w:r>
                    <w:rPr>
                      <w:rFonts w:eastAsiaTheme="minorEastAsia"/>
                      <w:szCs w:val="21"/>
                    </w:rPr>
                    <w:t>达标</w:t>
                  </w:r>
                </w:p>
              </w:tc>
            </w:tr>
            <w:tr w14:paraId="50B5E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3" w:type="pct"/>
                  <w:vMerge w:val="continue"/>
                  <w:vAlign w:val="center"/>
                </w:tcPr>
                <w:p w14:paraId="31160D08">
                  <w:pPr>
                    <w:overflowPunct w:val="0"/>
                    <w:snapToGrid w:val="0"/>
                    <w:jc w:val="center"/>
                    <w:rPr>
                      <w:rFonts w:eastAsiaTheme="minorEastAsia"/>
                      <w:szCs w:val="21"/>
                    </w:rPr>
                  </w:pPr>
                </w:p>
              </w:tc>
              <w:tc>
                <w:tcPr>
                  <w:tcW w:w="715" w:type="pct"/>
                  <w:vAlign w:val="center"/>
                </w:tcPr>
                <w:p w14:paraId="180925E9">
                  <w:pPr>
                    <w:overflowPunct w:val="0"/>
                    <w:snapToGrid w:val="0"/>
                    <w:jc w:val="center"/>
                    <w:rPr>
                      <w:rFonts w:eastAsiaTheme="minorEastAsia"/>
                      <w:szCs w:val="21"/>
                    </w:rPr>
                  </w:pPr>
                  <w:r>
                    <w:rPr>
                      <w:rFonts w:eastAsiaTheme="minorEastAsia"/>
                      <w:szCs w:val="21"/>
                    </w:rPr>
                    <w:t>夜间</w:t>
                  </w:r>
                </w:p>
              </w:tc>
              <w:tc>
                <w:tcPr>
                  <w:tcW w:w="715" w:type="pct"/>
                  <w:vAlign w:val="center"/>
                </w:tcPr>
                <w:p w14:paraId="5CCB01AF">
                  <w:pPr>
                    <w:jc w:val="center"/>
                    <w:rPr>
                      <w:rFonts w:eastAsiaTheme="minorEastAsia"/>
                      <w:szCs w:val="21"/>
                    </w:rPr>
                  </w:pPr>
                  <w:r>
                    <w:rPr>
                      <w:rFonts w:hint="eastAsia" w:eastAsiaTheme="minorEastAsia"/>
                      <w:szCs w:val="21"/>
                    </w:rPr>
                    <w:t>48.57</w:t>
                  </w:r>
                </w:p>
              </w:tc>
              <w:tc>
                <w:tcPr>
                  <w:tcW w:w="715" w:type="pct"/>
                  <w:vAlign w:val="center"/>
                </w:tcPr>
                <w:p w14:paraId="48344409">
                  <w:pPr>
                    <w:overflowPunct w:val="0"/>
                    <w:snapToGrid w:val="0"/>
                    <w:jc w:val="center"/>
                    <w:rPr>
                      <w:rFonts w:eastAsiaTheme="minorEastAsia"/>
                      <w:szCs w:val="21"/>
                    </w:rPr>
                  </w:pPr>
                  <w:r>
                    <w:rPr>
                      <w:rFonts w:hint="eastAsia" w:eastAsiaTheme="minorEastAsia"/>
                      <w:szCs w:val="21"/>
                    </w:rPr>
                    <w:t>41.30</w:t>
                  </w:r>
                </w:p>
              </w:tc>
              <w:tc>
                <w:tcPr>
                  <w:tcW w:w="715" w:type="pct"/>
                  <w:vAlign w:val="center"/>
                </w:tcPr>
                <w:p w14:paraId="6635BB38">
                  <w:pPr>
                    <w:overflowPunct w:val="0"/>
                    <w:snapToGrid w:val="0"/>
                    <w:jc w:val="center"/>
                    <w:rPr>
                      <w:rFonts w:eastAsiaTheme="minorEastAsia"/>
                      <w:szCs w:val="21"/>
                    </w:rPr>
                  </w:pPr>
                  <w:r>
                    <w:rPr>
                      <w:rFonts w:hint="eastAsia" w:eastAsiaTheme="minorEastAsia"/>
                      <w:szCs w:val="21"/>
                    </w:rPr>
                    <w:t>49.32</w:t>
                  </w:r>
                </w:p>
              </w:tc>
              <w:tc>
                <w:tcPr>
                  <w:tcW w:w="715" w:type="pct"/>
                  <w:vAlign w:val="center"/>
                </w:tcPr>
                <w:p w14:paraId="0AFDE794">
                  <w:pPr>
                    <w:jc w:val="center"/>
                    <w:rPr>
                      <w:rFonts w:eastAsiaTheme="minorEastAsia"/>
                      <w:szCs w:val="21"/>
                    </w:rPr>
                  </w:pPr>
                  <w:r>
                    <w:rPr>
                      <w:rFonts w:hint="eastAsia" w:eastAsiaTheme="minorEastAsia"/>
                      <w:szCs w:val="21"/>
                    </w:rPr>
                    <w:t>50</w:t>
                  </w:r>
                </w:p>
              </w:tc>
              <w:tc>
                <w:tcPr>
                  <w:tcW w:w="710" w:type="pct"/>
                  <w:vAlign w:val="center"/>
                </w:tcPr>
                <w:p w14:paraId="266C7E7F">
                  <w:pPr>
                    <w:jc w:val="center"/>
                    <w:rPr>
                      <w:rFonts w:eastAsiaTheme="minorEastAsia"/>
                      <w:szCs w:val="21"/>
                    </w:rPr>
                  </w:pPr>
                  <w:r>
                    <w:rPr>
                      <w:rFonts w:eastAsiaTheme="minorEastAsia"/>
                      <w:szCs w:val="21"/>
                    </w:rPr>
                    <w:t>达标</w:t>
                  </w:r>
                </w:p>
              </w:tc>
            </w:tr>
          </w:tbl>
          <w:p w14:paraId="700FC3C3">
            <w:pPr>
              <w:pStyle w:val="2"/>
              <w:jc w:val="center"/>
              <w:rPr>
                <w:color w:val="auto"/>
              </w:rPr>
            </w:pPr>
            <w:r>
              <w:rPr>
                <w:color w:val="auto"/>
              </w:rPr>
              <w:drawing>
                <wp:inline distT="0" distB="0" distL="0" distR="0">
                  <wp:extent cx="5486400" cy="29063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86400" cy="2906395"/>
                          </a:xfrm>
                          <a:prstGeom prst="rect">
                            <a:avLst/>
                          </a:prstGeom>
                        </pic:spPr>
                      </pic:pic>
                    </a:graphicData>
                  </a:graphic>
                </wp:inline>
              </w:drawing>
            </w:r>
          </w:p>
          <w:p w14:paraId="7DC3EED8">
            <w:pPr>
              <w:spacing w:before="120" w:beforeLines="50"/>
              <w:jc w:val="center"/>
              <w:rPr>
                <w:rFonts w:hAnsi="宋体"/>
                <w:b/>
                <w:kern w:val="0"/>
                <w:szCs w:val="21"/>
              </w:rPr>
            </w:pPr>
            <w:r>
              <w:rPr>
                <w:rFonts w:hint="eastAsia" w:hAnsi="宋体" w:cs="宋体"/>
                <w:b/>
                <w:kern w:val="0"/>
                <w:szCs w:val="21"/>
                <w:lang w:bidi="ar"/>
              </w:rPr>
              <w:t>图</w:t>
            </w:r>
            <w:r>
              <w:rPr>
                <w:b/>
                <w:kern w:val="0"/>
                <w:szCs w:val="21"/>
                <w:lang w:bidi="ar"/>
              </w:rPr>
              <w:t>4-</w:t>
            </w:r>
            <w:r>
              <w:rPr>
                <w:rFonts w:hint="eastAsia"/>
                <w:b/>
                <w:kern w:val="0"/>
                <w:szCs w:val="21"/>
                <w:lang w:bidi="ar"/>
              </w:rPr>
              <w:t>2</w:t>
            </w:r>
            <w:r>
              <w:rPr>
                <w:b/>
                <w:kern w:val="0"/>
                <w:szCs w:val="21"/>
                <w:lang w:bidi="ar"/>
              </w:rPr>
              <w:t xml:space="preserve">  </w:t>
            </w:r>
            <w:r>
              <w:rPr>
                <w:rFonts w:hint="eastAsia" w:hAnsi="宋体" w:cs="宋体"/>
                <w:b/>
                <w:kern w:val="0"/>
                <w:szCs w:val="21"/>
                <w:lang w:bidi="ar"/>
              </w:rPr>
              <w:t>厂界噪声预测等值线图</w:t>
            </w:r>
          </w:p>
          <w:p w14:paraId="3A423EC4">
            <w:pPr>
              <w:spacing w:line="360" w:lineRule="auto"/>
              <w:ind w:firstLine="482" w:firstLineChars="200"/>
              <w:rPr>
                <w:rFonts w:hAnsi="宋体"/>
                <w:b/>
                <w:kern w:val="0"/>
                <w:sz w:val="24"/>
              </w:rPr>
            </w:pPr>
            <w:r>
              <w:rPr>
                <w:rFonts w:hint="eastAsia" w:hAnsi="宋体"/>
                <w:b/>
                <w:kern w:val="0"/>
                <w:sz w:val="24"/>
              </w:rPr>
              <w:t>5、噪声环境影响预测评价</w:t>
            </w:r>
          </w:p>
          <w:p w14:paraId="0EE34AA7">
            <w:pPr>
              <w:spacing w:line="360" w:lineRule="auto"/>
              <w:ind w:firstLine="480" w:firstLineChars="200"/>
              <w:rPr>
                <w:rFonts w:hAnsi="宋体"/>
                <w:kern w:val="0"/>
                <w:sz w:val="24"/>
              </w:rPr>
            </w:pPr>
            <w:r>
              <w:rPr>
                <w:rFonts w:hint="eastAsia" w:hAnsi="宋体"/>
                <w:kern w:val="0"/>
                <w:sz w:val="24"/>
              </w:rPr>
              <w:t>经预测，本项目运营期东厂界昼夜间噪声贡献值满足《工业企业厂界环境噪声排放标准》（GB12348-2008）中4类标准要求，其余各厂界昼夜间噪声贡献值满足《工业企业厂界环境噪声排放标准》（GB12348-2008）中2类标准要求</w:t>
            </w:r>
            <w:bookmarkStart w:id="128" w:name="OLE_LINK44"/>
            <w:r>
              <w:rPr>
                <w:rFonts w:hint="eastAsia" w:hAnsi="宋体"/>
                <w:kern w:val="0"/>
                <w:sz w:val="24"/>
              </w:rPr>
              <w:t>；东南侧、东侧、东北侧敏感点昼夜间噪声预测值满足</w:t>
            </w:r>
            <w:bookmarkStart w:id="129" w:name="OLE_LINK34"/>
            <w:r>
              <w:rPr>
                <w:rFonts w:hint="eastAsia" w:hAnsi="宋体"/>
                <w:kern w:val="0"/>
                <w:sz w:val="24"/>
              </w:rPr>
              <w:t>《声环境质量标准》（GB3096-2008）4a类标准</w:t>
            </w:r>
            <w:bookmarkEnd w:id="128"/>
            <w:bookmarkEnd w:id="129"/>
            <w:r>
              <w:rPr>
                <w:rFonts w:hint="eastAsia" w:hAnsi="宋体"/>
                <w:kern w:val="0"/>
                <w:sz w:val="24"/>
              </w:rPr>
              <w:t>，其余侧敏感点昼夜间噪声预测值满足《声环境质量标准》（GB3096-2008）2类标准，故本项目营运期噪声对周围环境及敏感点的影响较小。</w:t>
            </w:r>
          </w:p>
          <w:p w14:paraId="0DC9ED00">
            <w:pPr>
              <w:spacing w:line="360" w:lineRule="auto"/>
              <w:ind w:firstLine="480" w:firstLineChars="200"/>
              <w:rPr>
                <w:rFonts w:hAnsi="宋体"/>
                <w:kern w:val="0"/>
                <w:sz w:val="24"/>
              </w:rPr>
            </w:pPr>
            <w:r>
              <w:rPr>
                <w:rFonts w:hint="eastAsia" w:hAnsi="宋体"/>
                <w:kern w:val="0"/>
                <w:sz w:val="24"/>
              </w:rPr>
              <w:t>为保证厂界噪声值长期稳定达标，本环评建议建设单位强化以下噪声治理措施：</w:t>
            </w:r>
          </w:p>
          <w:p w14:paraId="2A4C0A16">
            <w:pPr>
              <w:spacing w:line="360" w:lineRule="auto"/>
              <w:ind w:firstLine="480" w:firstLineChars="200"/>
              <w:rPr>
                <w:rFonts w:hAnsi="宋体"/>
                <w:kern w:val="0"/>
                <w:sz w:val="24"/>
              </w:rPr>
            </w:pPr>
            <w:r>
              <w:rPr>
                <w:rFonts w:hint="eastAsia" w:hAnsi="宋体"/>
                <w:kern w:val="0"/>
                <w:sz w:val="24"/>
              </w:rPr>
              <w:t>①从声源上：在噪声较大的设备基础上安装橡胶隔振垫或减振器，并加装隔声罩或设于隔音间内；空压机采取加设减振基础、吸声板、管道与设备之间软联接等措施并在送、回风总管内设置消声器等措施；在风机的进、出口处安装阻性消声器。</w:t>
            </w:r>
          </w:p>
          <w:p w14:paraId="45475AA9">
            <w:pPr>
              <w:spacing w:line="360" w:lineRule="auto"/>
              <w:ind w:firstLine="480" w:firstLineChars="200"/>
              <w:rPr>
                <w:rFonts w:hAnsi="宋体"/>
                <w:kern w:val="0"/>
                <w:sz w:val="24"/>
              </w:rPr>
            </w:pPr>
            <w:r>
              <w:rPr>
                <w:rFonts w:hint="eastAsia" w:hAnsi="宋体"/>
                <w:kern w:val="0"/>
                <w:sz w:val="24"/>
              </w:rPr>
              <w:t>②从设备布局及围护结构方面：合理布置高噪声的设备位置，噪声大的设备尽量安装在远离保护目标的位置，利用墙壁隔声车间墙壁可加装高效吸声材料。</w:t>
            </w:r>
          </w:p>
          <w:p w14:paraId="1F3FB37D">
            <w:pPr>
              <w:spacing w:line="360" w:lineRule="auto"/>
              <w:ind w:firstLine="480" w:firstLineChars="200"/>
              <w:rPr>
                <w:rFonts w:hAnsi="宋体"/>
                <w:kern w:val="0"/>
                <w:sz w:val="24"/>
              </w:rPr>
            </w:pPr>
            <w:r>
              <w:rPr>
                <w:rFonts w:hint="eastAsia" w:hAnsi="宋体"/>
                <w:kern w:val="0"/>
                <w:sz w:val="24"/>
              </w:rPr>
              <w:t>③防止通过固体震动传播的震动性噪声，应在震动体的基础和地板、墙壁联接处设隔震或减震装置或防震结构。</w:t>
            </w:r>
          </w:p>
          <w:p w14:paraId="5F61D0B6">
            <w:pPr>
              <w:spacing w:line="360" w:lineRule="auto"/>
              <w:ind w:firstLine="480" w:firstLineChars="200"/>
              <w:rPr>
                <w:rFonts w:hAnsi="宋体"/>
                <w:kern w:val="0"/>
                <w:sz w:val="24"/>
              </w:rPr>
            </w:pPr>
            <w:r>
              <w:rPr>
                <w:rFonts w:hint="eastAsia" w:hAnsi="宋体"/>
                <w:kern w:val="0"/>
                <w:sz w:val="24"/>
              </w:rPr>
              <w:t>④定期维护：定期对生产设备进行检修，确保设备正常运转，避免设备故障导致的事故排放对周边敏感目标产生影响。</w:t>
            </w:r>
          </w:p>
          <w:p w14:paraId="0126ADA0">
            <w:pPr>
              <w:spacing w:line="360" w:lineRule="auto"/>
              <w:ind w:firstLine="480" w:firstLineChars="200"/>
              <w:rPr>
                <w:rFonts w:hAnsi="宋体"/>
                <w:kern w:val="0"/>
                <w:sz w:val="24"/>
              </w:rPr>
            </w:pPr>
            <w:r>
              <w:rPr>
                <w:rFonts w:hint="eastAsia" w:hAnsi="宋体"/>
                <w:kern w:val="0"/>
                <w:sz w:val="24"/>
              </w:rPr>
              <w:t>⑤严格控制生产时间，在经营过程中，合理安排生产工序，避免多台设备同时运行所产生的噪声叠加造成超标排放。</w:t>
            </w:r>
          </w:p>
          <w:p w14:paraId="23DCB9E5">
            <w:pPr>
              <w:spacing w:line="360" w:lineRule="auto"/>
              <w:ind w:firstLine="482" w:firstLineChars="200"/>
              <w:rPr>
                <w:rFonts w:hAnsi="宋体"/>
                <w:b/>
                <w:kern w:val="0"/>
                <w:sz w:val="24"/>
              </w:rPr>
            </w:pPr>
            <w:r>
              <w:rPr>
                <w:rFonts w:hint="eastAsia" w:hAnsi="宋体"/>
                <w:b/>
                <w:kern w:val="0"/>
                <w:sz w:val="24"/>
              </w:rPr>
              <w:t>6、噪声监测计划</w:t>
            </w:r>
          </w:p>
          <w:p w14:paraId="7E118BE7">
            <w:pPr>
              <w:spacing w:line="360" w:lineRule="auto"/>
              <w:ind w:firstLine="480" w:firstLineChars="200"/>
              <w:rPr>
                <w:rFonts w:hAnsi="宋体"/>
                <w:kern w:val="0"/>
                <w:sz w:val="24"/>
              </w:rPr>
            </w:pPr>
            <w:r>
              <w:rPr>
                <w:rFonts w:hAnsi="宋体"/>
                <w:kern w:val="0"/>
                <w:sz w:val="24"/>
              </w:rPr>
              <w:t>根据《排污许可证申请与核发技术规范 总则》（HJ942-2018）和《排污单位自行监测技术指南 总则》（HJ819-2017），厂界环境噪声每季度至少开展一次监测，本项目运营期噪声环境监测计划如下表所示：</w:t>
            </w:r>
          </w:p>
          <w:p w14:paraId="7F7B6F32">
            <w:pPr>
              <w:spacing w:before="120" w:beforeLines="50"/>
              <w:jc w:val="center"/>
              <w:rPr>
                <w:b/>
                <w:szCs w:val="21"/>
              </w:rPr>
            </w:pPr>
            <w:r>
              <w:rPr>
                <w:b/>
                <w:szCs w:val="21"/>
              </w:rPr>
              <w:t>表</w:t>
            </w:r>
            <w:r>
              <w:rPr>
                <w:rFonts w:hint="eastAsia"/>
                <w:b/>
                <w:szCs w:val="21"/>
              </w:rPr>
              <w:t>4-18  运营期噪声监测计划表</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1988"/>
              <w:gridCol w:w="1491"/>
              <w:gridCol w:w="1326"/>
              <w:gridCol w:w="3733"/>
            </w:tblGrid>
            <w:tr w14:paraId="78C19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5632D047">
                  <w:pPr>
                    <w:jc w:val="center"/>
                    <w:rPr>
                      <w:b/>
                      <w:szCs w:val="21"/>
                    </w:rPr>
                  </w:pPr>
                  <w:r>
                    <w:rPr>
                      <w:rFonts w:hint="eastAsia"/>
                      <w:b/>
                      <w:szCs w:val="21"/>
                    </w:rPr>
                    <w:t>编号</w:t>
                  </w:r>
                </w:p>
              </w:tc>
              <w:tc>
                <w:tcPr>
                  <w:tcW w:w="1059" w:type="pct"/>
                  <w:shd w:val="clear" w:color="auto" w:fill="auto"/>
                  <w:vAlign w:val="center"/>
                </w:tcPr>
                <w:p w14:paraId="65B4981E">
                  <w:pPr>
                    <w:jc w:val="center"/>
                    <w:rPr>
                      <w:b/>
                      <w:szCs w:val="21"/>
                    </w:rPr>
                  </w:pPr>
                  <w:r>
                    <w:rPr>
                      <w:rFonts w:hint="eastAsia"/>
                      <w:b/>
                      <w:szCs w:val="21"/>
                    </w:rPr>
                    <w:t>监测点位</w:t>
                  </w:r>
                </w:p>
              </w:tc>
              <w:tc>
                <w:tcPr>
                  <w:tcW w:w="794" w:type="pct"/>
                  <w:shd w:val="clear" w:color="auto" w:fill="auto"/>
                  <w:vAlign w:val="center"/>
                </w:tcPr>
                <w:p w14:paraId="4EAE2149">
                  <w:pPr>
                    <w:jc w:val="center"/>
                    <w:rPr>
                      <w:b/>
                      <w:szCs w:val="21"/>
                    </w:rPr>
                  </w:pPr>
                  <w:r>
                    <w:rPr>
                      <w:rFonts w:hint="eastAsia"/>
                      <w:b/>
                      <w:szCs w:val="21"/>
                    </w:rPr>
                    <w:t>监测指标</w:t>
                  </w:r>
                </w:p>
              </w:tc>
              <w:tc>
                <w:tcPr>
                  <w:tcW w:w="706" w:type="pct"/>
                  <w:shd w:val="clear" w:color="auto" w:fill="auto"/>
                  <w:vAlign w:val="center"/>
                </w:tcPr>
                <w:p w14:paraId="02830AE1">
                  <w:pPr>
                    <w:jc w:val="center"/>
                    <w:rPr>
                      <w:b/>
                      <w:szCs w:val="21"/>
                    </w:rPr>
                  </w:pPr>
                  <w:r>
                    <w:rPr>
                      <w:rFonts w:hint="eastAsia"/>
                      <w:b/>
                      <w:szCs w:val="21"/>
                    </w:rPr>
                    <w:t>监测频次</w:t>
                  </w:r>
                </w:p>
              </w:tc>
              <w:tc>
                <w:tcPr>
                  <w:tcW w:w="1988" w:type="pct"/>
                  <w:shd w:val="clear" w:color="auto" w:fill="auto"/>
                  <w:vAlign w:val="center"/>
                </w:tcPr>
                <w:p w14:paraId="3FFF1847">
                  <w:pPr>
                    <w:pStyle w:val="4"/>
                    <w:spacing w:after="0"/>
                    <w:ind w:left="0" w:leftChars="0" w:firstLine="422"/>
                    <w:jc w:val="center"/>
                  </w:pPr>
                  <w:r>
                    <w:rPr>
                      <w:rFonts w:hint="eastAsia"/>
                      <w:b/>
                      <w:szCs w:val="21"/>
                    </w:rPr>
                    <w:t>执行标准</w:t>
                  </w:r>
                </w:p>
              </w:tc>
            </w:tr>
            <w:tr w14:paraId="38CBB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53" w:type="pct"/>
                  <w:shd w:val="clear" w:color="auto" w:fill="auto"/>
                  <w:vAlign w:val="center"/>
                </w:tcPr>
                <w:p w14:paraId="11BE2352">
                  <w:pPr>
                    <w:jc w:val="center"/>
                    <w:rPr>
                      <w:bCs/>
                      <w:szCs w:val="21"/>
                    </w:rPr>
                  </w:pPr>
                  <w:r>
                    <w:rPr>
                      <w:rFonts w:hint="eastAsia"/>
                      <w:bCs/>
                      <w:szCs w:val="21"/>
                    </w:rPr>
                    <w:t>1</w:t>
                  </w:r>
                </w:p>
              </w:tc>
              <w:tc>
                <w:tcPr>
                  <w:tcW w:w="1059" w:type="pct"/>
                  <w:shd w:val="clear" w:color="auto" w:fill="auto"/>
                  <w:vAlign w:val="center"/>
                </w:tcPr>
                <w:p w14:paraId="24FF1DFD">
                  <w:pPr>
                    <w:jc w:val="center"/>
                    <w:rPr>
                      <w:bCs/>
                      <w:szCs w:val="21"/>
                    </w:rPr>
                  </w:pPr>
                  <w:r>
                    <w:rPr>
                      <w:rFonts w:hint="eastAsia"/>
                      <w:bCs/>
                      <w:szCs w:val="21"/>
                    </w:rPr>
                    <w:t>东、南、西、北厂界外1m</w:t>
                  </w:r>
                </w:p>
              </w:tc>
              <w:tc>
                <w:tcPr>
                  <w:tcW w:w="794" w:type="pct"/>
                  <w:shd w:val="clear" w:color="auto" w:fill="auto"/>
                  <w:vAlign w:val="center"/>
                </w:tcPr>
                <w:p w14:paraId="4372F96D">
                  <w:pPr>
                    <w:jc w:val="center"/>
                    <w:rPr>
                      <w:bCs/>
                      <w:szCs w:val="21"/>
                    </w:rPr>
                  </w:pPr>
                  <w:r>
                    <w:rPr>
                      <w:bCs/>
                      <w:szCs w:val="21"/>
                    </w:rPr>
                    <w:t>连续等效A声级</w:t>
                  </w:r>
                </w:p>
              </w:tc>
              <w:tc>
                <w:tcPr>
                  <w:tcW w:w="706" w:type="pct"/>
                  <w:shd w:val="clear" w:color="auto" w:fill="auto"/>
                  <w:vAlign w:val="center"/>
                </w:tcPr>
                <w:p w14:paraId="0B18190A">
                  <w:pPr>
                    <w:jc w:val="center"/>
                    <w:rPr>
                      <w:bCs/>
                      <w:szCs w:val="21"/>
                    </w:rPr>
                  </w:pPr>
                  <w:r>
                    <w:rPr>
                      <w:rFonts w:hint="eastAsia"/>
                      <w:bCs/>
                      <w:szCs w:val="21"/>
                    </w:rPr>
                    <w:t>1次/季度</w:t>
                  </w:r>
                </w:p>
              </w:tc>
              <w:tc>
                <w:tcPr>
                  <w:tcW w:w="1988" w:type="pct"/>
                  <w:shd w:val="clear" w:color="auto" w:fill="auto"/>
                  <w:vAlign w:val="center"/>
                </w:tcPr>
                <w:p w14:paraId="3D6DC16C">
                  <w:pPr>
                    <w:pStyle w:val="4"/>
                    <w:spacing w:after="0"/>
                    <w:ind w:left="0" w:leftChars="0"/>
                    <w:jc w:val="center"/>
                  </w:pPr>
                  <w:r>
                    <w:rPr>
                      <w:bCs/>
                      <w:szCs w:val="21"/>
                    </w:rPr>
                    <w:t>《工业企业厂界环境噪声排放标准》（GB3096-2008）</w:t>
                  </w:r>
                  <w:r>
                    <w:rPr>
                      <w:rFonts w:hint="eastAsia"/>
                      <w:bCs/>
                      <w:szCs w:val="21"/>
                    </w:rPr>
                    <w:t>2、4</w:t>
                  </w:r>
                  <w:r>
                    <w:rPr>
                      <w:bCs/>
                      <w:szCs w:val="21"/>
                    </w:rPr>
                    <w:t>类标准</w:t>
                  </w:r>
                </w:p>
              </w:tc>
            </w:tr>
          </w:tbl>
          <w:p w14:paraId="2CDB020D">
            <w:pPr>
              <w:spacing w:line="360" w:lineRule="auto"/>
              <w:ind w:firstLine="482" w:firstLineChars="200"/>
              <w:rPr>
                <w:rFonts w:hAnsi="宋体"/>
                <w:b/>
                <w:kern w:val="0"/>
                <w:sz w:val="24"/>
              </w:rPr>
            </w:pPr>
            <w:r>
              <w:rPr>
                <w:rFonts w:hint="eastAsia" w:hAnsi="宋体"/>
                <w:b/>
                <w:kern w:val="0"/>
                <w:sz w:val="24"/>
              </w:rPr>
              <w:t>四、固体废物</w:t>
            </w:r>
          </w:p>
          <w:p w14:paraId="14C490D3">
            <w:pPr>
              <w:spacing w:line="360" w:lineRule="auto"/>
              <w:ind w:firstLine="482" w:firstLineChars="200"/>
              <w:rPr>
                <w:rFonts w:hAnsi="宋体"/>
                <w:b/>
                <w:kern w:val="0"/>
                <w:sz w:val="24"/>
              </w:rPr>
            </w:pPr>
            <w:r>
              <w:rPr>
                <w:rFonts w:hint="eastAsia" w:hAnsi="宋体"/>
                <w:b/>
                <w:kern w:val="0"/>
                <w:sz w:val="24"/>
              </w:rPr>
              <w:t>1、固体废物产生情况</w:t>
            </w:r>
          </w:p>
          <w:p w14:paraId="60104D90">
            <w:pPr>
              <w:spacing w:line="360" w:lineRule="auto"/>
              <w:ind w:firstLine="480" w:firstLineChars="200"/>
              <w:rPr>
                <w:rFonts w:hAnsi="宋体"/>
                <w:kern w:val="0"/>
                <w:sz w:val="24"/>
              </w:rPr>
            </w:pPr>
            <w:r>
              <w:rPr>
                <w:rFonts w:hAnsi="宋体"/>
                <w:kern w:val="0"/>
                <w:sz w:val="24"/>
              </w:rPr>
              <w:t>项目运营期产生的固体废物主要包括</w:t>
            </w: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尘、清筛杂质、炉渣、废布袋、</w:t>
            </w:r>
            <w:r>
              <w:rPr>
                <w:rFonts w:hint="eastAsia" w:hAnsi="宋体"/>
                <w:kern w:val="0"/>
                <w:sz w:val="24"/>
              </w:rPr>
              <w:t>废试剂瓶等实验用品、实验废液、熏蒸药剂使用后的残渣</w:t>
            </w:r>
            <w:r>
              <w:rPr>
                <w:rFonts w:hAnsi="宋体"/>
                <w:kern w:val="0"/>
                <w:sz w:val="24"/>
              </w:rPr>
              <w:t>、</w:t>
            </w:r>
            <w:r>
              <w:rPr>
                <w:rFonts w:hint="eastAsia" w:hAnsi="宋体"/>
                <w:bCs/>
                <w:sz w:val="24"/>
              </w:rPr>
              <w:t>废矿物油</w:t>
            </w:r>
            <w:r>
              <w:rPr>
                <w:rFonts w:hint="eastAsia" w:hAnsi="宋体"/>
                <w:kern w:val="0"/>
                <w:sz w:val="24"/>
              </w:rPr>
              <w:t>和</w:t>
            </w:r>
            <w:r>
              <w:rPr>
                <w:rFonts w:hint="eastAsia" w:hAnsi="宋体"/>
                <w:bCs/>
                <w:sz w:val="24"/>
              </w:rPr>
              <w:t>废油</w:t>
            </w:r>
            <w:r>
              <w:rPr>
                <w:rFonts w:hint="eastAsia" w:hAnsi="宋体"/>
                <w:kern w:val="0"/>
                <w:sz w:val="24"/>
              </w:rPr>
              <w:t>桶、废含油抹布</w:t>
            </w:r>
            <w:r>
              <w:rPr>
                <w:rFonts w:hint="eastAsia" w:hAnsi="宋体"/>
                <w:bCs/>
                <w:sz w:val="24"/>
              </w:rPr>
              <w:t>手套及抹布、生活垃圾</w:t>
            </w:r>
            <w:r>
              <w:rPr>
                <w:rFonts w:hAnsi="宋体"/>
                <w:kern w:val="0"/>
                <w:sz w:val="24"/>
              </w:rPr>
              <w:t>。</w:t>
            </w:r>
          </w:p>
          <w:p w14:paraId="35B932A8">
            <w:pPr>
              <w:spacing w:line="360" w:lineRule="auto"/>
              <w:ind w:firstLine="480" w:firstLineChars="200"/>
              <w:rPr>
                <w:rFonts w:hAnsi="宋体"/>
                <w:kern w:val="0"/>
                <w:sz w:val="24"/>
              </w:rPr>
            </w:pPr>
            <w:r>
              <w:rPr>
                <w:rFonts w:hint="eastAsia" w:hAnsi="宋体"/>
                <w:kern w:val="0"/>
                <w:sz w:val="24"/>
              </w:rPr>
              <w:t>（1）除尘器</w:t>
            </w:r>
            <w:r>
              <w:rPr>
                <w:rFonts w:hAnsi="宋体"/>
                <w:kern w:val="0"/>
                <w:sz w:val="24"/>
              </w:rPr>
              <w:t>收集尘</w:t>
            </w:r>
          </w:p>
          <w:p w14:paraId="773B1428">
            <w:pPr>
              <w:spacing w:line="360" w:lineRule="auto"/>
              <w:ind w:firstLine="480" w:firstLineChars="200"/>
              <w:rPr>
                <w:rFonts w:hAnsi="宋体"/>
                <w:kern w:val="0"/>
                <w:sz w:val="24"/>
              </w:rPr>
            </w:pPr>
            <w:r>
              <w:rPr>
                <w:rFonts w:hint="eastAsia" w:hAnsi="宋体"/>
                <w:kern w:val="0"/>
                <w:sz w:val="24"/>
              </w:rPr>
              <w:t>项目在对热风炉烟气、烘干废气、清筛粉尘除尘的过程中会产生一定量的收集尘，根据前文分析，除尘器收集尘产生量约为27.52t/a，外售综合利用。根据《固体废物分类与代码目录》（2024年），其一般固体废物代码为900-099-S59。</w:t>
            </w:r>
          </w:p>
          <w:p w14:paraId="6F62BA23">
            <w:pPr>
              <w:spacing w:line="360" w:lineRule="auto"/>
              <w:ind w:firstLine="480" w:firstLineChars="200"/>
              <w:rPr>
                <w:rFonts w:hAnsi="宋体"/>
                <w:kern w:val="0"/>
                <w:sz w:val="24"/>
              </w:rPr>
            </w:pPr>
            <w:r>
              <w:rPr>
                <w:rFonts w:hint="eastAsia" w:hAnsi="宋体"/>
                <w:kern w:val="0"/>
                <w:sz w:val="24"/>
              </w:rPr>
              <w:t>（2）沉降</w:t>
            </w:r>
            <w:r>
              <w:rPr>
                <w:rFonts w:hAnsi="宋体"/>
                <w:kern w:val="0"/>
                <w:sz w:val="24"/>
              </w:rPr>
              <w:t>尘</w:t>
            </w:r>
          </w:p>
          <w:p w14:paraId="2BECB3FB">
            <w:pPr>
              <w:spacing w:line="360" w:lineRule="auto"/>
              <w:ind w:firstLine="480" w:firstLineChars="200"/>
              <w:rPr>
                <w:rFonts w:hAnsi="宋体"/>
                <w:kern w:val="0"/>
                <w:sz w:val="24"/>
              </w:rPr>
            </w:pPr>
            <w:r>
              <w:rPr>
                <w:rFonts w:hint="eastAsia" w:hAnsi="宋体"/>
                <w:kern w:val="0"/>
                <w:sz w:val="24"/>
              </w:rPr>
              <w:t>项目装卸过程中会产生一定的沉降尘，根据前文分析，</w:t>
            </w:r>
            <w:r>
              <w:rPr>
                <w:rFonts w:hAnsi="宋体"/>
                <w:kern w:val="0"/>
                <w:sz w:val="24"/>
              </w:rPr>
              <w:t>产生</w:t>
            </w:r>
            <w:r>
              <w:rPr>
                <w:rFonts w:hint="eastAsia" w:hAnsi="宋体"/>
                <w:kern w:val="0"/>
                <w:sz w:val="24"/>
              </w:rPr>
              <w:t>量约为25.61t/a，外售综合利用。根据《固体废物分类与代码目录》（2024年），其一般固体废物代码为900-009-S59。</w:t>
            </w:r>
          </w:p>
          <w:p w14:paraId="25BB4720">
            <w:pPr>
              <w:spacing w:line="360" w:lineRule="auto"/>
              <w:ind w:firstLine="480" w:firstLineChars="200"/>
              <w:rPr>
                <w:rFonts w:hAnsi="宋体"/>
                <w:kern w:val="0"/>
                <w:sz w:val="24"/>
              </w:rPr>
            </w:pPr>
            <w:r>
              <w:rPr>
                <w:rFonts w:hint="eastAsia" w:hAnsi="宋体"/>
                <w:kern w:val="0"/>
                <w:sz w:val="24"/>
              </w:rPr>
              <w:t>（3）</w:t>
            </w:r>
            <w:r>
              <w:rPr>
                <w:rFonts w:hAnsi="宋体"/>
                <w:kern w:val="0"/>
                <w:sz w:val="24"/>
              </w:rPr>
              <w:t>清筛杂质</w:t>
            </w:r>
          </w:p>
          <w:p w14:paraId="5A421D87">
            <w:pPr>
              <w:spacing w:line="360" w:lineRule="auto"/>
              <w:ind w:firstLine="480" w:firstLineChars="200"/>
              <w:rPr>
                <w:rFonts w:hAnsi="宋体"/>
                <w:kern w:val="0"/>
                <w:sz w:val="24"/>
              </w:rPr>
            </w:pPr>
            <w:r>
              <w:rPr>
                <w:rFonts w:hint="eastAsia" w:hAnsi="宋体"/>
                <w:kern w:val="0"/>
                <w:sz w:val="24"/>
              </w:rPr>
              <w:t>本项目</w:t>
            </w:r>
            <w:r>
              <w:rPr>
                <w:rFonts w:hAnsi="宋体"/>
                <w:kern w:val="0"/>
                <w:sz w:val="24"/>
              </w:rPr>
              <w:t>清筛过程中会产生一定的残留秸秆、泥土等杂质</w:t>
            </w:r>
            <w:r>
              <w:rPr>
                <w:rFonts w:hint="eastAsia" w:hAnsi="宋体"/>
                <w:kern w:val="0"/>
                <w:sz w:val="24"/>
              </w:rPr>
              <w:t>，约占原料总量的1%，年产生量约918t/a，收集后交环卫部门统一清运处理。根据</w:t>
            </w:r>
            <w:bookmarkStart w:id="130" w:name="OLE_LINK15"/>
            <w:r>
              <w:rPr>
                <w:rFonts w:hint="eastAsia" w:hAnsi="宋体"/>
                <w:kern w:val="0"/>
                <w:sz w:val="24"/>
              </w:rPr>
              <w:t>《固体废物分类与代码目录》（2024年）</w:t>
            </w:r>
            <w:bookmarkEnd w:id="130"/>
            <w:r>
              <w:rPr>
                <w:rFonts w:hint="eastAsia" w:hAnsi="宋体"/>
                <w:kern w:val="0"/>
                <w:sz w:val="24"/>
              </w:rPr>
              <w:t>，其一般固体废物代码为</w:t>
            </w:r>
            <w:bookmarkStart w:id="131" w:name="OLE_LINK36"/>
            <w:bookmarkStart w:id="132" w:name="OLE_LINK35"/>
            <w:r>
              <w:rPr>
                <w:rFonts w:hint="eastAsia" w:hAnsi="宋体"/>
                <w:kern w:val="0"/>
                <w:sz w:val="24"/>
              </w:rPr>
              <w:t>010-099-S</w:t>
            </w:r>
            <w:bookmarkEnd w:id="131"/>
            <w:bookmarkEnd w:id="132"/>
            <w:r>
              <w:rPr>
                <w:rFonts w:hint="eastAsia" w:hAnsi="宋体"/>
                <w:kern w:val="0"/>
                <w:sz w:val="24"/>
              </w:rPr>
              <w:t>80。</w:t>
            </w:r>
          </w:p>
          <w:p w14:paraId="692050E0">
            <w:pPr>
              <w:spacing w:line="360" w:lineRule="auto"/>
              <w:ind w:firstLine="480" w:firstLineChars="200"/>
              <w:rPr>
                <w:rFonts w:hAnsi="宋体"/>
                <w:bCs/>
                <w:sz w:val="24"/>
              </w:rPr>
            </w:pPr>
            <w:r>
              <w:rPr>
                <w:rFonts w:hint="eastAsia" w:hAnsi="宋体"/>
                <w:bCs/>
                <w:sz w:val="24"/>
              </w:rPr>
              <w:t>（4）炉渣</w:t>
            </w:r>
          </w:p>
          <w:p w14:paraId="5DFF7091">
            <w:pPr>
              <w:spacing w:line="360" w:lineRule="auto"/>
              <w:ind w:firstLine="480" w:firstLineChars="200"/>
              <w:rPr>
                <w:rFonts w:hAnsi="宋体"/>
                <w:bCs/>
                <w:sz w:val="24"/>
              </w:rPr>
            </w:pPr>
            <w:r>
              <w:rPr>
                <w:rFonts w:hint="eastAsia"/>
                <w:sz w:val="24"/>
              </w:rPr>
              <w:t>成型生物质燃料燃烧后残留的灰烬物质，属碱性，主要成分是碳酸钾（K</w:t>
            </w:r>
            <w:r>
              <w:rPr>
                <w:rFonts w:hint="eastAsia"/>
                <w:sz w:val="24"/>
                <w:vertAlign w:val="subscript"/>
              </w:rPr>
              <w:t>2</w:t>
            </w:r>
            <w:r>
              <w:rPr>
                <w:rFonts w:hint="eastAsia"/>
                <w:sz w:val="24"/>
              </w:rPr>
              <w:t>CO</w:t>
            </w:r>
            <w:r>
              <w:rPr>
                <w:rFonts w:hint="eastAsia"/>
                <w:sz w:val="24"/>
                <w:vertAlign w:val="subscript"/>
              </w:rPr>
              <w:t>3</w:t>
            </w:r>
            <w:r>
              <w:rPr>
                <w:rFonts w:hint="eastAsia"/>
                <w:sz w:val="24"/>
              </w:rPr>
              <w:t>），其炉渣产生比值约为5%，项目生物质燃料年用量为1163.25t，年产生炉渣量约58.16t/a。在化学肥料普遍使用前，农家的草木灰是指由山草、禾秆和树枝等燃烧后的灰烬（不包括由煤所产生的煤灰）。草木灰肥料是植物燃烧后的灰烬，所以凡是植物所含的矿质元素，草木灰中几乎都含有</w:t>
            </w:r>
            <w:r>
              <w:rPr>
                <w:sz w:val="24"/>
              </w:rPr>
              <w:t>。</w:t>
            </w:r>
            <w:r>
              <w:rPr>
                <w:rFonts w:hint="eastAsia"/>
                <w:sz w:val="24"/>
              </w:rPr>
              <w:t>炉渣</w:t>
            </w:r>
            <w:r>
              <w:rPr>
                <w:bCs/>
                <w:spacing w:val="-10"/>
                <w:sz w:val="24"/>
              </w:rPr>
              <w:t>可集中收集后由周边农户拉走用作农肥</w:t>
            </w:r>
            <w:r>
              <w:rPr>
                <w:rFonts w:hint="eastAsia" w:hAnsi="宋体"/>
                <w:bCs/>
                <w:sz w:val="24"/>
              </w:rPr>
              <w:t>。</w:t>
            </w:r>
            <w:bookmarkStart w:id="133" w:name="OLE_LINK16"/>
            <w:bookmarkStart w:id="134" w:name="OLE_LINK71"/>
            <w:r>
              <w:rPr>
                <w:rFonts w:hint="eastAsia" w:hAnsi="宋体"/>
                <w:bCs/>
                <w:sz w:val="24"/>
              </w:rPr>
              <w:t>根据</w:t>
            </w:r>
            <w:bookmarkStart w:id="135" w:name="OLE_LINK80"/>
            <w:r>
              <w:rPr>
                <w:rFonts w:hint="eastAsia" w:hAnsi="宋体"/>
                <w:bCs/>
                <w:sz w:val="24"/>
              </w:rPr>
              <w:t>《固体废物分类与代码目录》（2024年）</w:t>
            </w:r>
            <w:bookmarkEnd w:id="133"/>
            <w:bookmarkEnd w:id="134"/>
            <w:bookmarkEnd w:id="135"/>
            <w:r>
              <w:rPr>
                <w:rFonts w:hint="eastAsia" w:hAnsi="宋体"/>
                <w:bCs/>
                <w:sz w:val="24"/>
              </w:rPr>
              <w:t>，其一般固体废物代码为</w:t>
            </w:r>
            <w:r>
              <w:rPr>
                <w:rFonts w:hAnsi="宋体"/>
                <w:bCs/>
                <w:sz w:val="24"/>
              </w:rPr>
              <w:t>900-0</w:t>
            </w:r>
            <w:r>
              <w:rPr>
                <w:rFonts w:hint="eastAsia" w:hAnsi="宋体"/>
                <w:bCs/>
                <w:sz w:val="24"/>
              </w:rPr>
              <w:t>9</w:t>
            </w:r>
            <w:r>
              <w:rPr>
                <w:rFonts w:hAnsi="宋体"/>
                <w:bCs/>
                <w:sz w:val="24"/>
              </w:rPr>
              <w:t>9-S</w:t>
            </w:r>
            <w:r>
              <w:rPr>
                <w:rFonts w:hint="eastAsia" w:hAnsi="宋体"/>
                <w:bCs/>
                <w:sz w:val="24"/>
              </w:rPr>
              <w:t>03。</w:t>
            </w:r>
          </w:p>
          <w:p w14:paraId="03B16AE3">
            <w:pPr>
              <w:spacing w:line="360" w:lineRule="auto"/>
              <w:ind w:firstLine="480" w:firstLineChars="200"/>
              <w:rPr>
                <w:rFonts w:hAnsi="宋体"/>
                <w:bCs/>
                <w:sz w:val="24"/>
              </w:rPr>
            </w:pPr>
            <w:r>
              <w:rPr>
                <w:rFonts w:hint="eastAsia" w:hAnsi="宋体"/>
                <w:bCs/>
                <w:sz w:val="24"/>
              </w:rPr>
              <w:t>（5）废布袋</w:t>
            </w:r>
          </w:p>
          <w:p w14:paraId="183754ED">
            <w:pPr>
              <w:adjustRightInd w:val="0"/>
              <w:snapToGrid w:val="0"/>
              <w:spacing w:line="360" w:lineRule="auto"/>
              <w:ind w:firstLine="480" w:firstLineChars="200"/>
              <w:rPr>
                <w:sz w:val="24"/>
              </w:rPr>
            </w:pPr>
            <w:r>
              <w:rPr>
                <w:rFonts w:hint="eastAsia"/>
                <w:sz w:val="24"/>
              </w:rPr>
              <w:t>项目采用布袋除尘器处理烟尘，布袋除尘器在运行过程中需要定期更换布袋，一般情况下在每年停炉检修过程中会更换布袋，即布袋除尘器的布袋每年更换一次，更换量约为0.2t/a。项目废旧布袋交由厂家回收处理。根据《固体废物分类与代码目录》（2024年），其一般固体废物代码为</w:t>
            </w:r>
            <w:r>
              <w:rPr>
                <w:rFonts w:hAnsi="宋体"/>
                <w:bCs/>
                <w:sz w:val="24"/>
              </w:rPr>
              <w:t>900-0</w:t>
            </w:r>
            <w:r>
              <w:rPr>
                <w:rFonts w:hint="eastAsia" w:hAnsi="宋体"/>
                <w:bCs/>
                <w:sz w:val="24"/>
              </w:rPr>
              <w:t>0</w:t>
            </w:r>
            <w:r>
              <w:rPr>
                <w:rFonts w:hAnsi="宋体"/>
                <w:bCs/>
                <w:sz w:val="24"/>
              </w:rPr>
              <w:t>9-S59。</w:t>
            </w:r>
          </w:p>
          <w:p w14:paraId="78A27B6B">
            <w:pPr>
              <w:spacing w:line="360" w:lineRule="auto"/>
              <w:ind w:firstLine="480" w:firstLineChars="200"/>
              <w:rPr>
                <w:rFonts w:hAnsi="宋体"/>
                <w:bCs/>
                <w:sz w:val="24"/>
              </w:rPr>
            </w:pPr>
            <w:r>
              <w:rPr>
                <w:rFonts w:hint="eastAsia" w:hAnsi="宋体"/>
                <w:bCs/>
                <w:sz w:val="24"/>
              </w:rPr>
              <w:t>（6）废试剂瓶等实验用品</w:t>
            </w:r>
          </w:p>
          <w:p w14:paraId="510D2901">
            <w:pPr>
              <w:spacing w:line="360" w:lineRule="auto"/>
              <w:ind w:firstLine="480" w:firstLineChars="200"/>
              <w:rPr>
                <w:rFonts w:hAnsi="宋体"/>
                <w:bCs/>
                <w:sz w:val="24"/>
              </w:rPr>
            </w:pPr>
            <w:r>
              <w:rPr>
                <w:rFonts w:hint="eastAsia" w:hAnsi="宋体"/>
                <w:bCs/>
                <w:sz w:val="24"/>
              </w:rPr>
              <w:t>项目检化验室，废试剂瓶、吸头、手套等一次性实验用品等，产生量约0.002t/a。根据《国家危险废物名录》（2025年版），废试剂瓶、吸头、手套等一次性实验用品等属于HW49“其他废物”的危险废物，代码900-041-49，收集后暂存危废间，定期交由有资质单位处理。</w:t>
            </w:r>
          </w:p>
          <w:p w14:paraId="3B3962DA">
            <w:pPr>
              <w:spacing w:line="360" w:lineRule="auto"/>
              <w:ind w:firstLine="480" w:firstLineChars="200"/>
              <w:rPr>
                <w:rFonts w:hAnsi="宋体"/>
                <w:bCs/>
                <w:sz w:val="24"/>
              </w:rPr>
            </w:pPr>
            <w:r>
              <w:rPr>
                <w:rFonts w:hint="eastAsia" w:hAnsi="宋体"/>
                <w:bCs/>
                <w:sz w:val="24"/>
              </w:rPr>
              <w:t>（7）实验废液</w:t>
            </w:r>
          </w:p>
          <w:p w14:paraId="775A4E8A">
            <w:pPr>
              <w:spacing w:line="360" w:lineRule="auto"/>
              <w:ind w:firstLine="480" w:firstLineChars="200"/>
              <w:rPr>
                <w:rFonts w:hAnsi="宋体"/>
                <w:bCs/>
                <w:sz w:val="24"/>
              </w:rPr>
            </w:pPr>
            <w:r>
              <w:rPr>
                <w:rFonts w:hint="eastAsia" w:hAnsi="宋体"/>
                <w:bCs/>
                <w:sz w:val="24"/>
              </w:rPr>
              <w:t>项目实验废液产生量为0.2t/a，根据《国家危险废物名录》（2025年版），实验废液属于编号HW49“其他废物”的危险废物，代码900-047-49，收集后暂存危废间，定期交由有资质单位处理。</w:t>
            </w:r>
          </w:p>
          <w:p w14:paraId="65597060">
            <w:pPr>
              <w:spacing w:line="360" w:lineRule="auto"/>
              <w:ind w:firstLine="480" w:firstLineChars="200"/>
              <w:rPr>
                <w:rFonts w:hAnsi="宋体"/>
                <w:bCs/>
                <w:sz w:val="24"/>
              </w:rPr>
            </w:pPr>
            <w:r>
              <w:rPr>
                <w:rFonts w:hint="eastAsia" w:hAnsi="宋体"/>
                <w:bCs/>
                <w:sz w:val="24"/>
              </w:rPr>
              <w:t>（8）</w:t>
            </w:r>
            <w:r>
              <w:rPr>
                <w:rFonts w:hint="eastAsia" w:hAnsi="宋体"/>
                <w:kern w:val="0"/>
                <w:sz w:val="24"/>
              </w:rPr>
              <w:t>熏蒸药剂使用后的残渣</w:t>
            </w:r>
          </w:p>
          <w:p w14:paraId="2BCB8C26">
            <w:pPr>
              <w:spacing w:line="360" w:lineRule="auto"/>
              <w:ind w:firstLine="480" w:firstLineChars="200"/>
              <w:rPr>
                <w:rFonts w:hAnsi="宋体"/>
                <w:bCs/>
                <w:sz w:val="24"/>
              </w:rPr>
            </w:pPr>
            <w:r>
              <w:rPr>
                <w:rFonts w:hint="eastAsia" w:hAnsi="宋体"/>
                <w:bCs/>
                <w:sz w:val="24"/>
              </w:rPr>
              <w:t>熏蒸药剂反应后其残渣主要为Al（OH）</w:t>
            </w:r>
            <w:r>
              <w:rPr>
                <w:rFonts w:hint="eastAsia" w:hAnsi="宋体"/>
                <w:bCs/>
                <w:sz w:val="24"/>
                <w:vertAlign w:val="subscript"/>
              </w:rPr>
              <w:t>3</w:t>
            </w:r>
            <w:r>
              <w:rPr>
                <w:rFonts w:hint="eastAsia" w:hAnsi="宋体"/>
                <w:bCs/>
                <w:sz w:val="24"/>
              </w:rPr>
              <w:t>和极少量残留的AlP，产生量约为0.05t/a，熏蒸化学药剂作为粮食部门管控药剂，粮食部门设专仓存放、专人管理，本厂区不设熏蒸化学药剂的暂存场所。根据《国家危险废物名录（2025年版）》，</w:t>
            </w:r>
            <w:r>
              <w:rPr>
                <w:rFonts w:hint="eastAsia" w:hAnsi="宋体"/>
                <w:kern w:val="0"/>
                <w:sz w:val="24"/>
              </w:rPr>
              <w:t>熏蒸药剂使用后的残渣</w:t>
            </w:r>
            <w:r>
              <w:rPr>
                <w:rFonts w:hint="eastAsia" w:hAnsi="宋体"/>
                <w:bCs/>
                <w:sz w:val="24"/>
              </w:rPr>
              <w:t>属于编号HW04“农药废物”的危险废物，代码900-003-04，收集后暂存危废间，定期交由有资质单位处理。</w:t>
            </w:r>
          </w:p>
          <w:p w14:paraId="2535C6B1">
            <w:pPr>
              <w:spacing w:line="360" w:lineRule="auto"/>
              <w:ind w:firstLine="480" w:firstLineChars="200"/>
              <w:rPr>
                <w:rFonts w:hAnsi="宋体"/>
                <w:bCs/>
                <w:sz w:val="24"/>
              </w:rPr>
            </w:pPr>
            <w:r>
              <w:rPr>
                <w:rFonts w:hint="eastAsia" w:hAnsi="宋体"/>
                <w:bCs/>
                <w:sz w:val="24"/>
              </w:rPr>
              <w:t>（9）</w:t>
            </w:r>
            <w:bookmarkStart w:id="136" w:name="OLE_LINK26"/>
            <w:bookmarkStart w:id="137" w:name="OLE_LINK41"/>
            <w:r>
              <w:rPr>
                <w:rFonts w:hint="eastAsia" w:hAnsi="宋体"/>
                <w:bCs/>
                <w:sz w:val="24"/>
              </w:rPr>
              <w:t>废矿物油</w:t>
            </w:r>
            <w:bookmarkEnd w:id="136"/>
            <w:bookmarkEnd w:id="137"/>
          </w:p>
          <w:p w14:paraId="2BBEB7E4">
            <w:pPr>
              <w:spacing w:line="360" w:lineRule="auto"/>
              <w:ind w:firstLine="480" w:firstLineChars="200"/>
              <w:rPr>
                <w:rFonts w:hAnsi="宋体"/>
                <w:bCs/>
                <w:sz w:val="24"/>
              </w:rPr>
            </w:pPr>
            <w:r>
              <w:rPr>
                <w:rFonts w:hint="eastAsia" w:hAnsi="宋体"/>
                <w:bCs/>
                <w:sz w:val="24"/>
              </w:rPr>
              <w:t>项目设备维修养护时会产生一定量的废矿物油，产生量约为0.05t/a，根据《国家危险废物名录》（2025年），废机油属于危险废物HW08，废物代码：900-214-08，收集后暂存危废间，定期交由有资质单位处理。</w:t>
            </w:r>
          </w:p>
          <w:p w14:paraId="6C3E5072">
            <w:pPr>
              <w:spacing w:line="360" w:lineRule="auto"/>
              <w:ind w:firstLine="480" w:firstLineChars="200"/>
              <w:rPr>
                <w:rFonts w:hAnsi="宋体"/>
                <w:bCs/>
                <w:sz w:val="24"/>
              </w:rPr>
            </w:pPr>
            <w:r>
              <w:rPr>
                <w:rFonts w:hint="eastAsia" w:hAnsi="宋体"/>
                <w:bCs/>
                <w:sz w:val="24"/>
              </w:rPr>
              <w:t>（10）废油桶</w:t>
            </w:r>
          </w:p>
          <w:p w14:paraId="72445E02">
            <w:pPr>
              <w:spacing w:line="360" w:lineRule="auto"/>
              <w:ind w:firstLine="480" w:firstLineChars="200"/>
              <w:rPr>
                <w:rFonts w:hAnsi="宋体"/>
                <w:bCs/>
                <w:sz w:val="24"/>
              </w:rPr>
            </w:pPr>
            <w:r>
              <w:rPr>
                <w:rFonts w:hint="eastAsia" w:hAnsi="宋体"/>
                <w:bCs/>
                <w:sz w:val="24"/>
              </w:rPr>
              <w:t>项目使用液压油、润滑油的过程中会产生一定量的废油桶，废油桶属于危险固废，根据《国家危险废物名录》（2025年），废机油属于危险废物HW08，废物代码：900-249-08，产生量约为0.03t/a，收集后暂存于危废暂存间，定期交由有资质的单位处置。</w:t>
            </w:r>
          </w:p>
          <w:p w14:paraId="4D61D70F">
            <w:pPr>
              <w:spacing w:line="360" w:lineRule="auto"/>
              <w:ind w:firstLine="480" w:firstLineChars="200"/>
              <w:rPr>
                <w:rFonts w:hAnsi="宋体"/>
                <w:bCs/>
                <w:sz w:val="24"/>
              </w:rPr>
            </w:pPr>
            <w:r>
              <w:rPr>
                <w:rFonts w:hint="eastAsia" w:hAnsi="宋体"/>
                <w:bCs/>
                <w:sz w:val="24"/>
              </w:rPr>
              <w:t>（11）废含油手套及抹布</w:t>
            </w:r>
          </w:p>
          <w:p w14:paraId="16226738">
            <w:pPr>
              <w:spacing w:line="360" w:lineRule="auto"/>
              <w:ind w:firstLine="480" w:firstLineChars="200"/>
              <w:rPr>
                <w:rFonts w:hAnsi="宋体"/>
                <w:bCs/>
                <w:sz w:val="24"/>
              </w:rPr>
            </w:pPr>
            <w:r>
              <w:rPr>
                <w:rFonts w:hint="eastAsia" w:hAnsi="宋体"/>
                <w:bCs/>
                <w:sz w:val="24"/>
              </w:rPr>
              <w:t>项目设备维修等产生的废含油抹布及手套约0.02t/a。根据《国家危险废物名录》（2025年），废含油手套属于危险废物HW49，废物代码：900-041-49，收集后暂存危废间，定期交由有资质单位处理。</w:t>
            </w:r>
          </w:p>
          <w:p w14:paraId="0100468F">
            <w:pPr>
              <w:spacing w:line="360" w:lineRule="auto"/>
              <w:ind w:firstLine="480" w:firstLineChars="200"/>
              <w:rPr>
                <w:rFonts w:hAnsi="宋体"/>
                <w:kern w:val="0"/>
                <w:sz w:val="24"/>
              </w:rPr>
            </w:pPr>
            <w:r>
              <w:rPr>
                <w:rFonts w:hint="eastAsia" w:hAnsi="宋体"/>
                <w:kern w:val="0"/>
                <w:sz w:val="24"/>
              </w:rPr>
              <w:t>（12）生活垃圾</w:t>
            </w:r>
          </w:p>
          <w:p w14:paraId="081DC23D">
            <w:pPr>
              <w:spacing w:line="360" w:lineRule="auto"/>
              <w:ind w:firstLine="480" w:firstLineChars="200"/>
              <w:rPr>
                <w:rFonts w:hAnsi="宋体"/>
                <w:b/>
                <w:kern w:val="0"/>
                <w:sz w:val="24"/>
              </w:rPr>
            </w:pPr>
            <w:r>
              <w:rPr>
                <w:sz w:val="24"/>
              </w:rPr>
              <w:t>本项目工作人员有</w:t>
            </w:r>
            <w:r>
              <w:rPr>
                <w:rFonts w:hint="eastAsia"/>
                <w:sz w:val="24"/>
              </w:rPr>
              <w:t>20</w:t>
            </w:r>
            <w:r>
              <w:rPr>
                <w:sz w:val="24"/>
              </w:rPr>
              <w:t>人，按</w:t>
            </w:r>
            <w:r>
              <w:rPr>
                <w:rFonts w:hint="eastAsia"/>
                <w:sz w:val="24"/>
              </w:rPr>
              <w:t>0.5</w:t>
            </w:r>
            <w:r>
              <w:rPr>
                <w:sz w:val="24"/>
              </w:rPr>
              <w:t>kg/人·d计，则生活垃圾产生量为</w:t>
            </w:r>
            <w:r>
              <w:rPr>
                <w:rFonts w:hint="eastAsia"/>
                <w:sz w:val="24"/>
              </w:rPr>
              <w:t>10</w:t>
            </w:r>
            <w:r>
              <w:rPr>
                <w:sz w:val="24"/>
              </w:rPr>
              <w:t>kg/d</w:t>
            </w:r>
            <w:r>
              <w:rPr>
                <w:rFonts w:hint="eastAsia"/>
                <w:sz w:val="24"/>
              </w:rPr>
              <w:t>，3</w:t>
            </w:r>
            <w:r>
              <w:rPr>
                <w:sz w:val="24"/>
              </w:rPr>
              <w:t>t/a。收集后交由当地环卫部门统一清运，做到日产日清</w:t>
            </w:r>
            <w:r>
              <w:rPr>
                <w:rFonts w:hint="eastAsia"/>
                <w:sz w:val="24"/>
              </w:rPr>
              <w:t>。</w:t>
            </w:r>
          </w:p>
          <w:p w14:paraId="4BAEEB61">
            <w:pPr>
              <w:autoSpaceDE w:val="0"/>
              <w:autoSpaceDN w:val="0"/>
              <w:adjustRightInd w:val="0"/>
              <w:spacing w:line="360" w:lineRule="auto"/>
              <w:ind w:firstLine="440" w:firstLineChars="200"/>
              <w:rPr>
                <w:bCs/>
                <w:spacing w:val="-10"/>
                <w:sz w:val="24"/>
              </w:rPr>
            </w:pPr>
            <w:r>
              <w:rPr>
                <w:bCs/>
                <w:spacing w:val="-10"/>
                <w:sz w:val="24"/>
              </w:rPr>
              <w:t>项目固体废物产排情况一览表见表</w:t>
            </w:r>
            <w:r>
              <w:rPr>
                <w:rFonts w:hint="eastAsia"/>
                <w:bCs/>
                <w:spacing w:val="-10"/>
                <w:sz w:val="24"/>
              </w:rPr>
              <w:t>4-19</w:t>
            </w:r>
            <w:r>
              <w:rPr>
                <w:bCs/>
                <w:spacing w:val="-10"/>
                <w:sz w:val="24"/>
              </w:rPr>
              <w:t>。</w:t>
            </w:r>
          </w:p>
          <w:p w14:paraId="750D0404">
            <w:pPr>
              <w:spacing w:before="120" w:beforeLines="50"/>
              <w:jc w:val="center"/>
              <w:rPr>
                <w:b/>
                <w:szCs w:val="21"/>
              </w:rPr>
            </w:pPr>
            <w:r>
              <w:rPr>
                <w:b/>
                <w:szCs w:val="21"/>
              </w:rPr>
              <w:t>表4-</w:t>
            </w:r>
            <w:r>
              <w:rPr>
                <w:rFonts w:hint="eastAsia"/>
                <w:b/>
                <w:szCs w:val="21"/>
              </w:rPr>
              <w:t>19</w:t>
            </w:r>
            <w:r>
              <w:rPr>
                <w:b/>
                <w:szCs w:val="21"/>
              </w:rPr>
              <w:t xml:space="preserve">  项目固体废物产生排放情况</w:t>
            </w:r>
          </w:p>
          <w:tbl>
            <w:tblPr>
              <w:tblStyle w:val="2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1"/>
              <w:gridCol w:w="710"/>
              <w:gridCol w:w="1418"/>
              <w:gridCol w:w="710"/>
              <w:gridCol w:w="851"/>
              <w:gridCol w:w="991"/>
              <w:gridCol w:w="851"/>
              <w:gridCol w:w="1560"/>
              <w:gridCol w:w="1036"/>
            </w:tblGrid>
            <w:tr w14:paraId="29329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3F714EAC">
                  <w:pPr>
                    <w:jc w:val="center"/>
                    <w:rPr>
                      <w:b/>
                      <w:szCs w:val="21"/>
                    </w:rPr>
                  </w:pPr>
                  <w:r>
                    <w:rPr>
                      <w:b/>
                      <w:szCs w:val="21"/>
                    </w:rPr>
                    <w:t>固体废物名称</w:t>
                  </w:r>
                </w:p>
              </w:tc>
              <w:tc>
                <w:tcPr>
                  <w:tcW w:w="378" w:type="pct"/>
                  <w:shd w:val="clear" w:color="auto" w:fill="auto"/>
                  <w:vAlign w:val="center"/>
                </w:tcPr>
                <w:p w14:paraId="2129D4DA">
                  <w:pPr>
                    <w:jc w:val="center"/>
                    <w:rPr>
                      <w:b/>
                      <w:szCs w:val="21"/>
                    </w:rPr>
                  </w:pPr>
                  <w:r>
                    <w:rPr>
                      <w:b/>
                      <w:szCs w:val="21"/>
                    </w:rPr>
                    <w:t>属性</w:t>
                  </w:r>
                </w:p>
              </w:tc>
              <w:tc>
                <w:tcPr>
                  <w:tcW w:w="755" w:type="pct"/>
                  <w:shd w:val="clear" w:color="auto" w:fill="auto"/>
                  <w:vAlign w:val="center"/>
                </w:tcPr>
                <w:p w14:paraId="5B50117F">
                  <w:pPr>
                    <w:jc w:val="center"/>
                    <w:rPr>
                      <w:b/>
                      <w:szCs w:val="21"/>
                    </w:rPr>
                  </w:pPr>
                  <w:r>
                    <w:rPr>
                      <w:b/>
                      <w:szCs w:val="21"/>
                    </w:rPr>
                    <w:t>编码</w:t>
                  </w:r>
                </w:p>
              </w:tc>
              <w:tc>
                <w:tcPr>
                  <w:tcW w:w="378" w:type="pct"/>
                  <w:shd w:val="clear" w:color="auto" w:fill="auto"/>
                  <w:vAlign w:val="center"/>
                </w:tcPr>
                <w:p w14:paraId="0FBB9D82">
                  <w:pPr>
                    <w:jc w:val="center"/>
                    <w:rPr>
                      <w:b/>
                      <w:szCs w:val="21"/>
                    </w:rPr>
                  </w:pPr>
                  <w:r>
                    <w:rPr>
                      <w:b/>
                      <w:szCs w:val="21"/>
                    </w:rPr>
                    <w:t>物理</w:t>
                  </w:r>
                </w:p>
                <w:p w14:paraId="7BD38C82">
                  <w:pPr>
                    <w:jc w:val="center"/>
                    <w:rPr>
                      <w:b/>
                      <w:szCs w:val="21"/>
                    </w:rPr>
                  </w:pPr>
                  <w:r>
                    <w:rPr>
                      <w:b/>
                      <w:szCs w:val="21"/>
                    </w:rPr>
                    <w:t>性质</w:t>
                  </w:r>
                </w:p>
              </w:tc>
              <w:tc>
                <w:tcPr>
                  <w:tcW w:w="453" w:type="pct"/>
                  <w:shd w:val="clear" w:color="auto" w:fill="auto"/>
                  <w:vAlign w:val="center"/>
                </w:tcPr>
                <w:p w14:paraId="6E76C8ED">
                  <w:pPr>
                    <w:jc w:val="center"/>
                    <w:rPr>
                      <w:b/>
                      <w:szCs w:val="21"/>
                    </w:rPr>
                  </w:pPr>
                  <w:r>
                    <w:rPr>
                      <w:b/>
                      <w:szCs w:val="21"/>
                    </w:rPr>
                    <w:t>环境危险特性</w:t>
                  </w:r>
                </w:p>
              </w:tc>
              <w:tc>
                <w:tcPr>
                  <w:tcW w:w="528" w:type="pct"/>
                  <w:shd w:val="clear" w:color="auto" w:fill="auto"/>
                  <w:vAlign w:val="center"/>
                </w:tcPr>
                <w:p w14:paraId="1C8D6620">
                  <w:pPr>
                    <w:jc w:val="center"/>
                    <w:rPr>
                      <w:b/>
                      <w:szCs w:val="21"/>
                    </w:rPr>
                  </w:pPr>
                  <w:r>
                    <w:rPr>
                      <w:b/>
                      <w:szCs w:val="21"/>
                    </w:rPr>
                    <w:t>年产生量</w:t>
                  </w:r>
                  <w:r>
                    <w:rPr>
                      <w:rFonts w:hint="eastAsia"/>
                      <w:b/>
                      <w:szCs w:val="21"/>
                    </w:rPr>
                    <w:t>t/a</w:t>
                  </w:r>
                </w:p>
              </w:tc>
              <w:tc>
                <w:tcPr>
                  <w:tcW w:w="453" w:type="pct"/>
                  <w:shd w:val="clear" w:color="auto" w:fill="auto"/>
                  <w:vAlign w:val="center"/>
                </w:tcPr>
                <w:p w14:paraId="095A45DA">
                  <w:pPr>
                    <w:jc w:val="center"/>
                    <w:rPr>
                      <w:b/>
                      <w:szCs w:val="21"/>
                    </w:rPr>
                  </w:pPr>
                  <w:r>
                    <w:rPr>
                      <w:b/>
                      <w:szCs w:val="21"/>
                    </w:rPr>
                    <w:t>贮存方式</w:t>
                  </w:r>
                </w:p>
              </w:tc>
              <w:tc>
                <w:tcPr>
                  <w:tcW w:w="831" w:type="pct"/>
                  <w:shd w:val="clear" w:color="auto" w:fill="auto"/>
                  <w:vAlign w:val="center"/>
                </w:tcPr>
                <w:p w14:paraId="44B67F0B">
                  <w:pPr>
                    <w:jc w:val="center"/>
                    <w:rPr>
                      <w:b/>
                      <w:szCs w:val="21"/>
                    </w:rPr>
                  </w:pPr>
                  <w:r>
                    <w:rPr>
                      <w:b/>
                      <w:szCs w:val="21"/>
                    </w:rPr>
                    <w:t>利用处置方式和去向</w:t>
                  </w:r>
                </w:p>
              </w:tc>
              <w:tc>
                <w:tcPr>
                  <w:tcW w:w="552" w:type="pct"/>
                  <w:shd w:val="clear" w:color="auto" w:fill="auto"/>
                  <w:vAlign w:val="center"/>
                </w:tcPr>
                <w:p w14:paraId="0387817B">
                  <w:pPr>
                    <w:jc w:val="center"/>
                    <w:rPr>
                      <w:b/>
                      <w:szCs w:val="21"/>
                    </w:rPr>
                  </w:pPr>
                  <w:r>
                    <w:rPr>
                      <w:b/>
                      <w:szCs w:val="21"/>
                    </w:rPr>
                    <w:t>利用处理量</w:t>
                  </w:r>
                  <w:r>
                    <w:rPr>
                      <w:rFonts w:hint="eastAsia"/>
                      <w:b/>
                      <w:szCs w:val="21"/>
                    </w:rPr>
                    <w:t>t/a</w:t>
                  </w:r>
                </w:p>
              </w:tc>
            </w:tr>
            <w:tr w14:paraId="40433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53CF7FBA">
                  <w:pPr>
                    <w:jc w:val="center"/>
                    <w:rPr>
                      <w:szCs w:val="21"/>
                    </w:rPr>
                  </w:pPr>
                  <w:r>
                    <w:rPr>
                      <w:szCs w:val="21"/>
                    </w:rPr>
                    <w:t>除尘器收集尘</w:t>
                  </w:r>
                </w:p>
              </w:tc>
              <w:tc>
                <w:tcPr>
                  <w:tcW w:w="378" w:type="pct"/>
                  <w:vMerge w:val="restart"/>
                  <w:shd w:val="clear" w:color="auto" w:fill="auto"/>
                  <w:vAlign w:val="center"/>
                </w:tcPr>
                <w:p w14:paraId="279BBB0C">
                  <w:pPr>
                    <w:jc w:val="center"/>
                    <w:rPr>
                      <w:szCs w:val="21"/>
                    </w:rPr>
                  </w:pPr>
                  <w:r>
                    <w:rPr>
                      <w:szCs w:val="21"/>
                    </w:rPr>
                    <w:t>一般固废</w:t>
                  </w:r>
                </w:p>
              </w:tc>
              <w:tc>
                <w:tcPr>
                  <w:tcW w:w="755" w:type="pct"/>
                  <w:shd w:val="clear" w:color="auto" w:fill="auto"/>
                  <w:vAlign w:val="center"/>
                </w:tcPr>
                <w:p w14:paraId="0BAD3D97">
                  <w:pPr>
                    <w:jc w:val="center"/>
                    <w:rPr>
                      <w:szCs w:val="21"/>
                    </w:rPr>
                  </w:pPr>
                  <w:r>
                    <w:rPr>
                      <w:szCs w:val="21"/>
                    </w:rPr>
                    <w:t>900-099-S59</w:t>
                  </w:r>
                </w:p>
              </w:tc>
              <w:tc>
                <w:tcPr>
                  <w:tcW w:w="378" w:type="pct"/>
                  <w:shd w:val="clear" w:color="auto" w:fill="auto"/>
                  <w:vAlign w:val="center"/>
                </w:tcPr>
                <w:p w14:paraId="15DB84AE">
                  <w:pPr>
                    <w:jc w:val="center"/>
                    <w:rPr>
                      <w:szCs w:val="21"/>
                    </w:rPr>
                  </w:pPr>
                  <w:r>
                    <w:rPr>
                      <w:szCs w:val="21"/>
                    </w:rPr>
                    <w:t>固态</w:t>
                  </w:r>
                </w:p>
              </w:tc>
              <w:tc>
                <w:tcPr>
                  <w:tcW w:w="453" w:type="pct"/>
                  <w:shd w:val="clear" w:color="auto" w:fill="auto"/>
                  <w:vAlign w:val="center"/>
                </w:tcPr>
                <w:p w14:paraId="685134B9">
                  <w:pPr>
                    <w:jc w:val="center"/>
                    <w:rPr>
                      <w:szCs w:val="21"/>
                    </w:rPr>
                  </w:pPr>
                  <w:r>
                    <w:rPr>
                      <w:rFonts w:hint="eastAsia"/>
                      <w:szCs w:val="21"/>
                    </w:rPr>
                    <w:t>/</w:t>
                  </w:r>
                </w:p>
              </w:tc>
              <w:tc>
                <w:tcPr>
                  <w:tcW w:w="528" w:type="pct"/>
                  <w:shd w:val="clear" w:color="auto" w:fill="auto"/>
                  <w:vAlign w:val="center"/>
                </w:tcPr>
                <w:p w14:paraId="40DD4473">
                  <w:pPr>
                    <w:jc w:val="center"/>
                    <w:rPr>
                      <w:szCs w:val="21"/>
                    </w:rPr>
                  </w:pPr>
                  <w:r>
                    <w:rPr>
                      <w:rFonts w:hint="eastAsia"/>
                      <w:szCs w:val="21"/>
                    </w:rPr>
                    <w:t>27.52</w:t>
                  </w:r>
                </w:p>
              </w:tc>
              <w:tc>
                <w:tcPr>
                  <w:tcW w:w="453" w:type="pct"/>
                  <w:vMerge w:val="restart"/>
                  <w:shd w:val="clear" w:color="auto" w:fill="auto"/>
                  <w:vAlign w:val="center"/>
                </w:tcPr>
                <w:p w14:paraId="63B3ACF3">
                  <w:pPr>
                    <w:jc w:val="center"/>
                    <w:rPr>
                      <w:szCs w:val="21"/>
                    </w:rPr>
                  </w:pPr>
                  <w:r>
                    <w:rPr>
                      <w:szCs w:val="21"/>
                    </w:rPr>
                    <w:t>一般固废暂存间</w:t>
                  </w:r>
                </w:p>
              </w:tc>
              <w:tc>
                <w:tcPr>
                  <w:tcW w:w="831" w:type="pct"/>
                  <w:shd w:val="clear" w:color="auto" w:fill="auto"/>
                  <w:vAlign w:val="center"/>
                </w:tcPr>
                <w:p w14:paraId="50F0767B">
                  <w:pPr>
                    <w:jc w:val="center"/>
                    <w:rPr>
                      <w:szCs w:val="21"/>
                    </w:rPr>
                  </w:pPr>
                  <w:r>
                    <w:rPr>
                      <w:rFonts w:hint="eastAsia"/>
                      <w:szCs w:val="21"/>
                    </w:rPr>
                    <w:t>外售综合利用</w:t>
                  </w:r>
                </w:p>
              </w:tc>
              <w:tc>
                <w:tcPr>
                  <w:tcW w:w="552" w:type="pct"/>
                  <w:shd w:val="clear" w:color="auto" w:fill="auto"/>
                  <w:vAlign w:val="center"/>
                </w:tcPr>
                <w:p w14:paraId="4D40E3FD">
                  <w:pPr>
                    <w:jc w:val="center"/>
                    <w:rPr>
                      <w:szCs w:val="21"/>
                    </w:rPr>
                  </w:pPr>
                  <w:r>
                    <w:rPr>
                      <w:rFonts w:hint="eastAsia"/>
                      <w:szCs w:val="21"/>
                    </w:rPr>
                    <w:t>27.52</w:t>
                  </w:r>
                </w:p>
              </w:tc>
            </w:tr>
            <w:tr w14:paraId="17347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3BBB773F">
                  <w:pPr>
                    <w:jc w:val="center"/>
                    <w:rPr>
                      <w:szCs w:val="21"/>
                    </w:rPr>
                  </w:pPr>
                  <w:r>
                    <w:rPr>
                      <w:rFonts w:hint="eastAsia"/>
                      <w:szCs w:val="21"/>
                    </w:rPr>
                    <w:t>沉降尘</w:t>
                  </w:r>
                </w:p>
              </w:tc>
              <w:tc>
                <w:tcPr>
                  <w:tcW w:w="378" w:type="pct"/>
                  <w:vMerge w:val="continue"/>
                  <w:shd w:val="clear" w:color="auto" w:fill="auto"/>
                  <w:vAlign w:val="center"/>
                </w:tcPr>
                <w:p w14:paraId="412CC076">
                  <w:pPr>
                    <w:jc w:val="center"/>
                    <w:rPr>
                      <w:szCs w:val="21"/>
                    </w:rPr>
                  </w:pPr>
                </w:p>
              </w:tc>
              <w:tc>
                <w:tcPr>
                  <w:tcW w:w="755" w:type="pct"/>
                  <w:shd w:val="clear" w:color="auto" w:fill="auto"/>
                  <w:vAlign w:val="center"/>
                </w:tcPr>
                <w:p w14:paraId="3EE291AE">
                  <w:pPr>
                    <w:jc w:val="center"/>
                    <w:rPr>
                      <w:szCs w:val="21"/>
                    </w:rPr>
                  </w:pPr>
                  <w:r>
                    <w:rPr>
                      <w:szCs w:val="21"/>
                    </w:rPr>
                    <w:t>900-099-S59</w:t>
                  </w:r>
                </w:p>
              </w:tc>
              <w:tc>
                <w:tcPr>
                  <w:tcW w:w="378" w:type="pct"/>
                  <w:shd w:val="clear" w:color="auto" w:fill="auto"/>
                  <w:vAlign w:val="center"/>
                </w:tcPr>
                <w:p w14:paraId="4E502885">
                  <w:pPr>
                    <w:jc w:val="center"/>
                    <w:rPr>
                      <w:szCs w:val="21"/>
                    </w:rPr>
                  </w:pPr>
                  <w:r>
                    <w:rPr>
                      <w:szCs w:val="21"/>
                    </w:rPr>
                    <w:t>固态</w:t>
                  </w:r>
                </w:p>
              </w:tc>
              <w:tc>
                <w:tcPr>
                  <w:tcW w:w="453" w:type="pct"/>
                  <w:shd w:val="clear" w:color="auto" w:fill="auto"/>
                  <w:vAlign w:val="center"/>
                </w:tcPr>
                <w:p w14:paraId="1ABE6809">
                  <w:pPr>
                    <w:jc w:val="center"/>
                    <w:rPr>
                      <w:szCs w:val="21"/>
                    </w:rPr>
                  </w:pPr>
                  <w:r>
                    <w:rPr>
                      <w:rFonts w:hint="eastAsia"/>
                      <w:szCs w:val="21"/>
                    </w:rPr>
                    <w:t>/</w:t>
                  </w:r>
                </w:p>
              </w:tc>
              <w:tc>
                <w:tcPr>
                  <w:tcW w:w="528" w:type="pct"/>
                  <w:shd w:val="clear" w:color="auto" w:fill="auto"/>
                  <w:vAlign w:val="center"/>
                </w:tcPr>
                <w:p w14:paraId="78D72184">
                  <w:pPr>
                    <w:jc w:val="center"/>
                    <w:rPr>
                      <w:szCs w:val="21"/>
                    </w:rPr>
                  </w:pPr>
                  <w:r>
                    <w:rPr>
                      <w:rFonts w:hint="eastAsia"/>
                      <w:szCs w:val="21"/>
                    </w:rPr>
                    <w:t>25.61</w:t>
                  </w:r>
                </w:p>
              </w:tc>
              <w:tc>
                <w:tcPr>
                  <w:tcW w:w="453" w:type="pct"/>
                  <w:vMerge w:val="continue"/>
                  <w:shd w:val="clear" w:color="auto" w:fill="auto"/>
                  <w:vAlign w:val="center"/>
                </w:tcPr>
                <w:p w14:paraId="091746E7">
                  <w:pPr>
                    <w:jc w:val="center"/>
                    <w:rPr>
                      <w:szCs w:val="21"/>
                    </w:rPr>
                  </w:pPr>
                </w:p>
              </w:tc>
              <w:tc>
                <w:tcPr>
                  <w:tcW w:w="831" w:type="pct"/>
                  <w:shd w:val="clear" w:color="auto" w:fill="auto"/>
                  <w:vAlign w:val="center"/>
                </w:tcPr>
                <w:p w14:paraId="4E093AED">
                  <w:pPr>
                    <w:jc w:val="center"/>
                    <w:rPr>
                      <w:szCs w:val="21"/>
                    </w:rPr>
                  </w:pPr>
                  <w:r>
                    <w:rPr>
                      <w:rFonts w:hint="eastAsia"/>
                      <w:szCs w:val="21"/>
                    </w:rPr>
                    <w:t>外售综合利用</w:t>
                  </w:r>
                </w:p>
              </w:tc>
              <w:tc>
                <w:tcPr>
                  <w:tcW w:w="552" w:type="pct"/>
                  <w:shd w:val="clear" w:color="auto" w:fill="auto"/>
                  <w:vAlign w:val="center"/>
                </w:tcPr>
                <w:p w14:paraId="0005CE4D">
                  <w:pPr>
                    <w:jc w:val="center"/>
                    <w:rPr>
                      <w:szCs w:val="21"/>
                    </w:rPr>
                  </w:pPr>
                  <w:r>
                    <w:rPr>
                      <w:rFonts w:hint="eastAsia"/>
                      <w:szCs w:val="21"/>
                    </w:rPr>
                    <w:t>25.61</w:t>
                  </w:r>
                </w:p>
              </w:tc>
            </w:tr>
            <w:tr w14:paraId="31BDEA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57E4191D">
                  <w:pPr>
                    <w:jc w:val="center"/>
                    <w:rPr>
                      <w:szCs w:val="21"/>
                    </w:rPr>
                  </w:pPr>
                  <w:r>
                    <w:rPr>
                      <w:rFonts w:hint="eastAsia"/>
                      <w:szCs w:val="21"/>
                    </w:rPr>
                    <w:t>清筛杂质</w:t>
                  </w:r>
                </w:p>
              </w:tc>
              <w:tc>
                <w:tcPr>
                  <w:tcW w:w="378" w:type="pct"/>
                  <w:vMerge w:val="continue"/>
                  <w:shd w:val="clear" w:color="auto" w:fill="auto"/>
                  <w:vAlign w:val="center"/>
                </w:tcPr>
                <w:p w14:paraId="19688D06">
                  <w:pPr>
                    <w:jc w:val="center"/>
                    <w:rPr>
                      <w:szCs w:val="21"/>
                    </w:rPr>
                  </w:pPr>
                </w:p>
              </w:tc>
              <w:tc>
                <w:tcPr>
                  <w:tcW w:w="755" w:type="pct"/>
                  <w:shd w:val="clear" w:color="auto" w:fill="auto"/>
                  <w:vAlign w:val="center"/>
                </w:tcPr>
                <w:p w14:paraId="775C08F5">
                  <w:pPr>
                    <w:jc w:val="center"/>
                    <w:rPr>
                      <w:szCs w:val="21"/>
                    </w:rPr>
                  </w:pPr>
                  <w:r>
                    <w:rPr>
                      <w:szCs w:val="21"/>
                    </w:rPr>
                    <w:t>010-099-S80</w:t>
                  </w:r>
                </w:p>
              </w:tc>
              <w:tc>
                <w:tcPr>
                  <w:tcW w:w="378" w:type="pct"/>
                  <w:shd w:val="clear" w:color="auto" w:fill="auto"/>
                  <w:vAlign w:val="center"/>
                </w:tcPr>
                <w:p w14:paraId="7610AD94">
                  <w:pPr>
                    <w:jc w:val="center"/>
                    <w:rPr>
                      <w:szCs w:val="21"/>
                    </w:rPr>
                  </w:pPr>
                  <w:r>
                    <w:rPr>
                      <w:szCs w:val="21"/>
                    </w:rPr>
                    <w:t>固态</w:t>
                  </w:r>
                </w:p>
              </w:tc>
              <w:tc>
                <w:tcPr>
                  <w:tcW w:w="453" w:type="pct"/>
                  <w:shd w:val="clear" w:color="auto" w:fill="auto"/>
                  <w:vAlign w:val="center"/>
                </w:tcPr>
                <w:p w14:paraId="5708B157">
                  <w:pPr>
                    <w:jc w:val="center"/>
                    <w:rPr>
                      <w:szCs w:val="21"/>
                    </w:rPr>
                  </w:pPr>
                  <w:r>
                    <w:rPr>
                      <w:rFonts w:hint="eastAsia"/>
                      <w:szCs w:val="21"/>
                    </w:rPr>
                    <w:t>/</w:t>
                  </w:r>
                </w:p>
              </w:tc>
              <w:tc>
                <w:tcPr>
                  <w:tcW w:w="528" w:type="pct"/>
                  <w:shd w:val="clear" w:color="auto" w:fill="auto"/>
                  <w:vAlign w:val="center"/>
                </w:tcPr>
                <w:p w14:paraId="55113FB0">
                  <w:pPr>
                    <w:jc w:val="center"/>
                    <w:rPr>
                      <w:szCs w:val="21"/>
                    </w:rPr>
                  </w:pPr>
                  <w:r>
                    <w:rPr>
                      <w:rFonts w:hint="eastAsia"/>
                      <w:szCs w:val="21"/>
                    </w:rPr>
                    <w:t>918</w:t>
                  </w:r>
                </w:p>
              </w:tc>
              <w:tc>
                <w:tcPr>
                  <w:tcW w:w="453" w:type="pct"/>
                  <w:vMerge w:val="continue"/>
                  <w:shd w:val="clear" w:color="auto" w:fill="auto"/>
                  <w:vAlign w:val="center"/>
                </w:tcPr>
                <w:p w14:paraId="68D4C2C0">
                  <w:pPr>
                    <w:jc w:val="center"/>
                    <w:rPr>
                      <w:szCs w:val="21"/>
                    </w:rPr>
                  </w:pPr>
                </w:p>
              </w:tc>
              <w:tc>
                <w:tcPr>
                  <w:tcW w:w="831" w:type="pct"/>
                  <w:shd w:val="clear" w:color="auto" w:fill="auto"/>
                  <w:vAlign w:val="center"/>
                </w:tcPr>
                <w:p w14:paraId="46E82864">
                  <w:pPr>
                    <w:jc w:val="center"/>
                    <w:rPr>
                      <w:szCs w:val="21"/>
                    </w:rPr>
                  </w:pPr>
                  <w:r>
                    <w:rPr>
                      <w:rFonts w:hint="eastAsia"/>
                      <w:szCs w:val="21"/>
                    </w:rPr>
                    <w:t>收集后交环卫部门统一清运处理</w:t>
                  </w:r>
                </w:p>
              </w:tc>
              <w:tc>
                <w:tcPr>
                  <w:tcW w:w="552" w:type="pct"/>
                  <w:shd w:val="clear" w:color="auto" w:fill="auto"/>
                  <w:vAlign w:val="center"/>
                </w:tcPr>
                <w:p w14:paraId="2FC3FE9E">
                  <w:pPr>
                    <w:jc w:val="center"/>
                    <w:rPr>
                      <w:szCs w:val="21"/>
                    </w:rPr>
                  </w:pPr>
                  <w:r>
                    <w:rPr>
                      <w:rFonts w:hint="eastAsia"/>
                      <w:szCs w:val="21"/>
                    </w:rPr>
                    <w:t>918</w:t>
                  </w:r>
                </w:p>
              </w:tc>
            </w:tr>
            <w:tr w14:paraId="167FE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0B10F53B">
                  <w:pPr>
                    <w:jc w:val="center"/>
                    <w:rPr>
                      <w:szCs w:val="21"/>
                    </w:rPr>
                  </w:pPr>
                  <w:r>
                    <w:rPr>
                      <w:szCs w:val="21"/>
                    </w:rPr>
                    <w:t>炉渣</w:t>
                  </w:r>
                </w:p>
              </w:tc>
              <w:tc>
                <w:tcPr>
                  <w:tcW w:w="378" w:type="pct"/>
                  <w:vMerge w:val="continue"/>
                  <w:shd w:val="clear" w:color="auto" w:fill="auto"/>
                  <w:vAlign w:val="center"/>
                </w:tcPr>
                <w:p w14:paraId="24CDA84E">
                  <w:pPr>
                    <w:jc w:val="center"/>
                    <w:rPr>
                      <w:szCs w:val="21"/>
                    </w:rPr>
                  </w:pPr>
                </w:p>
              </w:tc>
              <w:tc>
                <w:tcPr>
                  <w:tcW w:w="755" w:type="pct"/>
                  <w:shd w:val="clear" w:color="auto" w:fill="auto"/>
                  <w:vAlign w:val="center"/>
                </w:tcPr>
                <w:p w14:paraId="589E01D5">
                  <w:pPr>
                    <w:jc w:val="center"/>
                    <w:rPr>
                      <w:szCs w:val="21"/>
                    </w:rPr>
                  </w:pPr>
                  <w:r>
                    <w:rPr>
                      <w:szCs w:val="21"/>
                    </w:rPr>
                    <w:t>900-099-S03</w:t>
                  </w:r>
                </w:p>
              </w:tc>
              <w:tc>
                <w:tcPr>
                  <w:tcW w:w="378" w:type="pct"/>
                  <w:shd w:val="clear" w:color="auto" w:fill="auto"/>
                  <w:vAlign w:val="center"/>
                </w:tcPr>
                <w:p w14:paraId="700E4F17">
                  <w:pPr>
                    <w:jc w:val="center"/>
                    <w:rPr>
                      <w:szCs w:val="21"/>
                    </w:rPr>
                  </w:pPr>
                  <w:r>
                    <w:rPr>
                      <w:szCs w:val="21"/>
                    </w:rPr>
                    <w:t>固态</w:t>
                  </w:r>
                </w:p>
              </w:tc>
              <w:tc>
                <w:tcPr>
                  <w:tcW w:w="453" w:type="pct"/>
                  <w:shd w:val="clear" w:color="auto" w:fill="auto"/>
                  <w:vAlign w:val="center"/>
                </w:tcPr>
                <w:p w14:paraId="24E67B12">
                  <w:pPr>
                    <w:jc w:val="center"/>
                    <w:rPr>
                      <w:szCs w:val="21"/>
                    </w:rPr>
                  </w:pPr>
                  <w:r>
                    <w:rPr>
                      <w:rFonts w:hint="eastAsia"/>
                      <w:szCs w:val="21"/>
                    </w:rPr>
                    <w:t>/</w:t>
                  </w:r>
                </w:p>
              </w:tc>
              <w:tc>
                <w:tcPr>
                  <w:tcW w:w="528" w:type="pct"/>
                  <w:shd w:val="clear" w:color="auto" w:fill="auto"/>
                  <w:vAlign w:val="center"/>
                </w:tcPr>
                <w:p w14:paraId="43E1FFF0">
                  <w:pPr>
                    <w:jc w:val="center"/>
                    <w:rPr>
                      <w:szCs w:val="21"/>
                    </w:rPr>
                  </w:pPr>
                  <w:r>
                    <w:rPr>
                      <w:rFonts w:hint="eastAsia"/>
                      <w:szCs w:val="21"/>
                    </w:rPr>
                    <w:t>58.16</w:t>
                  </w:r>
                </w:p>
              </w:tc>
              <w:tc>
                <w:tcPr>
                  <w:tcW w:w="453" w:type="pct"/>
                  <w:vMerge w:val="continue"/>
                  <w:shd w:val="clear" w:color="auto" w:fill="auto"/>
                  <w:vAlign w:val="center"/>
                </w:tcPr>
                <w:p w14:paraId="0A15DF30">
                  <w:pPr>
                    <w:jc w:val="center"/>
                    <w:rPr>
                      <w:szCs w:val="21"/>
                    </w:rPr>
                  </w:pPr>
                </w:p>
              </w:tc>
              <w:tc>
                <w:tcPr>
                  <w:tcW w:w="831" w:type="pct"/>
                  <w:shd w:val="clear" w:color="auto" w:fill="auto"/>
                  <w:vAlign w:val="center"/>
                </w:tcPr>
                <w:p w14:paraId="430B32FD">
                  <w:pPr>
                    <w:jc w:val="center"/>
                    <w:rPr>
                      <w:szCs w:val="21"/>
                    </w:rPr>
                  </w:pPr>
                  <w:r>
                    <w:rPr>
                      <w:rFonts w:hint="eastAsia"/>
                      <w:szCs w:val="21"/>
                    </w:rPr>
                    <w:t>由周边农户拉走用作农肥</w:t>
                  </w:r>
                </w:p>
              </w:tc>
              <w:tc>
                <w:tcPr>
                  <w:tcW w:w="552" w:type="pct"/>
                  <w:shd w:val="clear" w:color="auto" w:fill="auto"/>
                  <w:vAlign w:val="center"/>
                </w:tcPr>
                <w:p w14:paraId="1B6D65A7">
                  <w:pPr>
                    <w:jc w:val="center"/>
                    <w:rPr>
                      <w:szCs w:val="21"/>
                    </w:rPr>
                  </w:pPr>
                  <w:r>
                    <w:rPr>
                      <w:rFonts w:hint="eastAsia"/>
                      <w:szCs w:val="21"/>
                    </w:rPr>
                    <w:t>58.16</w:t>
                  </w:r>
                </w:p>
              </w:tc>
            </w:tr>
            <w:tr w14:paraId="34EDC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60B9F56E">
                  <w:pPr>
                    <w:jc w:val="center"/>
                    <w:rPr>
                      <w:szCs w:val="21"/>
                    </w:rPr>
                  </w:pPr>
                  <w:r>
                    <w:rPr>
                      <w:szCs w:val="21"/>
                    </w:rPr>
                    <w:t>废布袋</w:t>
                  </w:r>
                </w:p>
              </w:tc>
              <w:tc>
                <w:tcPr>
                  <w:tcW w:w="378" w:type="pct"/>
                  <w:vMerge w:val="continue"/>
                  <w:shd w:val="clear" w:color="auto" w:fill="auto"/>
                  <w:vAlign w:val="center"/>
                </w:tcPr>
                <w:p w14:paraId="6BD97128">
                  <w:pPr>
                    <w:jc w:val="center"/>
                    <w:rPr>
                      <w:szCs w:val="21"/>
                    </w:rPr>
                  </w:pPr>
                </w:p>
              </w:tc>
              <w:tc>
                <w:tcPr>
                  <w:tcW w:w="755" w:type="pct"/>
                  <w:shd w:val="clear" w:color="auto" w:fill="auto"/>
                  <w:vAlign w:val="center"/>
                </w:tcPr>
                <w:p w14:paraId="1772FA76">
                  <w:pPr>
                    <w:jc w:val="center"/>
                    <w:rPr>
                      <w:szCs w:val="21"/>
                    </w:rPr>
                  </w:pPr>
                  <w:r>
                    <w:rPr>
                      <w:szCs w:val="21"/>
                    </w:rPr>
                    <w:t>900-009-S59</w:t>
                  </w:r>
                </w:p>
              </w:tc>
              <w:tc>
                <w:tcPr>
                  <w:tcW w:w="378" w:type="pct"/>
                  <w:shd w:val="clear" w:color="auto" w:fill="auto"/>
                  <w:vAlign w:val="center"/>
                </w:tcPr>
                <w:p w14:paraId="743DF036">
                  <w:pPr>
                    <w:jc w:val="center"/>
                    <w:rPr>
                      <w:szCs w:val="21"/>
                    </w:rPr>
                  </w:pPr>
                  <w:r>
                    <w:rPr>
                      <w:szCs w:val="21"/>
                    </w:rPr>
                    <w:t>固态</w:t>
                  </w:r>
                </w:p>
              </w:tc>
              <w:tc>
                <w:tcPr>
                  <w:tcW w:w="453" w:type="pct"/>
                  <w:shd w:val="clear" w:color="auto" w:fill="auto"/>
                  <w:vAlign w:val="center"/>
                </w:tcPr>
                <w:p w14:paraId="51F817A0">
                  <w:pPr>
                    <w:jc w:val="center"/>
                    <w:rPr>
                      <w:szCs w:val="21"/>
                    </w:rPr>
                  </w:pPr>
                  <w:r>
                    <w:rPr>
                      <w:rFonts w:hint="eastAsia"/>
                      <w:szCs w:val="21"/>
                    </w:rPr>
                    <w:t>/</w:t>
                  </w:r>
                </w:p>
              </w:tc>
              <w:tc>
                <w:tcPr>
                  <w:tcW w:w="528" w:type="pct"/>
                  <w:shd w:val="clear" w:color="auto" w:fill="auto"/>
                  <w:vAlign w:val="center"/>
                </w:tcPr>
                <w:p w14:paraId="722AA953">
                  <w:pPr>
                    <w:jc w:val="center"/>
                    <w:rPr>
                      <w:szCs w:val="21"/>
                    </w:rPr>
                  </w:pPr>
                  <w:r>
                    <w:rPr>
                      <w:rFonts w:hint="eastAsia"/>
                      <w:szCs w:val="21"/>
                    </w:rPr>
                    <w:t>0.2</w:t>
                  </w:r>
                </w:p>
              </w:tc>
              <w:tc>
                <w:tcPr>
                  <w:tcW w:w="453" w:type="pct"/>
                  <w:vMerge w:val="continue"/>
                  <w:shd w:val="clear" w:color="auto" w:fill="auto"/>
                  <w:vAlign w:val="center"/>
                </w:tcPr>
                <w:p w14:paraId="0F4ECFF1">
                  <w:pPr>
                    <w:jc w:val="center"/>
                    <w:rPr>
                      <w:szCs w:val="21"/>
                    </w:rPr>
                  </w:pPr>
                </w:p>
              </w:tc>
              <w:tc>
                <w:tcPr>
                  <w:tcW w:w="831" w:type="pct"/>
                  <w:shd w:val="clear" w:color="auto" w:fill="auto"/>
                  <w:vAlign w:val="center"/>
                </w:tcPr>
                <w:p w14:paraId="00C7143B">
                  <w:pPr>
                    <w:jc w:val="center"/>
                    <w:rPr>
                      <w:rFonts w:hAnsi="宋体"/>
                      <w:bCs/>
                      <w:szCs w:val="21"/>
                    </w:rPr>
                  </w:pPr>
                  <w:r>
                    <w:rPr>
                      <w:rFonts w:hint="eastAsia" w:hAnsi="宋体"/>
                      <w:bCs/>
                      <w:szCs w:val="21"/>
                    </w:rPr>
                    <w:t>交由厂家回收处理</w:t>
                  </w:r>
                </w:p>
              </w:tc>
              <w:tc>
                <w:tcPr>
                  <w:tcW w:w="552" w:type="pct"/>
                  <w:shd w:val="clear" w:color="auto" w:fill="auto"/>
                  <w:vAlign w:val="center"/>
                </w:tcPr>
                <w:p w14:paraId="2CAD0C18">
                  <w:pPr>
                    <w:jc w:val="center"/>
                    <w:rPr>
                      <w:szCs w:val="21"/>
                    </w:rPr>
                  </w:pPr>
                  <w:r>
                    <w:rPr>
                      <w:rFonts w:hint="eastAsia"/>
                      <w:szCs w:val="21"/>
                    </w:rPr>
                    <w:t>0.2</w:t>
                  </w:r>
                </w:p>
              </w:tc>
            </w:tr>
            <w:tr w14:paraId="277AC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6B1F1FBA">
                  <w:pPr>
                    <w:jc w:val="center"/>
                    <w:rPr>
                      <w:kern w:val="0"/>
                      <w:szCs w:val="21"/>
                    </w:rPr>
                  </w:pPr>
                  <w:r>
                    <w:rPr>
                      <w:rFonts w:hint="eastAsia"/>
                      <w:kern w:val="0"/>
                      <w:szCs w:val="21"/>
                    </w:rPr>
                    <w:t>废试剂瓶等实验用品</w:t>
                  </w:r>
                </w:p>
              </w:tc>
              <w:tc>
                <w:tcPr>
                  <w:tcW w:w="378" w:type="pct"/>
                  <w:vMerge w:val="restart"/>
                  <w:shd w:val="clear" w:color="auto" w:fill="auto"/>
                  <w:vAlign w:val="center"/>
                </w:tcPr>
                <w:p w14:paraId="121F0FA1">
                  <w:pPr>
                    <w:jc w:val="center"/>
                    <w:rPr>
                      <w:szCs w:val="21"/>
                    </w:rPr>
                  </w:pPr>
                  <w:r>
                    <w:rPr>
                      <w:szCs w:val="21"/>
                    </w:rPr>
                    <w:t>危险废物</w:t>
                  </w:r>
                </w:p>
              </w:tc>
              <w:tc>
                <w:tcPr>
                  <w:tcW w:w="755" w:type="pct"/>
                  <w:shd w:val="clear" w:color="auto" w:fill="auto"/>
                  <w:vAlign w:val="center"/>
                </w:tcPr>
                <w:p w14:paraId="5B3AC196">
                  <w:pPr>
                    <w:jc w:val="center"/>
                    <w:rPr>
                      <w:szCs w:val="21"/>
                    </w:rPr>
                  </w:pPr>
                  <w:r>
                    <w:rPr>
                      <w:rFonts w:hint="eastAsia"/>
                      <w:szCs w:val="21"/>
                    </w:rPr>
                    <w:t>HW49</w:t>
                  </w:r>
                </w:p>
                <w:p w14:paraId="41065AD0">
                  <w:pPr>
                    <w:jc w:val="center"/>
                    <w:rPr>
                      <w:szCs w:val="21"/>
                    </w:rPr>
                  </w:pPr>
                  <w:r>
                    <w:rPr>
                      <w:szCs w:val="21"/>
                    </w:rPr>
                    <w:t>900-041-49</w:t>
                  </w:r>
                </w:p>
              </w:tc>
              <w:tc>
                <w:tcPr>
                  <w:tcW w:w="378" w:type="pct"/>
                  <w:shd w:val="clear" w:color="auto" w:fill="auto"/>
                  <w:vAlign w:val="center"/>
                </w:tcPr>
                <w:p w14:paraId="41BA3CB8">
                  <w:pPr>
                    <w:jc w:val="center"/>
                    <w:rPr>
                      <w:szCs w:val="21"/>
                    </w:rPr>
                  </w:pPr>
                  <w:r>
                    <w:rPr>
                      <w:szCs w:val="21"/>
                    </w:rPr>
                    <w:t>固态</w:t>
                  </w:r>
                </w:p>
              </w:tc>
              <w:tc>
                <w:tcPr>
                  <w:tcW w:w="453" w:type="pct"/>
                  <w:shd w:val="clear" w:color="auto" w:fill="auto"/>
                  <w:vAlign w:val="center"/>
                </w:tcPr>
                <w:p w14:paraId="3B98E874">
                  <w:pPr>
                    <w:jc w:val="center"/>
                    <w:rPr>
                      <w:szCs w:val="21"/>
                    </w:rPr>
                  </w:pPr>
                  <w:r>
                    <w:rPr>
                      <w:rFonts w:hint="eastAsia"/>
                      <w:szCs w:val="21"/>
                    </w:rPr>
                    <w:t>T/In</w:t>
                  </w:r>
                </w:p>
              </w:tc>
              <w:tc>
                <w:tcPr>
                  <w:tcW w:w="528" w:type="pct"/>
                  <w:shd w:val="clear" w:color="auto" w:fill="auto"/>
                  <w:vAlign w:val="center"/>
                </w:tcPr>
                <w:p w14:paraId="78598F0C">
                  <w:pPr>
                    <w:jc w:val="center"/>
                    <w:rPr>
                      <w:szCs w:val="21"/>
                    </w:rPr>
                  </w:pPr>
                  <w:r>
                    <w:rPr>
                      <w:rFonts w:hint="eastAsia"/>
                      <w:szCs w:val="21"/>
                    </w:rPr>
                    <w:t>0.002</w:t>
                  </w:r>
                </w:p>
              </w:tc>
              <w:tc>
                <w:tcPr>
                  <w:tcW w:w="453" w:type="pct"/>
                  <w:vMerge w:val="restart"/>
                  <w:shd w:val="clear" w:color="auto" w:fill="auto"/>
                  <w:vAlign w:val="center"/>
                </w:tcPr>
                <w:p w14:paraId="101AFC2B">
                  <w:pPr>
                    <w:jc w:val="center"/>
                    <w:rPr>
                      <w:szCs w:val="21"/>
                    </w:rPr>
                  </w:pPr>
                  <w:r>
                    <w:rPr>
                      <w:szCs w:val="21"/>
                    </w:rPr>
                    <w:t>危废暂存间</w:t>
                  </w:r>
                </w:p>
              </w:tc>
              <w:tc>
                <w:tcPr>
                  <w:tcW w:w="831" w:type="pct"/>
                  <w:vMerge w:val="restart"/>
                  <w:shd w:val="clear" w:color="auto" w:fill="auto"/>
                  <w:vAlign w:val="center"/>
                </w:tcPr>
                <w:p w14:paraId="43BC0628">
                  <w:pPr>
                    <w:jc w:val="center"/>
                    <w:rPr>
                      <w:szCs w:val="21"/>
                    </w:rPr>
                  </w:pPr>
                  <w:r>
                    <w:rPr>
                      <w:rFonts w:hint="eastAsia"/>
                      <w:szCs w:val="21"/>
                    </w:rPr>
                    <w:t>委托资质单位处置</w:t>
                  </w:r>
                </w:p>
              </w:tc>
              <w:tc>
                <w:tcPr>
                  <w:tcW w:w="552" w:type="pct"/>
                  <w:shd w:val="clear" w:color="auto" w:fill="auto"/>
                  <w:vAlign w:val="center"/>
                </w:tcPr>
                <w:p w14:paraId="7927042F">
                  <w:pPr>
                    <w:jc w:val="center"/>
                    <w:rPr>
                      <w:szCs w:val="21"/>
                    </w:rPr>
                  </w:pPr>
                  <w:r>
                    <w:rPr>
                      <w:rFonts w:hint="eastAsia"/>
                      <w:szCs w:val="21"/>
                    </w:rPr>
                    <w:t>0.002</w:t>
                  </w:r>
                </w:p>
              </w:tc>
            </w:tr>
            <w:tr w14:paraId="67296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6BDF5992">
                  <w:pPr>
                    <w:jc w:val="center"/>
                    <w:rPr>
                      <w:kern w:val="0"/>
                      <w:szCs w:val="21"/>
                    </w:rPr>
                  </w:pPr>
                  <w:r>
                    <w:rPr>
                      <w:rFonts w:hint="eastAsia"/>
                      <w:kern w:val="0"/>
                      <w:szCs w:val="21"/>
                    </w:rPr>
                    <w:t>实验废液</w:t>
                  </w:r>
                </w:p>
              </w:tc>
              <w:tc>
                <w:tcPr>
                  <w:tcW w:w="378" w:type="pct"/>
                  <w:vMerge w:val="continue"/>
                  <w:shd w:val="clear" w:color="auto" w:fill="auto"/>
                  <w:vAlign w:val="center"/>
                </w:tcPr>
                <w:p w14:paraId="64DB6BFB">
                  <w:pPr>
                    <w:jc w:val="center"/>
                    <w:rPr>
                      <w:szCs w:val="21"/>
                    </w:rPr>
                  </w:pPr>
                </w:p>
              </w:tc>
              <w:tc>
                <w:tcPr>
                  <w:tcW w:w="755" w:type="pct"/>
                  <w:shd w:val="clear" w:color="auto" w:fill="auto"/>
                  <w:vAlign w:val="center"/>
                </w:tcPr>
                <w:p w14:paraId="4E884A6E">
                  <w:pPr>
                    <w:jc w:val="center"/>
                    <w:rPr>
                      <w:szCs w:val="21"/>
                    </w:rPr>
                  </w:pPr>
                  <w:r>
                    <w:rPr>
                      <w:rFonts w:hint="eastAsia"/>
                      <w:szCs w:val="21"/>
                    </w:rPr>
                    <w:t>HW49</w:t>
                  </w:r>
                </w:p>
                <w:p w14:paraId="0ECE3354">
                  <w:pPr>
                    <w:jc w:val="center"/>
                    <w:rPr>
                      <w:bCs/>
                      <w:szCs w:val="21"/>
                    </w:rPr>
                  </w:pPr>
                  <w:r>
                    <w:rPr>
                      <w:szCs w:val="21"/>
                    </w:rPr>
                    <w:t>900-04</w:t>
                  </w:r>
                  <w:r>
                    <w:rPr>
                      <w:rFonts w:hint="eastAsia"/>
                      <w:szCs w:val="21"/>
                    </w:rPr>
                    <w:t>7</w:t>
                  </w:r>
                  <w:r>
                    <w:rPr>
                      <w:szCs w:val="21"/>
                    </w:rPr>
                    <w:t>-49</w:t>
                  </w:r>
                </w:p>
              </w:tc>
              <w:tc>
                <w:tcPr>
                  <w:tcW w:w="378" w:type="pct"/>
                  <w:shd w:val="clear" w:color="auto" w:fill="auto"/>
                  <w:vAlign w:val="center"/>
                </w:tcPr>
                <w:p w14:paraId="0A6A7828">
                  <w:pPr>
                    <w:jc w:val="center"/>
                    <w:rPr>
                      <w:szCs w:val="21"/>
                    </w:rPr>
                  </w:pPr>
                  <w:r>
                    <w:rPr>
                      <w:rFonts w:hint="eastAsia"/>
                      <w:szCs w:val="21"/>
                    </w:rPr>
                    <w:t>液态</w:t>
                  </w:r>
                </w:p>
              </w:tc>
              <w:tc>
                <w:tcPr>
                  <w:tcW w:w="453" w:type="pct"/>
                  <w:shd w:val="clear" w:color="auto" w:fill="auto"/>
                  <w:vAlign w:val="center"/>
                </w:tcPr>
                <w:p w14:paraId="244AC7CB">
                  <w:pPr>
                    <w:jc w:val="center"/>
                    <w:rPr>
                      <w:szCs w:val="21"/>
                    </w:rPr>
                  </w:pPr>
                  <w:r>
                    <w:rPr>
                      <w:rFonts w:hint="eastAsia"/>
                      <w:szCs w:val="21"/>
                    </w:rPr>
                    <w:t>T</w:t>
                  </w:r>
                </w:p>
              </w:tc>
              <w:tc>
                <w:tcPr>
                  <w:tcW w:w="528" w:type="pct"/>
                  <w:shd w:val="clear" w:color="auto" w:fill="auto"/>
                  <w:vAlign w:val="center"/>
                </w:tcPr>
                <w:p w14:paraId="0E113C3A">
                  <w:pPr>
                    <w:jc w:val="center"/>
                    <w:rPr>
                      <w:szCs w:val="21"/>
                    </w:rPr>
                  </w:pPr>
                  <w:r>
                    <w:rPr>
                      <w:rFonts w:hint="eastAsia"/>
                      <w:szCs w:val="21"/>
                    </w:rPr>
                    <w:t>0.2</w:t>
                  </w:r>
                </w:p>
              </w:tc>
              <w:tc>
                <w:tcPr>
                  <w:tcW w:w="453" w:type="pct"/>
                  <w:vMerge w:val="continue"/>
                  <w:shd w:val="clear" w:color="auto" w:fill="auto"/>
                  <w:vAlign w:val="center"/>
                </w:tcPr>
                <w:p w14:paraId="7F5D50E0">
                  <w:pPr>
                    <w:jc w:val="center"/>
                    <w:rPr>
                      <w:szCs w:val="21"/>
                    </w:rPr>
                  </w:pPr>
                </w:p>
              </w:tc>
              <w:tc>
                <w:tcPr>
                  <w:tcW w:w="831" w:type="pct"/>
                  <w:vMerge w:val="continue"/>
                  <w:shd w:val="clear" w:color="auto" w:fill="auto"/>
                  <w:vAlign w:val="center"/>
                </w:tcPr>
                <w:p w14:paraId="35E98DC4">
                  <w:pPr>
                    <w:jc w:val="center"/>
                    <w:rPr>
                      <w:szCs w:val="21"/>
                    </w:rPr>
                  </w:pPr>
                </w:p>
              </w:tc>
              <w:tc>
                <w:tcPr>
                  <w:tcW w:w="552" w:type="pct"/>
                  <w:shd w:val="clear" w:color="auto" w:fill="auto"/>
                  <w:vAlign w:val="center"/>
                </w:tcPr>
                <w:p w14:paraId="6E652947">
                  <w:pPr>
                    <w:jc w:val="center"/>
                    <w:rPr>
                      <w:szCs w:val="21"/>
                    </w:rPr>
                  </w:pPr>
                  <w:r>
                    <w:rPr>
                      <w:rFonts w:hint="eastAsia"/>
                      <w:szCs w:val="21"/>
                    </w:rPr>
                    <w:t>0.2</w:t>
                  </w:r>
                </w:p>
              </w:tc>
            </w:tr>
            <w:tr w14:paraId="576519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0D8403D0">
                  <w:pPr>
                    <w:jc w:val="center"/>
                    <w:rPr>
                      <w:kern w:val="0"/>
                      <w:szCs w:val="21"/>
                    </w:rPr>
                  </w:pPr>
                  <w:r>
                    <w:rPr>
                      <w:rFonts w:hint="eastAsia"/>
                      <w:kern w:val="0"/>
                      <w:szCs w:val="21"/>
                    </w:rPr>
                    <w:t>熏蒸药剂使用后的残渣</w:t>
                  </w:r>
                </w:p>
              </w:tc>
              <w:tc>
                <w:tcPr>
                  <w:tcW w:w="378" w:type="pct"/>
                  <w:vMerge w:val="continue"/>
                  <w:shd w:val="clear" w:color="auto" w:fill="auto"/>
                  <w:vAlign w:val="center"/>
                </w:tcPr>
                <w:p w14:paraId="44A027C3">
                  <w:pPr>
                    <w:jc w:val="center"/>
                    <w:rPr>
                      <w:szCs w:val="21"/>
                    </w:rPr>
                  </w:pPr>
                </w:p>
              </w:tc>
              <w:tc>
                <w:tcPr>
                  <w:tcW w:w="755" w:type="pct"/>
                  <w:shd w:val="clear" w:color="auto" w:fill="auto"/>
                  <w:vAlign w:val="center"/>
                </w:tcPr>
                <w:p w14:paraId="6FD511EF">
                  <w:pPr>
                    <w:jc w:val="center"/>
                    <w:rPr>
                      <w:szCs w:val="21"/>
                    </w:rPr>
                  </w:pPr>
                  <w:r>
                    <w:rPr>
                      <w:rFonts w:hint="eastAsia"/>
                      <w:szCs w:val="21"/>
                    </w:rPr>
                    <w:t>HW04</w:t>
                  </w:r>
                </w:p>
                <w:p w14:paraId="43272082">
                  <w:pPr>
                    <w:jc w:val="center"/>
                    <w:rPr>
                      <w:szCs w:val="21"/>
                    </w:rPr>
                  </w:pPr>
                  <w:r>
                    <w:rPr>
                      <w:szCs w:val="21"/>
                    </w:rPr>
                    <w:t>900-003-04</w:t>
                  </w:r>
                </w:p>
              </w:tc>
              <w:tc>
                <w:tcPr>
                  <w:tcW w:w="378" w:type="pct"/>
                  <w:shd w:val="clear" w:color="auto" w:fill="auto"/>
                  <w:vAlign w:val="center"/>
                </w:tcPr>
                <w:p w14:paraId="04FE9CA9">
                  <w:pPr>
                    <w:jc w:val="center"/>
                    <w:rPr>
                      <w:szCs w:val="21"/>
                    </w:rPr>
                  </w:pPr>
                  <w:r>
                    <w:rPr>
                      <w:rFonts w:hint="eastAsia"/>
                      <w:szCs w:val="21"/>
                    </w:rPr>
                    <w:t>固态</w:t>
                  </w:r>
                </w:p>
              </w:tc>
              <w:tc>
                <w:tcPr>
                  <w:tcW w:w="453" w:type="pct"/>
                  <w:shd w:val="clear" w:color="auto" w:fill="auto"/>
                  <w:vAlign w:val="center"/>
                </w:tcPr>
                <w:p w14:paraId="6F0105B9">
                  <w:pPr>
                    <w:jc w:val="center"/>
                    <w:rPr>
                      <w:szCs w:val="21"/>
                    </w:rPr>
                  </w:pPr>
                  <w:r>
                    <w:rPr>
                      <w:rFonts w:hint="eastAsia"/>
                      <w:szCs w:val="21"/>
                    </w:rPr>
                    <w:t>T/I</w:t>
                  </w:r>
                </w:p>
              </w:tc>
              <w:tc>
                <w:tcPr>
                  <w:tcW w:w="528" w:type="pct"/>
                  <w:shd w:val="clear" w:color="auto" w:fill="auto"/>
                  <w:vAlign w:val="center"/>
                </w:tcPr>
                <w:p w14:paraId="51660AB8">
                  <w:pPr>
                    <w:jc w:val="center"/>
                    <w:rPr>
                      <w:szCs w:val="21"/>
                    </w:rPr>
                  </w:pPr>
                  <w:r>
                    <w:rPr>
                      <w:rFonts w:hint="eastAsia"/>
                      <w:szCs w:val="21"/>
                    </w:rPr>
                    <w:t>0.05</w:t>
                  </w:r>
                </w:p>
              </w:tc>
              <w:tc>
                <w:tcPr>
                  <w:tcW w:w="453" w:type="pct"/>
                  <w:vMerge w:val="continue"/>
                  <w:shd w:val="clear" w:color="auto" w:fill="auto"/>
                  <w:vAlign w:val="center"/>
                </w:tcPr>
                <w:p w14:paraId="5EBAB9FA">
                  <w:pPr>
                    <w:jc w:val="center"/>
                    <w:rPr>
                      <w:szCs w:val="21"/>
                    </w:rPr>
                  </w:pPr>
                </w:p>
              </w:tc>
              <w:tc>
                <w:tcPr>
                  <w:tcW w:w="831" w:type="pct"/>
                  <w:vMerge w:val="continue"/>
                  <w:shd w:val="clear" w:color="auto" w:fill="auto"/>
                  <w:vAlign w:val="center"/>
                </w:tcPr>
                <w:p w14:paraId="71DA0DD5">
                  <w:pPr>
                    <w:jc w:val="center"/>
                    <w:rPr>
                      <w:szCs w:val="21"/>
                    </w:rPr>
                  </w:pPr>
                </w:p>
              </w:tc>
              <w:tc>
                <w:tcPr>
                  <w:tcW w:w="552" w:type="pct"/>
                  <w:shd w:val="clear" w:color="auto" w:fill="auto"/>
                  <w:vAlign w:val="center"/>
                </w:tcPr>
                <w:p w14:paraId="0CC54DE3">
                  <w:pPr>
                    <w:jc w:val="center"/>
                    <w:rPr>
                      <w:szCs w:val="21"/>
                    </w:rPr>
                  </w:pPr>
                  <w:r>
                    <w:rPr>
                      <w:rFonts w:hint="eastAsia"/>
                      <w:szCs w:val="21"/>
                    </w:rPr>
                    <w:t>0.05</w:t>
                  </w:r>
                </w:p>
              </w:tc>
            </w:tr>
            <w:tr w14:paraId="6DBE3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2D86BF55">
                  <w:pPr>
                    <w:jc w:val="center"/>
                    <w:rPr>
                      <w:kern w:val="0"/>
                      <w:szCs w:val="21"/>
                    </w:rPr>
                  </w:pPr>
                  <w:r>
                    <w:rPr>
                      <w:rFonts w:hint="eastAsia"/>
                      <w:kern w:val="0"/>
                      <w:szCs w:val="21"/>
                    </w:rPr>
                    <w:t>废矿物油</w:t>
                  </w:r>
                </w:p>
              </w:tc>
              <w:tc>
                <w:tcPr>
                  <w:tcW w:w="378" w:type="pct"/>
                  <w:vMerge w:val="continue"/>
                  <w:shd w:val="clear" w:color="auto" w:fill="auto"/>
                  <w:vAlign w:val="center"/>
                </w:tcPr>
                <w:p w14:paraId="3F69F422">
                  <w:pPr>
                    <w:jc w:val="center"/>
                    <w:rPr>
                      <w:szCs w:val="21"/>
                    </w:rPr>
                  </w:pPr>
                </w:p>
              </w:tc>
              <w:tc>
                <w:tcPr>
                  <w:tcW w:w="755" w:type="pct"/>
                  <w:shd w:val="clear" w:color="auto" w:fill="auto"/>
                  <w:vAlign w:val="center"/>
                </w:tcPr>
                <w:p w14:paraId="7F030F66">
                  <w:pPr>
                    <w:jc w:val="center"/>
                    <w:rPr>
                      <w:szCs w:val="21"/>
                    </w:rPr>
                  </w:pPr>
                  <w:r>
                    <w:rPr>
                      <w:rFonts w:hint="eastAsia"/>
                      <w:szCs w:val="21"/>
                    </w:rPr>
                    <w:t>HW08</w:t>
                  </w:r>
                </w:p>
                <w:p w14:paraId="4DEB9E3E">
                  <w:pPr>
                    <w:pStyle w:val="2"/>
                    <w:jc w:val="center"/>
                    <w:rPr>
                      <w:rFonts w:ascii="Times New Roman" w:cs="Times New Roman"/>
                      <w:color w:val="auto"/>
                      <w:sz w:val="21"/>
                      <w:szCs w:val="21"/>
                    </w:rPr>
                  </w:pPr>
                  <w:r>
                    <w:rPr>
                      <w:rFonts w:ascii="Times New Roman" w:cs="Times New Roman"/>
                      <w:color w:val="auto"/>
                      <w:sz w:val="21"/>
                      <w:szCs w:val="21"/>
                    </w:rPr>
                    <w:t>900-214-08</w:t>
                  </w:r>
                </w:p>
              </w:tc>
              <w:tc>
                <w:tcPr>
                  <w:tcW w:w="378" w:type="pct"/>
                  <w:shd w:val="clear" w:color="auto" w:fill="auto"/>
                  <w:vAlign w:val="center"/>
                </w:tcPr>
                <w:p w14:paraId="79015A71">
                  <w:pPr>
                    <w:jc w:val="center"/>
                    <w:rPr>
                      <w:szCs w:val="21"/>
                    </w:rPr>
                  </w:pPr>
                  <w:r>
                    <w:rPr>
                      <w:rFonts w:hint="eastAsia"/>
                      <w:szCs w:val="21"/>
                    </w:rPr>
                    <w:t>液态</w:t>
                  </w:r>
                </w:p>
              </w:tc>
              <w:tc>
                <w:tcPr>
                  <w:tcW w:w="453" w:type="pct"/>
                  <w:shd w:val="clear" w:color="auto" w:fill="auto"/>
                  <w:vAlign w:val="center"/>
                </w:tcPr>
                <w:p w14:paraId="3CDE36D0">
                  <w:pPr>
                    <w:jc w:val="center"/>
                    <w:rPr>
                      <w:szCs w:val="21"/>
                    </w:rPr>
                  </w:pPr>
                  <w:r>
                    <w:rPr>
                      <w:rFonts w:hint="eastAsia"/>
                      <w:szCs w:val="21"/>
                    </w:rPr>
                    <w:t>T/I</w:t>
                  </w:r>
                </w:p>
              </w:tc>
              <w:tc>
                <w:tcPr>
                  <w:tcW w:w="528" w:type="pct"/>
                  <w:shd w:val="clear" w:color="auto" w:fill="auto"/>
                  <w:vAlign w:val="center"/>
                </w:tcPr>
                <w:p w14:paraId="3F9AEE7B">
                  <w:pPr>
                    <w:jc w:val="center"/>
                    <w:rPr>
                      <w:szCs w:val="21"/>
                    </w:rPr>
                  </w:pPr>
                  <w:r>
                    <w:rPr>
                      <w:rFonts w:hint="eastAsia"/>
                      <w:szCs w:val="21"/>
                    </w:rPr>
                    <w:t>0.05</w:t>
                  </w:r>
                </w:p>
              </w:tc>
              <w:tc>
                <w:tcPr>
                  <w:tcW w:w="453" w:type="pct"/>
                  <w:vMerge w:val="continue"/>
                  <w:shd w:val="clear" w:color="auto" w:fill="auto"/>
                  <w:vAlign w:val="center"/>
                </w:tcPr>
                <w:p w14:paraId="097A23D7">
                  <w:pPr>
                    <w:jc w:val="center"/>
                    <w:rPr>
                      <w:szCs w:val="21"/>
                    </w:rPr>
                  </w:pPr>
                </w:p>
              </w:tc>
              <w:tc>
                <w:tcPr>
                  <w:tcW w:w="831" w:type="pct"/>
                  <w:vMerge w:val="continue"/>
                  <w:shd w:val="clear" w:color="auto" w:fill="auto"/>
                  <w:vAlign w:val="center"/>
                </w:tcPr>
                <w:p w14:paraId="5C16F44F">
                  <w:pPr>
                    <w:jc w:val="center"/>
                    <w:rPr>
                      <w:szCs w:val="21"/>
                    </w:rPr>
                  </w:pPr>
                </w:p>
              </w:tc>
              <w:tc>
                <w:tcPr>
                  <w:tcW w:w="552" w:type="pct"/>
                  <w:shd w:val="clear" w:color="auto" w:fill="auto"/>
                  <w:vAlign w:val="center"/>
                </w:tcPr>
                <w:p w14:paraId="3C6F7950">
                  <w:pPr>
                    <w:jc w:val="center"/>
                    <w:rPr>
                      <w:szCs w:val="21"/>
                    </w:rPr>
                  </w:pPr>
                  <w:r>
                    <w:rPr>
                      <w:rFonts w:hint="eastAsia"/>
                      <w:szCs w:val="21"/>
                    </w:rPr>
                    <w:t>0.05</w:t>
                  </w:r>
                </w:p>
              </w:tc>
            </w:tr>
            <w:tr w14:paraId="63838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3F603D22">
                  <w:pPr>
                    <w:jc w:val="center"/>
                    <w:rPr>
                      <w:kern w:val="0"/>
                      <w:szCs w:val="21"/>
                    </w:rPr>
                  </w:pPr>
                  <w:r>
                    <w:rPr>
                      <w:rFonts w:hint="eastAsia"/>
                      <w:kern w:val="0"/>
                      <w:szCs w:val="21"/>
                    </w:rPr>
                    <w:t>废油桶</w:t>
                  </w:r>
                </w:p>
              </w:tc>
              <w:tc>
                <w:tcPr>
                  <w:tcW w:w="378" w:type="pct"/>
                  <w:vMerge w:val="continue"/>
                  <w:shd w:val="clear" w:color="auto" w:fill="auto"/>
                  <w:vAlign w:val="center"/>
                </w:tcPr>
                <w:p w14:paraId="5D9522FE">
                  <w:pPr>
                    <w:jc w:val="center"/>
                    <w:rPr>
                      <w:szCs w:val="21"/>
                    </w:rPr>
                  </w:pPr>
                </w:p>
              </w:tc>
              <w:tc>
                <w:tcPr>
                  <w:tcW w:w="755" w:type="pct"/>
                  <w:shd w:val="clear" w:color="auto" w:fill="auto"/>
                  <w:vAlign w:val="center"/>
                </w:tcPr>
                <w:p w14:paraId="0FFE8389">
                  <w:pPr>
                    <w:jc w:val="center"/>
                    <w:rPr>
                      <w:szCs w:val="21"/>
                    </w:rPr>
                  </w:pPr>
                  <w:r>
                    <w:rPr>
                      <w:rFonts w:hint="eastAsia"/>
                      <w:szCs w:val="21"/>
                    </w:rPr>
                    <w:t>HW08</w:t>
                  </w:r>
                </w:p>
                <w:p w14:paraId="12F2ED6B">
                  <w:pPr>
                    <w:jc w:val="center"/>
                    <w:rPr>
                      <w:szCs w:val="21"/>
                    </w:rPr>
                  </w:pPr>
                  <w:r>
                    <w:rPr>
                      <w:szCs w:val="21"/>
                    </w:rPr>
                    <w:t>900-24</w:t>
                  </w:r>
                  <w:r>
                    <w:rPr>
                      <w:rFonts w:hint="eastAsia"/>
                      <w:szCs w:val="21"/>
                    </w:rPr>
                    <w:t>9</w:t>
                  </w:r>
                  <w:r>
                    <w:rPr>
                      <w:szCs w:val="21"/>
                    </w:rPr>
                    <w:t>-08</w:t>
                  </w:r>
                </w:p>
              </w:tc>
              <w:tc>
                <w:tcPr>
                  <w:tcW w:w="378" w:type="pct"/>
                  <w:shd w:val="clear" w:color="auto" w:fill="auto"/>
                  <w:vAlign w:val="center"/>
                </w:tcPr>
                <w:p w14:paraId="20794C7D">
                  <w:pPr>
                    <w:jc w:val="center"/>
                    <w:rPr>
                      <w:szCs w:val="21"/>
                    </w:rPr>
                  </w:pPr>
                  <w:r>
                    <w:rPr>
                      <w:rFonts w:hint="eastAsia"/>
                      <w:szCs w:val="21"/>
                    </w:rPr>
                    <w:t>固态</w:t>
                  </w:r>
                </w:p>
              </w:tc>
              <w:tc>
                <w:tcPr>
                  <w:tcW w:w="453" w:type="pct"/>
                  <w:shd w:val="clear" w:color="auto" w:fill="auto"/>
                  <w:vAlign w:val="center"/>
                </w:tcPr>
                <w:p w14:paraId="7FCBE393">
                  <w:pPr>
                    <w:jc w:val="center"/>
                    <w:rPr>
                      <w:szCs w:val="21"/>
                    </w:rPr>
                  </w:pPr>
                  <w:r>
                    <w:rPr>
                      <w:rFonts w:hint="eastAsia"/>
                      <w:szCs w:val="21"/>
                    </w:rPr>
                    <w:t>T/I</w:t>
                  </w:r>
                </w:p>
              </w:tc>
              <w:tc>
                <w:tcPr>
                  <w:tcW w:w="528" w:type="pct"/>
                  <w:shd w:val="clear" w:color="auto" w:fill="auto"/>
                  <w:vAlign w:val="center"/>
                </w:tcPr>
                <w:p w14:paraId="124F0A45">
                  <w:pPr>
                    <w:jc w:val="center"/>
                    <w:rPr>
                      <w:szCs w:val="21"/>
                    </w:rPr>
                  </w:pPr>
                  <w:r>
                    <w:rPr>
                      <w:rFonts w:hint="eastAsia"/>
                      <w:szCs w:val="21"/>
                    </w:rPr>
                    <w:t>0.03</w:t>
                  </w:r>
                </w:p>
              </w:tc>
              <w:tc>
                <w:tcPr>
                  <w:tcW w:w="453" w:type="pct"/>
                  <w:vMerge w:val="continue"/>
                  <w:shd w:val="clear" w:color="auto" w:fill="auto"/>
                  <w:vAlign w:val="center"/>
                </w:tcPr>
                <w:p w14:paraId="046AB23E">
                  <w:pPr>
                    <w:jc w:val="center"/>
                    <w:rPr>
                      <w:szCs w:val="21"/>
                    </w:rPr>
                  </w:pPr>
                </w:p>
              </w:tc>
              <w:tc>
                <w:tcPr>
                  <w:tcW w:w="831" w:type="pct"/>
                  <w:vMerge w:val="continue"/>
                  <w:shd w:val="clear" w:color="auto" w:fill="auto"/>
                  <w:vAlign w:val="center"/>
                </w:tcPr>
                <w:p w14:paraId="076A6299">
                  <w:pPr>
                    <w:jc w:val="center"/>
                    <w:rPr>
                      <w:szCs w:val="21"/>
                    </w:rPr>
                  </w:pPr>
                </w:p>
              </w:tc>
              <w:tc>
                <w:tcPr>
                  <w:tcW w:w="552" w:type="pct"/>
                  <w:shd w:val="clear" w:color="auto" w:fill="auto"/>
                  <w:vAlign w:val="center"/>
                </w:tcPr>
                <w:p w14:paraId="398CDB6B">
                  <w:pPr>
                    <w:jc w:val="center"/>
                    <w:rPr>
                      <w:szCs w:val="21"/>
                    </w:rPr>
                  </w:pPr>
                  <w:r>
                    <w:rPr>
                      <w:rFonts w:hint="eastAsia"/>
                      <w:szCs w:val="21"/>
                    </w:rPr>
                    <w:t>0.03</w:t>
                  </w:r>
                </w:p>
              </w:tc>
            </w:tr>
            <w:tr w14:paraId="6469C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653B9A69">
                  <w:pPr>
                    <w:jc w:val="center"/>
                    <w:rPr>
                      <w:kern w:val="0"/>
                      <w:szCs w:val="21"/>
                    </w:rPr>
                  </w:pPr>
                  <w:r>
                    <w:rPr>
                      <w:rFonts w:hint="eastAsia"/>
                      <w:kern w:val="0"/>
                      <w:szCs w:val="21"/>
                    </w:rPr>
                    <w:t>废含油手套及抹布</w:t>
                  </w:r>
                </w:p>
              </w:tc>
              <w:tc>
                <w:tcPr>
                  <w:tcW w:w="378" w:type="pct"/>
                  <w:vMerge w:val="continue"/>
                  <w:shd w:val="clear" w:color="auto" w:fill="auto"/>
                  <w:vAlign w:val="center"/>
                </w:tcPr>
                <w:p w14:paraId="05C34754">
                  <w:pPr>
                    <w:jc w:val="center"/>
                    <w:rPr>
                      <w:szCs w:val="21"/>
                    </w:rPr>
                  </w:pPr>
                </w:p>
              </w:tc>
              <w:tc>
                <w:tcPr>
                  <w:tcW w:w="755" w:type="pct"/>
                  <w:shd w:val="clear" w:color="auto" w:fill="auto"/>
                  <w:vAlign w:val="center"/>
                </w:tcPr>
                <w:p w14:paraId="2BDCECE0">
                  <w:pPr>
                    <w:jc w:val="center"/>
                    <w:rPr>
                      <w:szCs w:val="21"/>
                    </w:rPr>
                  </w:pPr>
                  <w:r>
                    <w:rPr>
                      <w:rFonts w:hint="eastAsia"/>
                      <w:szCs w:val="21"/>
                    </w:rPr>
                    <w:t>HW49</w:t>
                  </w:r>
                </w:p>
                <w:p w14:paraId="6FF384A2">
                  <w:pPr>
                    <w:jc w:val="center"/>
                    <w:rPr>
                      <w:szCs w:val="21"/>
                    </w:rPr>
                  </w:pPr>
                  <w:r>
                    <w:rPr>
                      <w:szCs w:val="21"/>
                    </w:rPr>
                    <w:t>900-041-49</w:t>
                  </w:r>
                </w:p>
              </w:tc>
              <w:tc>
                <w:tcPr>
                  <w:tcW w:w="378" w:type="pct"/>
                  <w:shd w:val="clear" w:color="auto" w:fill="auto"/>
                  <w:vAlign w:val="center"/>
                </w:tcPr>
                <w:p w14:paraId="0F080D4F">
                  <w:pPr>
                    <w:jc w:val="center"/>
                    <w:rPr>
                      <w:szCs w:val="21"/>
                    </w:rPr>
                  </w:pPr>
                  <w:r>
                    <w:rPr>
                      <w:rFonts w:hint="eastAsia"/>
                      <w:szCs w:val="21"/>
                    </w:rPr>
                    <w:t>固态</w:t>
                  </w:r>
                </w:p>
              </w:tc>
              <w:tc>
                <w:tcPr>
                  <w:tcW w:w="453" w:type="pct"/>
                  <w:shd w:val="clear" w:color="auto" w:fill="auto"/>
                  <w:vAlign w:val="center"/>
                </w:tcPr>
                <w:p w14:paraId="42DD2A6D">
                  <w:pPr>
                    <w:jc w:val="center"/>
                    <w:rPr>
                      <w:szCs w:val="21"/>
                    </w:rPr>
                  </w:pPr>
                  <w:r>
                    <w:rPr>
                      <w:rFonts w:hint="eastAsia"/>
                      <w:szCs w:val="21"/>
                    </w:rPr>
                    <w:t>T/In</w:t>
                  </w:r>
                </w:p>
              </w:tc>
              <w:tc>
                <w:tcPr>
                  <w:tcW w:w="528" w:type="pct"/>
                  <w:shd w:val="clear" w:color="auto" w:fill="auto"/>
                  <w:vAlign w:val="center"/>
                </w:tcPr>
                <w:p w14:paraId="1DFF0CDC">
                  <w:pPr>
                    <w:jc w:val="center"/>
                    <w:rPr>
                      <w:szCs w:val="21"/>
                    </w:rPr>
                  </w:pPr>
                  <w:r>
                    <w:rPr>
                      <w:rFonts w:hint="eastAsia"/>
                      <w:szCs w:val="21"/>
                    </w:rPr>
                    <w:t>0.02</w:t>
                  </w:r>
                </w:p>
              </w:tc>
              <w:tc>
                <w:tcPr>
                  <w:tcW w:w="453" w:type="pct"/>
                  <w:vMerge w:val="continue"/>
                  <w:shd w:val="clear" w:color="auto" w:fill="auto"/>
                  <w:vAlign w:val="center"/>
                </w:tcPr>
                <w:p w14:paraId="14B94C3F">
                  <w:pPr>
                    <w:jc w:val="center"/>
                    <w:rPr>
                      <w:szCs w:val="21"/>
                    </w:rPr>
                  </w:pPr>
                </w:p>
              </w:tc>
              <w:tc>
                <w:tcPr>
                  <w:tcW w:w="831" w:type="pct"/>
                  <w:vMerge w:val="continue"/>
                  <w:shd w:val="clear" w:color="auto" w:fill="auto"/>
                  <w:vAlign w:val="center"/>
                </w:tcPr>
                <w:p w14:paraId="15D22173">
                  <w:pPr>
                    <w:jc w:val="center"/>
                    <w:rPr>
                      <w:szCs w:val="21"/>
                    </w:rPr>
                  </w:pPr>
                </w:p>
              </w:tc>
              <w:tc>
                <w:tcPr>
                  <w:tcW w:w="552" w:type="pct"/>
                  <w:shd w:val="clear" w:color="auto" w:fill="auto"/>
                  <w:vAlign w:val="center"/>
                </w:tcPr>
                <w:p w14:paraId="633A21F7">
                  <w:pPr>
                    <w:jc w:val="center"/>
                    <w:rPr>
                      <w:szCs w:val="21"/>
                    </w:rPr>
                  </w:pPr>
                  <w:r>
                    <w:rPr>
                      <w:rFonts w:hint="eastAsia"/>
                      <w:szCs w:val="21"/>
                    </w:rPr>
                    <w:t>0.02</w:t>
                  </w:r>
                </w:p>
              </w:tc>
            </w:tr>
            <w:tr w14:paraId="07354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72" w:type="pct"/>
                  <w:shd w:val="clear" w:color="auto" w:fill="auto"/>
                  <w:vAlign w:val="center"/>
                </w:tcPr>
                <w:p w14:paraId="524F23FE">
                  <w:pPr>
                    <w:jc w:val="center"/>
                    <w:rPr>
                      <w:kern w:val="0"/>
                      <w:szCs w:val="21"/>
                    </w:rPr>
                  </w:pPr>
                  <w:r>
                    <w:rPr>
                      <w:rFonts w:hint="eastAsia"/>
                      <w:kern w:val="0"/>
                      <w:szCs w:val="21"/>
                    </w:rPr>
                    <w:t>生活垃圾</w:t>
                  </w:r>
                </w:p>
              </w:tc>
              <w:tc>
                <w:tcPr>
                  <w:tcW w:w="378" w:type="pct"/>
                  <w:shd w:val="clear" w:color="auto" w:fill="auto"/>
                  <w:vAlign w:val="center"/>
                </w:tcPr>
                <w:p w14:paraId="3967EAF5">
                  <w:pPr>
                    <w:jc w:val="center"/>
                    <w:rPr>
                      <w:szCs w:val="21"/>
                    </w:rPr>
                  </w:pPr>
                  <w:r>
                    <w:rPr>
                      <w:szCs w:val="21"/>
                    </w:rPr>
                    <w:t>生活垃圾</w:t>
                  </w:r>
                </w:p>
              </w:tc>
              <w:tc>
                <w:tcPr>
                  <w:tcW w:w="755" w:type="pct"/>
                  <w:shd w:val="clear" w:color="auto" w:fill="auto"/>
                  <w:vAlign w:val="center"/>
                </w:tcPr>
                <w:p w14:paraId="1BDE46C6">
                  <w:pPr>
                    <w:jc w:val="center"/>
                    <w:rPr>
                      <w:szCs w:val="21"/>
                    </w:rPr>
                  </w:pPr>
                  <w:r>
                    <w:rPr>
                      <w:rFonts w:hint="eastAsia"/>
                      <w:szCs w:val="21"/>
                    </w:rPr>
                    <w:t>/</w:t>
                  </w:r>
                </w:p>
              </w:tc>
              <w:tc>
                <w:tcPr>
                  <w:tcW w:w="378" w:type="pct"/>
                  <w:shd w:val="clear" w:color="auto" w:fill="auto"/>
                  <w:vAlign w:val="center"/>
                </w:tcPr>
                <w:p w14:paraId="58F23FAF">
                  <w:pPr>
                    <w:jc w:val="center"/>
                    <w:rPr>
                      <w:szCs w:val="21"/>
                    </w:rPr>
                  </w:pPr>
                  <w:r>
                    <w:rPr>
                      <w:rFonts w:hint="eastAsia"/>
                      <w:szCs w:val="21"/>
                    </w:rPr>
                    <w:t>固态</w:t>
                  </w:r>
                </w:p>
              </w:tc>
              <w:tc>
                <w:tcPr>
                  <w:tcW w:w="453" w:type="pct"/>
                  <w:shd w:val="clear" w:color="auto" w:fill="auto"/>
                  <w:vAlign w:val="center"/>
                </w:tcPr>
                <w:p w14:paraId="682C37C1">
                  <w:pPr>
                    <w:jc w:val="center"/>
                    <w:rPr>
                      <w:szCs w:val="21"/>
                    </w:rPr>
                  </w:pPr>
                  <w:r>
                    <w:rPr>
                      <w:rFonts w:hint="eastAsia"/>
                      <w:szCs w:val="21"/>
                    </w:rPr>
                    <w:t>/</w:t>
                  </w:r>
                </w:p>
              </w:tc>
              <w:tc>
                <w:tcPr>
                  <w:tcW w:w="528" w:type="pct"/>
                  <w:shd w:val="clear" w:color="auto" w:fill="auto"/>
                  <w:vAlign w:val="center"/>
                </w:tcPr>
                <w:p w14:paraId="41D384D4">
                  <w:pPr>
                    <w:jc w:val="center"/>
                    <w:rPr>
                      <w:szCs w:val="21"/>
                    </w:rPr>
                  </w:pPr>
                  <w:r>
                    <w:rPr>
                      <w:rFonts w:hint="eastAsia"/>
                      <w:szCs w:val="21"/>
                    </w:rPr>
                    <w:t>3</w:t>
                  </w:r>
                </w:p>
              </w:tc>
              <w:tc>
                <w:tcPr>
                  <w:tcW w:w="453" w:type="pct"/>
                  <w:shd w:val="clear" w:color="auto" w:fill="auto"/>
                  <w:vAlign w:val="center"/>
                </w:tcPr>
                <w:p w14:paraId="294A7D5B">
                  <w:pPr>
                    <w:jc w:val="center"/>
                    <w:rPr>
                      <w:szCs w:val="21"/>
                    </w:rPr>
                  </w:pPr>
                  <w:r>
                    <w:rPr>
                      <w:szCs w:val="21"/>
                    </w:rPr>
                    <w:t>垃圾桶等</w:t>
                  </w:r>
                </w:p>
              </w:tc>
              <w:tc>
                <w:tcPr>
                  <w:tcW w:w="831" w:type="pct"/>
                  <w:shd w:val="clear" w:color="auto" w:fill="auto"/>
                  <w:vAlign w:val="center"/>
                </w:tcPr>
                <w:p w14:paraId="21C2DB92">
                  <w:pPr>
                    <w:jc w:val="center"/>
                    <w:rPr>
                      <w:szCs w:val="21"/>
                    </w:rPr>
                  </w:pPr>
                  <w:r>
                    <w:rPr>
                      <w:szCs w:val="21"/>
                    </w:rPr>
                    <w:t>交环卫部门清运处理</w:t>
                  </w:r>
                </w:p>
              </w:tc>
              <w:tc>
                <w:tcPr>
                  <w:tcW w:w="552" w:type="pct"/>
                  <w:shd w:val="clear" w:color="auto" w:fill="auto"/>
                  <w:vAlign w:val="center"/>
                </w:tcPr>
                <w:p w14:paraId="380A0971">
                  <w:pPr>
                    <w:jc w:val="center"/>
                    <w:rPr>
                      <w:szCs w:val="21"/>
                    </w:rPr>
                  </w:pPr>
                  <w:r>
                    <w:rPr>
                      <w:rFonts w:hint="eastAsia"/>
                      <w:szCs w:val="21"/>
                    </w:rPr>
                    <w:t>3</w:t>
                  </w:r>
                </w:p>
              </w:tc>
            </w:tr>
          </w:tbl>
          <w:p w14:paraId="2EDE3AB2">
            <w:pPr>
              <w:autoSpaceDE w:val="0"/>
              <w:autoSpaceDN w:val="0"/>
              <w:adjustRightInd w:val="0"/>
              <w:spacing w:line="360" w:lineRule="auto"/>
              <w:ind w:firstLine="442" w:firstLineChars="200"/>
              <w:rPr>
                <w:rFonts w:hAnsi="宋体"/>
                <w:b/>
                <w:bCs/>
                <w:spacing w:val="-10"/>
                <w:sz w:val="24"/>
              </w:rPr>
            </w:pPr>
            <w:r>
              <w:rPr>
                <w:rFonts w:hint="eastAsia"/>
                <w:b/>
                <w:bCs/>
                <w:spacing w:val="-10"/>
                <w:sz w:val="24"/>
              </w:rPr>
              <w:t>2</w:t>
            </w:r>
            <w:r>
              <w:rPr>
                <w:rFonts w:hAnsi="宋体"/>
                <w:b/>
                <w:bCs/>
                <w:spacing w:val="-10"/>
                <w:sz w:val="24"/>
              </w:rPr>
              <w:t>、固体废物暂存及</w:t>
            </w:r>
            <w:r>
              <w:rPr>
                <w:rFonts w:hint="eastAsia" w:hAnsi="宋体"/>
                <w:b/>
                <w:bCs/>
                <w:spacing w:val="-10"/>
                <w:sz w:val="24"/>
              </w:rPr>
              <w:t>管理</w:t>
            </w:r>
            <w:r>
              <w:rPr>
                <w:rFonts w:hAnsi="宋体"/>
                <w:b/>
                <w:bCs/>
                <w:spacing w:val="-10"/>
                <w:sz w:val="24"/>
              </w:rPr>
              <w:t>要求</w:t>
            </w:r>
          </w:p>
          <w:p w14:paraId="0790BCE3">
            <w:pPr>
              <w:spacing w:line="360" w:lineRule="auto"/>
              <w:ind w:firstLine="482" w:firstLineChars="200"/>
              <w:rPr>
                <w:rFonts w:hAnsi="宋体"/>
                <w:b/>
                <w:kern w:val="0"/>
                <w:sz w:val="24"/>
              </w:rPr>
            </w:pPr>
            <w:r>
              <w:rPr>
                <w:rFonts w:hint="eastAsia" w:hAnsi="宋体"/>
                <w:b/>
                <w:kern w:val="0"/>
                <w:sz w:val="24"/>
              </w:rPr>
              <w:t>（1）一般工业固废</w:t>
            </w:r>
          </w:p>
          <w:p w14:paraId="0CF5DE4F">
            <w:pPr>
              <w:spacing w:line="360" w:lineRule="auto"/>
              <w:ind w:firstLine="480" w:firstLineChars="200"/>
              <w:rPr>
                <w:rFonts w:hAnsi="宋体"/>
                <w:kern w:val="0"/>
                <w:sz w:val="24"/>
              </w:rPr>
            </w:pPr>
            <w:r>
              <w:rPr>
                <w:rFonts w:hint="eastAsia" w:hAnsi="宋体"/>
                <w:kern w:val="0"/>
                <w:sz w:val="24"/>
              </w:rPr>
              <w:t>A、贮存要求</w:t>
            </w:r>
          </w:p>
          <w:p w14:paraId="07335C3C">
            <w:pPr>
              <w:spacing w:line="360" w:lineRule="auto"/>
              <w:ind w:firstLine="480" w:firstLineChars="200"/>
              <w:rPr>
                <w:sz w:val="24"/>
              </w:rPr>
            </w:pP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尘、清筛杂质、炉渣、废布袋</w:t>
            </w:r>
            <w:r>
              <w:rPr>
                <w:bCs/>
                <w:sz w:val="24"/>
              </w:rPr>
              <w:t>等属于一般固体</w:t>
            </w:r>
            <w:r>
              <w:rPr>
                <w:sz w:val="24"/>
              </w:rPr>
              <w:t>废物，</w:t>
            </w:r>
            <w:r>
              <w:rPr>
                <w:rFonts w:hint="eastAsia" w:hAnsi="宋体"/>
                <w:kern w:val="0"/>
                <w:sz w:val="24"/>
              </w:rPr>
              <w:t>除尘器</w:t>
            </w:r>
            <w:r>
              <w:rPr>
                <w:rFonts w:hAnsi="宋体"/>
                <w:kern w:val="0"/>
                <w:sz w:val="24"/>
              </w:rPr>
              <w:t>收集尘、</w:t>
            </w:r>
            <w:r>
              <w:rPr>
                <w:rFonts w:hint="eastAsia" w:hAnsi="宋体"/>
                <w:kern w:val="0"/>
                <w:sz w:val="24"/>
              </w:rPr>
              <w:t>沉降</w:t>
            </w:r>
            <w:r>
              <w:rPr>
                <w:rFonts w:hAnsi="宋体"/>
                <w:kern w:val="0"/>
                <w:sz w:val="24"/>
              </w:rPr>
              <w:t>尘</w:t>
            </w:r>
            <w:r>
              <w:rPr>
                <w:rFonts w:hint="eastAsia" w:hAnsi="宋体"/>
                <w:kern w:val="0"/>
                <w:sz w:val="24"/>
              </w:rPr>
              <w:t>外售综合利用；</w:t>
            </w:r>
            <w:r>
              <w:rPr>
                <w:rFonts w:hAnsi="宋体"/>
                <w:kern w:val="0"/>
                <w:sz w:val="24"/>
              </w:rPr>
              <w:t>清筛杂质</w:t>
            </w:r>
            <w:r>
              <w:rPr>
                <w:rFonts w:hint="eastAsia" w:hAnsi="宋体"/>
                <w:kern w:val="0"/>
                <w:sz w:val="24"/>
              </w:rPr>
              <w:t>收集后交环卫部门统一清运处理；</w:t>
            </w:r>
            <w:r>
              <w:rPr>
                <w:rFonts w:hint="eastAsia"/>
                <w:sz w:val="24"/>
              </w:rPr>
              <w:t>炉渣</w:t>
            </w:r>
            <w:r>
              <w:rPr>
                <w:bCs/>
                <w:spacing w:val="-10"/>
                <w:sz w:val="24"/>
              </w:rPr>
              <w:t>收集后由周边农户拉走用作农肥；</w:t>
            </w:r>
            <w:r>
              <w:rPr>
                <w:rFonts w:hint="eastAsia"/>
                <w:sz w:val="24"/>
              </w:rPr>
              <w:t>废旧布袋交由厂家回收处理。</w:t>
            </w:r>
            <w:r>
              <w:rPr>
                <w:sz w:val="24"/>
              </w:rPr>
              <w:t>固体废物</w:t>
            </w:r>
            <w:r>
              <w:rPr>
                <w:rFonts w:hint="eastAsia"/>
                <w:sz w:val="24"/>
              </w:rPr>
              <w:t>暂存</w:t>
            </w:r>
            <w:r>
              <w:rPr>
                <w:sz w:val="24"/>
              </w:rPr>
              <w:t>间应按《一般工业固体废物贮存和填埋污染控制标准》（GB18599-2020）进行规范处理，不可胡乱堆放或随意丢弃。具体为贮存区采取防风防雨措施，各类固废应分类收集，贮存区按照《环境保护图形标志——固体废物贮存（处置）场》（GB15562.2）的要求设置环保图形标志，指定专人进行日常管理。</w:t>
            </w:r>
          </w:p>
          <w:p w14:paraId="43BB0CC4">
            <w:pPr>
              <w:spacing w:line="360" w:lineRule="auto"/>
              <w:ind w:firstLine="480" w:firstLineChars="200"/>
              <w:rPr>
                <w:sz w:val="24"/>
              </w:rPr>
            </w:pPr>
            <w:r>
              <w:rPr>
                <w:sz w:val="24"/>
              </w:rPr>
              <w:t>根据现场调查，建设单位未按要求规范设置固废暂存间，</w:t>
            </w:r>
            <w:r>
              <w:rPr>
                <w:rFonts w:hint="eastAsia"/>
                <w:sz w:val="24"/>
              </w:rPr>
              <w:t>环评建议</w:t>
            </w:r>
            <w:r>
              <w:rPr>
                <w:sz w:val="24"/>
              </w:rPr>
              <w:t>建设单位</w:t>
            </w:r>
            <w:r>
              <w:rPr>
                <w:rFonts w:hint="eastAsia"/>
                <w:sz w:val="24"/>
              </w:rPr>
              <w:t>规范建设一个</w:t>
            </w:r>
            <w:r>
              <w:rPr>
                <w:sz w:val="24"/>
              </w:rPr>
              <w:t>一般固废</w:t>
            </w:r>
            <w:r>
              <w:rPr>
                <w:rFonts w:hint="eastAsia"/>
                <w:sz w:val="24"/>
              </w:rPr>
              <w:t>暂存</w:t>
            </w:r>
            <w:r>
              <w:rPr>
                <w:sz w:val="24"/>
              </w:rPr>
              <w:t>间，</w:t>
            </w:r>
            <w:r>
              <w:rPr>
                <w:rFonts w:hint="eastAsia"/>
                <w:sz w:val="24"/>
              </w:rPr>
              <w:t>同时，建设单位应严格按照《一般工业固体废物贮存和填埋污染控制标准》（GB18599-2020）中有关规定来设计及建设一般固废暂存间。具体要求如下：</w:t>
            </w:r>
          </w:p>
          <w:p w14:paraId="10B6230F">
            <w:pPr>
              <w:spacing w:line="360" w:lineRule="auto"/>
              <w:ind w:firstLine="480" w:firstLineChars="200"/>
              <w:rPr>
                <w:sz w:val="24"/>
              </w:rPr>
            </w:pPr>
            <w:r>
              <w:rPr>
                <w:rFonts w:hint="eastAsia"/>
                <w:sz w:val="24"/>
              </w:rPr>
              <w:t>①临时堆放场应选在防渗性能好的地基上天然基础层地表距地下水位的距离不得小于1.5m。临时堆放场四周应建有围墙，防止固废流失以及造成粉尘污染。</w:t>
            </w:r>
          </w:p>
          <w:p w14:paraId="2A3F4618">
            <w:pPr>
              <w:spacing w:line="360" w:lineRule="auto"/>
              <w:ind w:firstLine="480" w:firstLineChars="200"/>
              <w:rPr>
                <w:sz w:val="24"/>
              </w:rPr>
            </w:pPr>
            <w:r>
              <w:rPr>
                <w:rFonts w:hint="eastAsia"/>
                <w:sz w:val="24"/>
              </w:rPr>
              <w:t>②临时堆放场应建有防雨淋、防渗透措施。本项目储存在厂房内，地面进行硬化，可以满足防雨淋、防渗透要求。</w:t>
            </w:r>
          </w:p>
          <w:p w14:paraId="0C2C7FD6">
            <w:pPr>
              <w:spacing w:line="360" w:lineRule="auto"/>
              <w:ind w:firstLine="480" w:firstLineChars="200"/>
              <w:rPr>
                <w:sz w:val="24"/>
              </w:rPr>
            </w:pPr>
            <w:r>
              <w:rPr>
                <w:rFonts w:hint="eastAsia"/>
                <w:sz w:val="24"/>
              </w:rPr>
              <w:t>③为了便于管理，临时堆放场应按GB15562.2-1995《环境保护图形标识—固体废物贮存（处置）场》设置环境保护图形标志。</w:t>
            </w:r>
          </w:p>
          <w:p w14:paraId="1C9F75FB">
            <w:pPr>
              <w:spacing w:line="360" w:lineRule="auto"/>
              <w:ind w:firstLine="480" w:firstLineChars="200"/>
              <w:rPr>
                <w:sz w:val="24"/>
              </w:rPr>
            </w:pPr>
            <w:r>
              <w:rPr>
                <w:rFonts w:hint="eastAsia"/>
                <w:sz w:val="24"/>
              </w:rPr>
              <w:t>B、管理要求</w:t>
            </w:r>
          </w:p>
          <w:p w14:paraId="2EBEE8AD">
            <w:pPr>
              <w:spacing w:line="360" w:lineRule="auto"/>
              <w:ind w:firstLine="480" w:firstLineChars="200"/>
              <w:rPr>
                <w:sz w:val="24"/>
              </w:rPr>
            </w:pPr>
            <w:r>
              <w:rPr>
                <w:rFonts w:hint="eastAsia"/>
                <w:sz w:val="24"/>
              </w:rPr>
              <w:t>建设方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同时，建设方应与生产废料收集部门制定清运计划，确定清运时间和清运量；本次评价建议项目固废不应在厂区内暂存时间过长，建议至少1个月清运1次，运输车辆应处于良好的状态，特别是其遮盖部分应该完好，而且进出时要慢速行驶，避免固废撒落。</w:t>
            </w:r>
          </w:p>
          <w:p w14:paraId="36972A64">
            <w:pPr>
              <w:spacing w:line="360" w:lineRule="auto"/>
              <w:ind w:firstLine="482" w:firstLineChars="200"/>
              <w:rPr>
                <w:b/>
                <w:sz w:val="24"/>
              </w:rPr>
            </w:pPr>
            <w:r>
              <w:rPr>
                <w:b/>
                <w:sz w:val="24"/>
              </w:rPr>
              <w:t>（</w:t>
            </w:r>
            <w:r>
              <w:rPr>
                <w:rFonts w:hint="eastAsia"/>
                <w:b/>
                <w:sz w:val="24"/>
              </w:rPr>
              <w:t>2</w:t>
            </w:r>
            <w:r>
              <w:rPr>
                <w:b/>
                <w:sz w:val="24"/>
              </w:rPr>
              <w:t>）危险废物</w:t>
            </w:r>
          </w:p>
          <w:p w14:paraId="416F60B5">
            <w:pPr>
              <w:spacing w:line="360" w:lineRule="auto"/>
              <w:ind w:firstLine="480" w:firstLineChars="200"/>
              <w:rPr>
                <w:sz w:val="24"/>
              </w:rPr>
            </w:pPr>
            <w:r>
              <w:rPr>
                <w:rFonts w:hint="eastAsia" w:hAnsi="宋体"/>
                <w:kern w:val="0"/>
                <w:sz w:val="24"/>
              </w:rPr>
              <w:t>废试剂瓶等实验用品、实验废液、熏蒸药剂使用后的残渣</w:t>
            </w:r>
            <w:r>
              <w:rPr>
                <w:rFonts w:hAnsi="宋体"/>
                <w:kern w:val="0"/>
                <w:sz w:val="24"/>
              </w:rPr>
              <w:t>、</w:t>
            </w:r>
            <w:r>
              <w:rPr>
                <w:rFonts w:hint="eastAsia" w:hAnsi="宋体"/>
                <w:kern w:val="0"/>
                <w:sz w:val="24"/>
              </w:rPr>
              <w:t>废矿物油和废油桶、废含油抹布</w:t>
            </w:r>
            <w:r>
              <w:rPr>
                <w:rFonts w:hint="eastAsia" w:hAnsi="宋体"/>
                <w:bCs/>
                <w:sz w:val="24"/>
              </w:rPr>
              <w:t>手套及抹布</w:t>
            </w:r>
            <w:r>
              <w:rPr>
                <w:rFonts w:hint="eastAsia"/>
                <w:sz w:val="24"/>
              </w:rPr>
              <w:t>等</w:t>
            </w:r>
            <w:r>
              <w:rPr>
                <w:sz w:val="24"/>
              </w:rPr>
              <w:t>危险废物暂存于</w:t>
            </w:r>
            <w:r>
              <w:rPr>
                <w:rFonts w:hint="eastAsia"/>
                <w:sz w:val="24"/>
              </w:rPr>
              <w:t>危废暂存</w:t>
            </w:r>
            <w:r>
              <w:rPr>
                <w:sz w:val="24"/>
              </w:rPr>
              <w:t>间后定期交由有相关危废处置资质单位外运安全处置</w:t>
            </w:r>
            <w:r>
              <w:rPr>
                <w:rFonts w:hint="eastAsia"/>
                <w:sz w:val="24"/>
              </w:rPr>
              <w:t>。</w:t>
            </w:r>
          </w:p>
          <w:p w14:paraId="7DF0046E">
            <w:pPr>
              <w:spacing w:line="360" w:lineRule="auto"/>
              <w:ind w:firstLine="480" w:firstLineChars="200"/>
              <w:rPr>
                <w:sz w:val="24"/>
              </w:rPr>
            </w:pPr>
            <w:r>
              <w:rPr>
                <w:sz w:val="24"/>
              </w:rPr>
              <w:t>根据现场调查，建设单位未按要求规范设置危险废物暂存间，</w:t>
            </w:r>
            <w:r>
              <w:rPr>
                <w:rFonts w:hint="eastAsia"/>
                <w:sz w:val="24"/>
              </w:rPr>
              <w:t>环评建议</w:t>
            </w:r>
            <w:r>
              <w:rPr>
                <w:sz w:val="24"/>
              </w:rPr>
              <w:t>建设单位</w:t>
            </w:r>
            <w:r>
              <w:rPr>
                <w:rFonts w:hint="eastAsia"/>
                <w:sz w:val="24"/>
              </w:rPr>
              <w:t>规范建设一个占地5m</w:t>
            </w:r>
            <w:r>
              <w:rPr>
                <w:rFonts w:hint="eastAsia"/>
                <w:sz w:val="24"/>
                <w:vertAlign w:val="superscript"/>
              </w:rPr>
              <w:t>2</w:t>
            </w:r>
            <w:r>
              <w:rPr>
                <w:rFonts w:hint="eastAsia"/>
                <w:sz w:val="24"/>
              </w:rPr>
              <w:t>的</w:t>
            </w:r>
            <w:r>
              <w:rPr>
                <w:sz w:val="24"/>
              </w:rPr>
              <w:t>危险废物暂存间，危险废物暂存间需满足《危险废物贮存污染控制标准》（GB18597-2023）和《危险废物收集 贮存 运输技术规范》（HJ2025-2012）的相关要求，具体要求如下：</w:t>
            </w:r>
          </w:p>
          <w:p w14:paraId="4B7D931C">
            <w:pPr>
              <w:spacing w:line="360" w:lineRule="auto"/>
              <w:ind w:firstLine="480" w:firstLineChars="200"/>
              <w:rPr>
                <w:sz w:val="24"/>
              </w:rPr>
            </w:pPr>
            <w:r>
              <w:rPr>
                <w:rFonts w:hint="eastAsia"/>
                <w:sz w:val="24"/>
              </w:rPr>
              <w:t>A、</w:t>
            </w:r>
            <w:r>
              <w:rPr>
                <w:sz w:val="24"/>
              </w:rPr>
              <w:t>危险废物的贮存要求</w:t>
            </w:r>
          </w:p>
          <w:p w14:paraId="2D053568">
            <w:pPr>
              <w:spacing w:line="360" w:lineRule="auto"/>
              <w:ind w:firstLine="480" w:firstLineChars="200"/>
              <w:rPr>
                <w:sz w:val="24"/>
              </w:rPr>
            </w:pPr>
            <w:r>
              <w:rPr>
                <w:rFonts w:hint="eastAsia"/>
                <w:sz w:val="24"/>
              </w:rPr>
              <w:t>①</w:t>
            </w:r>
            <w:r>
              <w:rPr>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sz w:val="24"/>
                <w:vertAlign w:val="superscript"/>
              </w:rPr>
              <w:t>-7</w:t>
            </w:r>
            <w:r>
              <w:rPr>
                <w:sz w:val="24"/>
              </w:rPr>
              <w:t>cm/s），或至少2mm</w:t>
            </w:r>
            <w:r>
              <w:rPr>
                <w:rFonts w:hint="eastAsia"/>
                <w:sz w:val="24"/>
              </w:rPr>
              <w:t>厚高密度聚乙烯膜等人工防渗材料（渗透系数不大于10</w:t>
            </w:r>
            <w:r>
              <w:rPr>
                <w:rFonts w:hint="eastAsia"/>
                <w:sz w:val="24"/>
                <w:vertAlign w:val="superscript"/>
              </w:rPr>
              <w:t>-10</w:t>
            </w:r>
            <w:r>
              <w:rPr>
                <w:rFonts w:hint="eastAsia"/>
                <w:sz w:val="24"/>
              </w:rPr>
              <w:t>cm/s），或其他防渗性能等效的材料。</w:t>
            </w:r>
          </w:p>
          <w:p w14:paraId="55C7EFC3">
            <w:pPr>
              <w:spacing w:line="360" w:lineRule="auto"/>
              <w:ind w:firstLine="480" w:firstLineChars="200"/>
              <w:rPr>
                <w:sz w:val="24"/>
              </w:rPr>
            </w:pPr>
            <w:r>
              <w:rPr>
                <w:rFonts w:hint="eastAsia"/>
                <w:sz w:val="24"/>
              </w:rPr>
              <w:t>②危险废物暂存间地面与裙脚应用坚固、防渗的材料建造，建筑材料必须与危险废物相容；</w:t>
            </w:r>
          </w:p>
          <w:p w14:paraId="504E4225">
            <w:pPr>
              <w:spacing w:line="360" w:lineRule="auto"/>
              <w:ind w:firstLine="480" w:firstLineChars="200"/>
              <w:rPr>
                <w:sz w:val="24"/>
              </w:rPr>
            </w:pPr>
            <w:r>
              <w:rPr>
                <w:rFonts w:hint="eastAsia"/>
                <w:sz w:val="24"/>
              </w:rPr>
              <w:t>③危险废物暂存间内危险废物存放区应设置围堰，围堰底部和侧壁采用防腐防渗材料且表面无裂隙，围堰有效容积不低于堵截最大容器的最大储量；</w:t>
            </w:r>
          </w:p>
          <w:p w14:paraId="261EB9C8">
            <w:pPr>
              <w:spacing w:line="360" w:lineRule="auto"/>
              <w:ind w:firstLine="480" w:firstLineChars="200"/>
              <w:rPr>
                <w:sz w:val="24"/>
              </w:rPr>
            </w:pPr>
            <w:r>
              <w:rPr>
                <w:rFonts w:hint="eastAsia"/>
                <w:sz w:val="24"/>
              </w:rPr>
              <w:t>④危险废物暂存间内不同危险废物进行隔离存放，隔离区应留出搬运通道；且库房内要有安全照明设施和观察窗口。</w:t>
            </w:r>
          </w:p>
          <w:p w14:paraId="49D37BA5">
            <w:pPr>
              <w:spacing w:line="360" w:lineRule="auto"/>
              <w:ind w:firstLine="480" w:firstLineChars="200"/>
              <w:rPr>
                <w:sz w:val="24"/>
              </w:rPr>
            </w:pPr>
            <w:r>
              <w:rPr>
                <w:rFonts w:hint="eastAsia"/>
                <w:sz w:val="24"/>
              </w:rPr>
              <w:t>⑤危废暂存间应“六防”（防风、防晒、防雨、防漏、防渗、防腐），加强防渗措施和渗漏收集措施，设置警示标志。</w:t>
            </w:r>
          </w:p>
          <w:p w14:paraId="4AFB1E9E">
            <w:pPr>
              <w:spacing w:line="360" w:lineRule="auto"/>
              <w:ind w:firstLine="480" w:firstLineChars="200"/>
              <w:rPr>
                <w:sz w:val="24"/>
              </w:rPr>
            </w:pPr>
            <w:r>
              <w:rPr>
                <w:rFonts w:hint="eastAsia"/>
                <w:sz w:val="24"/>
              </w:rPr>
              <w:t>⑥各类危险废物须废分类存放，避免不相容的危险废物接触、混合。</w:t>
            </w:r>
          </w:p>
          <w:p w14:paraId="4A09CA11">
            <w:pPr>
              <w:spacing w:line="360" w:lineRule="auto"/>
              <w:ind w:firstLine="480" w:firstLineChars="200"/>
              <w:rPr>
                <w:sz w:val="24"/>
              </w:rPr>
            </w:pPr>
            <w:r>
              <w:rPr>
                <w:rFonts w:hint="eastAsia"/>
                <w:sz w:val="24"/>
              </w:rPr>
              <w:t>B、</w:t>
            </w:r>
            <w:r>
              <w:rPr>
                <w:sz w:val="24"/>
              </w:rPr>
              <w:t>危险废物的收集要求</w:t>
            </w:r>
          </w:p>
          <w:p w14:paraId="3F3DEFFF">
            <w:pPr>
              <w:spacing w:line="360" w:lineRule="auto"/>
              <w:ind w:firstLine="480" w:firstLineChars="200"/>
              <w:rPr>
                <w:sz w:val="24"/>
              </w:rPr>
            </w:pPr>
            <w:r>
              <w:rPr>
                <w:sz w:val="24"/>
              </w:rPr>
              <w:t>项目危险废物的收集包括两个方面：一是在危险废物产生节点将危险废物集中到适当的包装容器中或车辆上的活动；二是将已包装或装到运输车辆上的危险废物集中到危险废物暂存仓库的内部转运。</w:t>
            </w:r>
          </w:p>
          <w:p w14:paraId="11EA937B">
            <w:pPr>
              <w:spacing w:line="360" w:lineRule="auto"/>
              <w:ind w:firstLine="480" w:firstLineChars="200"/>
              <w:rPr>
                <w:sz w:val="24"/>
              </w:rPr>
            </w:pPr>
            <w:r>
              <w:rPr>
                <w:sz w:val="24"/>
              </w:rPr>
              <w:t>项目危险废物的收集须严格按照《危险废物收集 贮存 运输技术规范》 （HJ2025-2012）的要求：</w:t>
            </w:r>
          </w:p>
          <w:p w14:paraId="3EC4EB9F">
            <w:pPr>
              <w:spacing w:line="360" w:lineRule="auto"/>
              <w:ind w:firstLine="480" w:firstLineChars="200"/>
              <w:rPr>
                <w:sz w:val="24"/>
              </w:rPr>
            </w:pPr>
            <w:r>
              <w:rPr>
                <w:rFonts w:hint="eastAsia"/>
                <w:sz w:val="24"/>
              </w:rPr>
              <w:t>①</w:t>
            </w:r>
            <w:r>
              <w:rPr>
                <w:sz w:val="24"/>
              </w:rPr>
              <w:t>根据危险废物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w:t>
            </w:r>
          </w:p>
          <w:p w14:paraId="7F4870B8">
            <w:pPr>
              <w:spacing w:line="360" w:lineRule="auto"/>
              <w:ind w:firstLine="480" w:firstLineChars="200"/>
              <w:rPr>
                <w:sz w:val="24"/>
              </w:rPr>
            </w:pPr>
            <w:r>
              <w:rPr>
                <w:rFonts w:hint="eastAsia"/>
                <w:sz w:val="24"/>
              </w:rPr>
              <w:t>②</w:t>
            </w:r>
            <w:r>
              <w:rPr>
                <w:sz w:val="24"/>
              </w:rPr>
              <w:t>制定危险废物收集操作规程，内容包括适用范围、操作程序和方法、专用设备和工具、转移和交接、安全保障和应急防护等。</w:t>
            </w:r>
          </w:p>
          <w:p w14:paraId="7A3DAC36">
            <w:pPr>
              <w:spacing w:line="360" w:lineRule="auto"/>
              <w:ind w:firstLine="480" w:firstLineChars="200"/>
              <w:rPr>
                <w:sz w:val="24"/>
              </w:rPr>
            </w:pPr>
            <w:r>
              <w:rPr>
                <w:rFonts w:hint="eastAsia"/>
                <w:sz w:val="24"/>
              </w:rPr>
              <w:t>③</w:t>
            </w:r>
            <w:r>
              <w:rPr>
                <w:sz w:val="24"/>
              </w:rPr>
              <w:t>危险废物收集和转运作业人员根据工作需要配备必要的个人防护装备，如手套、防护镜、防护服、防毒面具或口罩等。</w:t>
            </w:r>
          </w:p>
          <w:p w14:paraId="104651C7">
            <w:pPr>
              <w:spacing w:line="360" w:lineRule="auto"/>
              <w:ind w:firstLine="480" w:firstLineChars="200"/>
              <w:rPr>
                <w:sz w:val="24"/>
              </w:rPr>
            </w:pPr>
            <w:r>
              <w:rPr>
                <w:rFonts w:hint="eastAsia"/>
                <w:sz w:val="24"/>
              </w:rPr>
              <w:t>④</w:t>
            </w:r>
            <w:r>
              <w:rPr>
                <w:sz w:val="24"/>
              </w:rPr>
              <w:t>在危险废物收集和转运过程中，采取相应的安全防护和污染防治措施，包括防爆、防火、防泄漏、防飞扬、防雨或其他防治污染环境的措施。</w:t>
            </w:r>
          </w:p>
          <w:p w14:paraId="1798A1F1">
            <w:pPr>
              <w:spacing w:line="360" w:lineRule="auto"/>
              <w:ind w:firstLine="480" w:firstLineChars="200"/>
              <w:rPr>
                <w:sz w:val="24"/>
              </w:rPr>
            </w:pPr>
            <w:r>
              <w:rPr>
                <w:rFonts w:hint="eastAsia"/>
                <w:sz w:val="24"/>
              </w:rPr>
              <w:t>⑤</w:t>
            </w:r>
            <w:r>
              <w:rPr>
                <w:sz w:val="24"/>
              </w:rPr>
              <w:t>危险废物收集时应根据危险废物的种类、数量、危险特性、物理形态、运输要求等因素选择合适的包装形式。</w:t>
            </w:r>
          </w:p>
          <w:p w14:paraId="5BCC69A8">
            <w:pPr>
              <w:spacing w:line="360" w:lineRule="auto"/>
              <w:ind w:firstLine="440" w:firstLineChars="200"/>
              <w:rPr>
                <w:bCs/>
                <w:spacing w:val="-10"/>
                <w:sz w:val="24"/>
              </w:rPr>
            </w:pPr>
            <w:r>
              <w:rPr>
                <w:rFonts w:hint="eastAsia"/>
                <w:bCs/>
                <w:spacing w:val="-10"/>
                <w:sz w:val="24"/>
              </w:rPr>
              <w:t>C、企业须健全危险废物相关管理制度，并严格落实。</w:t>
            </w:r>
          </w:p>
          <w:p w14:paraId="1A5245F7">
            <w:pPr>
              <w:spacing w:line="360" w:lineRule="auto"/>
              <w:ind w:firstLine="440" w:firstLineChars="200"/>
              <w:rPr>
                <w:bCs/>
                <w:spacing w:val="-10"/>
                <w:sz w:val="24"/>
              </w:rPr>
            </w:pPr>
            <w:r>
              <w:rPr>
                <w:rFonts w:hint="eastAsia"/>
                <w:bCs/>
                <w:spacing w:val="-10"/>
                <w:sz w:val="24"/>
              </w:rPr>
              <w:t>①企业须配备专业技术人员和管理人员专门负责企业危险废物统计、收集、暂存、转运和管理工作，并对有关危废产生部门员工进行定期教育和培训，强化危险废物管理；</w:t>
            </w:r>
          </w:p>
          <w:p w14:paraId="36A73C3F">
            <w:pPr>
              <w:spacing w:line="360" w:lineRule="auto"/>
              <w:ind w:firstLine="440" w:firstLineChars="200"/>
              <w:rPr>
                <w:bCs/>
                <w:spacing w:val="-10"/>
                <w:sz w:val="24"/>
              </w:rPr>
            </w:pPr>
            <w:r>
              <w:rPr>
                <w:rFonts w:hint="eastAsia"/>
                <w:bCs/>
                <w:spacing w:val="-10"/>
                <w:sz w:val="24"/>
              </w:rPr>
              <w:t>②企业须建立危险废物收集操作规程、危险废物转运操作规程、危险废物暂存管理规程等相关制度，并认真落实；</w:t>
            </w:r>
          </w:p>
          <w:p w14:paraId="30BCB295">
            <w:pPr>
              <w:spacing w:line="360" w:lineRule="auto"/>
              <w:ind w:firstLine="440" w:firstLineChars="200"/>
              <w:rPr>
                <w:bCs/>
                <w:spacing w:val="-10"/>
                <w:sz w:val="24"/>
              </w:rPr>
            </w:pPr>
            <w:r>
              <w:rPr>
                <w:rFonts w:hint="eastAsia"/>
                <w:bCs/>
                <w:spacing w:val="-10"/>
                <w:sz w:val="24"/>
              </w:rPr>
              <w:t>③企业须对危险废物储运场所张贴警示标示，危险废物包装物张贴警示标签；</w:t>
            </w:r>
          </w:p>
          <w:p w14:paraId="2FBFF5BC">
            <w:pPr>
              <w:spacing w:line="360" w:lineRule="auto"/>
              <w:ind w:firstLine="440" w:firstLineChars="200"/>
              <w:rPr>
                <w:bCs/>
                <w:spacing w:val="-10"/>
                <w:sz w:val="24"/>
              </w:rPr>
            </w:pPr>
            <w:r>
              <w:rPr>
                <w:rFonts w:hint="eastAsia"/>
                <w:bCs/>
                <w:spacing w:val="-10"/>
                <w:sz w:val="24"/>
              </w:rPr>
              <w:t>④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678E7E0B">
            <w:pPr>
              <w:spacing w:line="360" w:lineRule="auto"/>
              <w:ind w:firstLine="440" w:firstLineChars="200"/>
              <w:rPr>
                <w:bCs/>
                <w:spacing w:val="-10"/>
                <w:sz w:val="24"/>
              </w:rPr>
            </w:pPr>
            <w:r>
              <w:rPr>
                <w:rFonts w:hint="eastAsia"/>
                <w:bCs/>
                <w:spacing w:val="-10"/>
                <w:sz w:val="24"/>
              </w:rPr>
              <w:t>D、危险废物在危废暂存间内暂存期间应严格按照《危险废物贮存污染控制标准》（GB18597-2023）和《危险废物收集 贮存 运输技术规范》（HJ2025-2012）的相关要求进行存储和管理。</w:t>
            </w:r>
          </w:p>
          <w:p w14:paraId="7119EB70">
            <w:pPr>
              <w:spacing w:line="360" w:lineRule="auto"/>
              <w:ind w:firstLine="440" w:firstLineChars="200"/>
              <w:rPr>
                <w:bCs/>
                <w:spacing w:val="-10"/>
                <w:sz w:val="24"/>
              </w:rPr>
            </w:pPr>
            <w:r>
              <w:rPr>
                <w:rFonts w:hint="eastAsia"/>
                <w:bCs/>
                <w:spacing w:val="-10"/>
                <w:sz w:val="24"/>
              </w:rPr>
              <w:t>E、根据《危险废物识别标志设置技术规范》（HJ1276-2022）等要求设置环境保护图形标志。</w:t>
            </w:r>
          </w:p>
          <w:p w14:paraId="17698F77">
            <w:pPr>
              <w:spacing w:line="360" w:lineRule="auto"/>
              <w:ind w:firstLine="440" w:firstLineChars="200"/>
              <w:rPr>
                <w:bCs/>
                <w:spacing w:val="-10"/>
                <w:sz w:val="24"/>
              </w:rPr>
            </w:pPr>
            <w:r>
              <w:rPr>
                <w:rFonts w:hint="eastAsia"/>
                <w:bCs/>
                <w:spacing w:val="-10"/>
                <w:sz w:val="24"/>
              </w:rPr>
              <w:t>①在危废物暂存间的入口处的显著位置设置相应的危险废物贮存设施标志、危险废物利用设施标志、危险废物处置设施标志。</w:t>
            </w:r>
          </w:p>
          <w:p w14:paraId="7D98FCC6">
            <w:pPr>
              <w:spacing w:line="360" w:lineRule="auto"/>
              <w:ind w:firstLine="440" w:firstLineChars="200"/>
              <w:rPr>
                <w:bCs/>
                <w:spacing w:val="-10"/>
                <w:sz w:val="24"/>
              </w:rPr>
            </w:pPr>
            <w:r>
              <w:rPr>
                <w:rFonts w:hint="eastAsia"/>
                <w:bCs/>
                <w:spacing w:val="-10"/>
                <w:sz w:val="24"/>
              </w:rPr>
              <w:t>②设置位置和观察距离按照本标准制作要求设置相应的标志。</w:t>
            </w:r>
          </w:p>
          <w:p w14:paraId="5213B149">
            <w:pPr>
              <w:spacing w:line="360" w:lineRule="auto"/>
              <w:ind w:firstLine="440" w:firstLineChars="200"/>
              <w:rPr>
                <w:bCs/>
                <w:spacing w:val="-10"/>
                <w:sz w:val="24"/>
              </w:rPr>
            </w:pPr>
            <w:r>
              <w:rPr>
                <w:rFonts w:hint="eastAsia"/>
                <w:bCs/>
                <w:spacing w:val="-10"/>
                <w:sz w:val="24"/>
              </w:rPr>
              <w:t>③危险废物设施标志可采用附着式和柱式两种固定方式，应优先选择附着式，当无法选择附着式时，可选择柱式，</w:t>
            </w:r>
          </w:p>
          <w:p w14:paraId="40C0D8BA">
            <w:pPr>
              <w:spacing w:line="360" w:lineRule="auto"/>
              <w:ind w:firstLine="440" w:firstLineChars="200"/>
              <w:rPr>
                <w:bCs/>
                <w:spacing w:val="-10"/>
                <w:sz w:val="24"/>
              </w:rPr>
            </w:pPr>
            <w:r>
              <w:rPr>
                <w:rFonts w:hint="eastAsia"/>
                <w:bCs/>
                <w:spacing w:val="-10"/>
                <w:sz w:val="24"/>
              </w:rPr>
              <w:t>④附着式标志的设置高度，应尽量与视线高度一致；柱式的标志和支架应牢固地联接在一起，标志牌最上端距地面约2m；位于室外的标志牌中，支架固定在地下的，其支架埋深约0.3m。</w:t>
            </w:r>
          </w:p>
          <w:p w14:paraId="52DA4CF3">
            <w:pPr>
              <w:spacing w:line="360" w:lineRule="auto"/>
              <w:ind w:firstLine="442" w:firstLineChars="200"/>
              <w:rPr>
                <w:b/>
                <w:bCs/>
                <w:spacing w:val="-10"/>
                <w:sz w:val="24"/>
              </w:rPr>
            </w:pPr>
            <w:r>
              <w:rPr>
                <w:rFonts w:hint="eastAsia"/>
                <w:b/>
                <w:bCs/>
                <w:spacing w:val="-10"/>
                <w:sz w:val="24"/>
              </w:rPr>
              <w:t>五</w:t>
            </w:r>
            <w:r>
              <w:rPr>
                <w:b/>
                <w:bCs/>
                <w:spacing w:val="-10"/>
                <w:sz w:val="24"/>
              </w:rPr>
              <w:t>、地下水及土壤环境</w:t>
            </w:r>
          </w:p>
          <w:p w14:paraId="644C78F6">
            <w:pPr>
              <w:spacing w:line="360" w:lineRule="auto"/>
              <w:ind w:firstLine="440" w:firstLineChars="200"/>
              <w:rPr>
                <w:bCs/>
                <w:spacing w:val="-10"/>
                <w:sz w:val="24"/>
              </w:rPr>
            </w:pPr>
            <w:r>
              <w:rPr>
                <w:rFonts w:hint="eastAsia"/>
                <w:bCs/>
                <w:spacing w:val="-10"/>
                <w:sz w:val="24"/>
              </w:rPr>
              <w:t>项目所用到的原料及产品均不属于风险物质，但生产过程中机械维护保养产生的废润滑油等危废属于风险物质。因此，危废暂存间采取重点防渗措施，防渗层采用2mm厚高密度聚乙烯，渗透系数≤10</w:t>
            </w:r>
            <w:r>
              <w:rPr>
                <w:rFonts w:hint="eastAsia"/>
                <w:bCs/>
                <w:spacing w:val="-10"/>
                <w:sz w:val="24"/>
                <w:vertAlign w:val="superscript"/>
              </w:rPr>
              <w:t>-10</w:t>
            </w:r>
            <w:r>
              <w:rPr>
                <w:rFonts w:hint="eastAsia"/>
                <w:bCs/>
                <w:spacing w:val="-10"/>
                <w:sz w:val="24"/>
              </w:rPr>
              <w:t>cm/s；并设置托盘，一旦发生泄漏，废油类物质可进入托盘内收集，不会对周边的地下水、土壤产生影响</w:t>
            </w:r>
            <w:r>
              <w:rPr>
                <w:bCs/>
                <w:spacing w:val="-10"/>
                <w:sz w:val="24"/>
              </w:rPr>
              <w:t>。</w:t>
            </w:r>
          </w:p>
          <w:p w14:paraId="014736FD">
            <w:pPr>
              <w:pStyle w:val="2"/>
              <w:adjustRightInd/>
              <w:spacing w:line="360" w:lineRule="auto"/>
              <w:ind w:firstLine="482" w:firstLineChars="200"/>
              <w:jc w:val="both"/>
              <w:rPr>
                <w:rFonts w:ascii="Times New Roman" w:cs="Times New Roman"/>
                <w:color w:val="auto"/>
              </w:rPr>
            </w:pPr>
            <w:r>
              <w:rPr>
                <w:rFonts w:ascii="Times New Roman" w:cs="Times New Roman"/>
                <w:b/>
                <w:color w:val="auto"/>
              </w:rPr>
              <w:t>六、环境风险</w:t>
            </w:r>
          </w:p>
          <w:p w14:paraId="6666BA07">
            <w:pPr>
              <w:spacing w:line="360" w:lineRule="auto"/>
              <w:ind w:firstLine="480" w:firstLineChars="200"/>
              <w:rPr>
                <w:sz w:val="24"/>
              </w:rPr>
            </w:pPr>
            <w:r>
              <w:rPr>
                <w:rFonts w:hint="eastAsia"/>
                <w:sz w:val="24"/>
              </w:rPr>
              <w:t>根据《建设项目环境风险评价技术导则》（HJ 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6B8C0980">
            <w:pPr>
              <w:spacing w:line="360" w:lineRule="auto"/>
              <w:ind w:firstLine="482" w:firstLineChars="200"/>
              <w:rPr>
                <w:b/>
                <w:sz w:val="24"/>
              </w:rPr>
            </w:pPr>
            <w:r>
              <w:rPr>
                <w:rFonts w:hint="eastAsia"/>
                <w:b/>
                <w:sz w:val="24"/>
              </w:rPr>
              <w:t>1、评价依据</w:t>
            </w:r>
          </w:p>
          <w:p w14:paraId="6D3FDDEA">
            <w:pPr>
              <w:spacing w:line="360" w:lineRule="auto"/>
              <w:ind w:firstLine="480" w:firstLineChars="200"/>
              <w:rPr>
                <w:sz w:val="24"/>
              </w:rPr>
            </w:pPr>
            <w:r>
              <w:rPr>
                <w:rFonts w:hint="eastAsia"/>
                <w:sz w:val="24"/>
              </w:rPr>
              <w:t>（1）风险调查</w:t>
            </w:r>
          </w:p>
          <w:p w14:paraId="143944CE">
            <w:pPr>
              <w:spacing w:line="360" w:lineRule="auto"/>
              <w:ind w:firstLine="480" w:firstLineChars="200"/>
              <w:rPr>
                <w:sz w:val="24"/>
              </w:rPr>
            </w:pPr>
            <w:r>
              <w:rPr>
                <w:rFonts w:hint="eastAsia"/>
                <w:sz w:val="24"/>
              </w:rPr>
              <w:t>通过对项目生产过程中原辅材料、产品进行分析、对比，同时参考《建设项目环境风险评价技术导则》（HJ 169－2018）附录B进行对比，本项目涉及的环境风险物质为磷化铝、甲醇、乙醇、矿物质油及危险废物（废矿物质油、</w:t>
            </w:r>
            <w:r>
              <w:rPr>
                <w:rFonts w:hint="eastAsia" w:hAnsi="宋体"/>
                <w:kern w:val="0"/>
                <w:sz w:val="24"/>
              </w:rPr>
              <w:t>熏蒸药剂使用后的残渣</w:t>
            </w:r>
            <w:r>
              <w:rPr>
                <w:rFonts w:hint="eastAsia"/>
                <w:sz w:val="24"/>
              </w:rPr>
              <w:t>）。</w:t>
            </w:r>
          </w:p>
          <w:p w14:paraId="44D3ADEC">
            <w:pPr>
              <w:spacing w:line="360" w:lineRule="auto"/>
              <w:ind w:firstLine="480" w:firstLineChars="200"/>
              <w:rPr>
                <w:sz w:val="24"/>
              </w:rPr>
            </w:pPr>
            <w:r>
              <w:rPr>
                <w:rFonts w:hint="eastAsia"/>
                <w:sz w:val="24"/>
              </w:rPr>
              <w:t>（2）风险潜势初判</w:t>
            </w:r>
          </w:p>
          <w:p w14:paraId="588B7066">
            <w:pPr>
              <w:spacing w:line="360" w:lineRule="auto"/>
              <w:ind w:firstLine="480" w:firstLineChars="200"/>
              <w:rPr>
                <w:sz w:val="24"/>
              </w:rPr>
            </w:pPr>
            <w:r>
              <w:rPr>
                <w:rFonts w:hint="eastAsia"/>
                <w:sz w:val="24"/>
              </w:rPr>
              <w:t>根据《建设项目环境风险评价技术导则》（HJ 169－2018）附录C，计算所涉及的每种危险物质在厂界内的最大存在总量与其在附录B 中对应临界量的比值Q。</w:t>
            </w:r>
          </w:p>
          <w:p w14:paraId="23776A44">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14:paraId="2358B8C1">
            <w:pPr>
              <w:autoSpaceDE w:val="0"/>
              <w:autoSpaceDN w:val="0"/>
              <w:adjustRightInd w:val="0"/>
              <w:spacing w:line="360" w:lineRule="auto"/>
              <w:ind w:firstLine="480" w:firstLineChars="200"/>
              <w:rPr>
                <w:rFonts w:eastAsiaTheme="majorEastAsia"/>
                <w:sz w:val="24"/>
              </w:rPr>
            </w:pPr>
            <w:r>
              <w:rPr>
                <w:rFonts w:hint="eastAsia" w:eastAsiaTheme="majorEastAsia"/>
                <w:sz w:val="24"/>
              </w:rPr>
              <w:t>当存在多种危险物质时，则按式（1）计算物质总量与其临界量比值（Q）：</w:t>
            </w:r>
          </w:p>
          <w:p w14:paraId="37EDDCD7">
            <w:pPr>
              <w:autoSpaceDE w:val="0"/>
              <w:autoSpaceDN w:val="0"/>
              <w:adjustRightInd w:val="0"/>
              <w:spacing w:line="360" w:lineRule="auto"/>
              <w:ind w:firstLine="480" w:firstLineChars="200"/>
              <w:jc w:val="center"/>
              <w:rPr>
                <w:rFonts w:eastAsiaTheme="majorEastAsia"/>
                <w:sz w:val="24"/>
              </w:rPr>
            </w:pPr>
            <w:r>
              <w:rPr>
                <w:rFonts w:eastAsiaTheme="majorEastAsia"/>
                <w:sz w:val="24"/>
              </w:rPr>
              <w:drawing>
                <wp:inline distT="0" distB="0" distL="0" distR="0">
                  <wp:extent cx="1733550" cy="4857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21"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14:paraId="150A706D">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14:paraId="3974A74A">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14:paraId="2D7DBDE2">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14:paraId="06C98823">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14:paraId="7E7BEB85">
            <w:pPr>
              <w:pStyle w:val="2"/>
              <w:spacing w:line="360" w:lineRule="auto"/>
              <w:ind w:firstLine="480" w:firstLineChars="200"/>
              <w:jc w:val="both"/>
              <w:rPr>
                <w:rFonts w:ascii="Times New Roman" w:cs="Times New Roman"/>
                <w:color w:val="auto"/>
              </w:rPr>
            </w:pPr>
            <w:r>
              <w:rPr>
                <w:rFonts w:hint="eastAsia" w:ascii="Times New Roman" w:cs="Times New Roman"/>
                <w:color w:val="auto"/>
              </w:rPr>
              <w:t>改扩建</w:t>
            </w:r>
            <w:r>
              <w:rPr>
                <w:rFonts w:ascii="Times New Roman" w:cs="Times New Roman"/>
                <w:color w:val="auto"/>
              </w:rPr>
              <w:t>完成后，项目危险物质数量与临界量比值（Q）计算结果</w:t>
            </w:r>
            <w:r>
              <w:rPr>
                <w:rFonts w:ascii="Times New Roman" w:cs="Times New Roman"/>
                <w:color w:val="auto"/>
                <w:lang w:val="en-GB"/>
              </w:rPr>
              <w:t>见表</w:t>
            </w:r>
            <w:r>
              <w:rPr>
                <w:rFonts w:ascii="Times New Roman" w:cs="Times New Roman"/>
                <w:color w:val="auto"/>
              </w:rPr>
              <w:t>4-2</w:t>
            </w:r>
            <w:r>
              <w:rPr>
                <w:rFonts w:hint="eastAsia" w:ascii="Times New Roman" w:cs="Times New Roman"/>
                <w:color w:val="auto"/>
              </w:rPr>
              <w:t>0</w:t>
            </w:r>
            <w:r>
              <w:rPr>
                <w:rFonts w:ascii="Times New Roman" w:cs="Times New Roman"/>
                <w:color w:val="auto"/>
              </w:rPr>
              <w:t>。</w:t>
            </w:r>
          </w:p>
          <w:p w14:paraId="5CAE9A51">
            <w:pPr>
              <w:pStyle w:val="13"/>
              <w:spacing w:before="120" w:beforeLines="50"/>
              <w:rPr>
                <w:rFonts w:ascii="Times New Roman" w:hAnsi="Times New Roman"/>
                <w:color w:val="auto"/>
                <w:sz w:val="21"/>
              </w:rPr>
            </w:pPr>
            <w:r>
              <w:rPr>
                <w:rFonts w:ascii="Times New Roman" w:hAnsi="Times New Roman"/>
                <w:color w:val="auto"/>
                <w:sz w:val="21"/>
              </w:rPr>
              <w:t>表4-2</w:t>
            </w:r>
            <w:r>
              <w:rPr>
                <w:rFonts w:hint="eastAsia" w:ascii="Times New Roman" w:hAnsi="Times New Roman"/>
                <w:color w:val="auto"/>
                <w:sz w:val="21"/>
              </w:rPr>
              <w:t>0</w:t>
            </w:r>
            <w:r>
              <w:rPr>
                <w:rFonts w:ascii="Times New Roman" w:hAnsi="Times New Roman"/>
                <w:color w:val="auto"/>
                <w:sz w:val="21"/>
              </w:rPr>
              <w:t xml:space="preserve">  重大污染源辨识一览表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5"/>
              <w:gridCol w:w="2180"/>
              <w:gridCol w:w="1418"/>
              <w:gridCol w:w="1418"/>
              <w:gridCol w:w="2687"/>
            </w:tblGrid>
            <w:tr w14:paraId="54D6D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75C7B9E7">
                  <w:pPr>
                    <w:pStyle w:val="27"/>
                    <w:spacing w:after="0"/>
                    <w:ind w:firstLine="0" w:firstLineChars="0"/>
                    <w:jc w:val="center"/>
                    <w:rPr>
                      <w:rFonts w:ascii="Times New Roman" w:hAnsi="Times New Roman"/>
                      <w:b/>
                      <w:bCs/>
                      <w:szCs w:val="21"/>
                    </w:rPr>
                  </w:pPr>
                  <w:r>
                    <w:rPr>
                      <w:rFonts w:ascii="Times New Roman" w:hAnsi="Times New Roman"/>
                      <w:b/>
                      <w:bCs/>
                      <w:szCs w:val="21"/>
                    </w:rPr>
                    <w:t>名称</w:t>
                  </w:r>
                </w:p>
              </w:tc>
              <w:tc>
                <w:tcPr>
                  <w:tcW w:w="1161" w:type="pct"/>
                  <w:vAlign w:val="center"/>
                </w:tcPr>
                <w:p w14:paraId="5672693D">
                  <w:pPr>
                    <w:pStyle w:val="27"/>
                    <w:spacing w:after="0"/>
                    <w:ind w:firstLine="0" w:firstLineChars="0"/>
                    <w:jc w:val="center"/>
                    <w:rPr>
                      <w:rFonts w:ascii="Times New Roman" w:hAnsi="Times New Roman"/>
                      <w:b/>
                      <w:bCs/>
                      <w:szCs w:val="21"/>
                    </w:rPr>
                  </w:pPr>
                  <w:r>
                    <w:rPr>
                      <w:rFonts w:ascii="Times New Roman" w:hAnsi="Times New Roman"/>
                      <w:b/>
                      <w:bCs/>
                      <w:szCs w:val="21"/>
                    </w:rPr>
                    <w:t>最大贮存量t</w:t>
                  </w:r>
                </w:p>
              </w:tc>
              <w:tc>
                <w:tcPr>
                  <w:tcW w:w="754" w:type="pct"/>
                  <w:vAlign w:val="center"/>
                </w:tcPr>
                <w:p w14:paraId="440D76F4">
                  <w:pPr>
                    <w:pStyle w:val="27"/>
                    <w:spacing w:after="0"/>
                    <w:ind w:firstLine="0" w:firstLineChars="0"/>
                    <w:jc w:val="center"/>
                    <w:rPr>
                      <w:rFonts w:ascii="Times New Roman" w:hAnsi="Times New Roman"/>
                      <w:b/>
                      <w:bCs/>
                      <w:szCs w:val="21"/>
                    </w:rPr>
                  </w:pPr>
                  <w:r>
                    <w:rPr>
                      <w:rFonts w:ascii="Times New Roman" w:hAnsi="Times New Roman"/>
                      <w:b/>
                      <w:bCs/>
                      <w:szCs w:val="21"/>
                    </w:rPr>
                    <w:t>临界量t</w:t>
                  </w:r>
                </w:p>
              </w:tc>
              <w:tc>
                <w:tcPr>
                  <w:tcW w:w="755" w:type="pct"/>
                  <w:vAlign w:val="center"/>
                </w:tcPr>
                <w:p w14:paraId="12F60340">
                  <w:pPr>
                    <w:pStyle w:val="27"/>
                    <w:spacing w:after="0"/>
                    <w:ind w:firstLine="0" w:firstLineChars="0"/>
                    <w:jc w:val="center"/>
                    <w:rPr>
                      <w:rFonts w:ascii="Times New Roman" w:hAnsi="Times New Roman"/>
                      <w:b/>
                      <w:bCs/>
                      <w:szCs w:val="21"/>
                    </w:rPr>
                  </w:pPr>
                  <w:r>
                    <w:rPr>
                      <w:rFonts w:ascii="Times New Roman" w:hAnsi="Times New Roman"/>
                      <w:b/>
                      <w:bCs/>
                      <w:szCs w:val="21"/>
                    </w:rPr>
                    <w:t>q/Q</w:t>
                  </w:r>
                </w:p>
              </w:tc>
              <w:tc>
                <w:tcPr>
                  <w:tcW w:w="1431" w:type="pct"/>
                  <w:vAlign w:val="center"/>
                </w:tcPr>
                <w:p w14:paraId="5E6D20F9">
                  <w:pPr>
                    <w:pStyle w:val="27"/>
                    <w:spacing w:after="0"/>
                    <w:ind w:firstLine="0" w:firstLineChars="0"/>
                    <w:jc w:val="center"/>
                    <w:rPr>
                      <w:rFonts w:ascii="Times New Roman" w:hAnsi="Times New Roman"/>
                      <w:b/>
                      <w:bCs/>
                      <w:szCs w:val="21"/>
                    </w:rPr>
                  </w:pPr>
                  <w:r>
                    <w:rPr>
                      <w:rFonts w:ascii="Times New Roman" w:hAnsi="Times New Roman"/>
                      <w:b/>
                      <w:bCs/>
                      <w:szCs w:val="21"/>
                    </w:rPr>
                    <w:t>备注</w:t>
                  </w:r>
                </w:p>
              </w:tc>
            </w:tr>
            <w:tr w14:paraId="5BD8B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674DD7EA">
                  <w:pPr>
                    <w:pStyle w:val="27"/>
                    <w:spacing w:after="0"/>
                    <w:ind w:firstLine="0" w:firstLineChars="0"/>
                    <w:jc w:val="center"/>
                    <w:rPr>
                      <w:rFonts w:ascii="Times New Roman" w:hAnsi="Times New Roman"/>
                      <w:szCs w:val="21"/>
                    </w:rPr>
                  </w:pPr>
                  <w:r>
                    <w:rPr>
                      <w:rFonts w:ascii="Times New Roman" w:hAnsi="Times New Roman"/>
                      <w:szCs w:val="21"/>
                    </w:rPr>
                    <w:t>磷化铝</w:t>
                  </w:r>
                </w:p>
              </w:tc>
              <w:tc>
                <w:tcPr>
                  <w:tcW w:w="1161" w:type="pct"/>
                  <w:vAlign w:val="center"/>
                </w:tcPr>
                <w:p w14:paraId="56B835E3">
                  <w:pPr>
                    <w:pStyle w:val="27"/>
                    <w:spacing w:after="0"/>
                    <w:ind w:firstLine="0" w:firstLineChars="0"/>
                    <w:jc w:val="center"/>
                    <w:rPr>
                      <w:rFonts w:ascii="Times New Roman" w:hAnsi="Times New Roman"/>
                      <w:szCs w:val="21"/>
                    </w:rPr>
                  </w:pPr>
                  <w:r>
                    <w:rPr>
                      <w:rFonts w:hint="eastAsia" w:ascii="Times New Roman" w:hAnsi="Times New Roman"/>
                      <w:szCs w:val="21"/>
                    </w:rPr>
                    <w:t>0.05</w:t>
                  </w:r>
                </w:p>
              </w:tc>
              <w:tc>
                <w:tcPr>
                  <w:tcW w:w="754" w:type="pct"/>
                  <w:vAlign w:val="center"/>
                </w:tcPr>
                <w:p w14:paraId="21CC0676">
                  <w:pPr>
                    <w:pStyle w:val="27"/>
                    <w:spacing w:after="0"/>
                    <w:ind w:firstLine="0" w:firstLineChars="0"/>
                    <w:jc w:val="center"/>
                    <w:rPr>
                      <w:rFonts w:ascii="Times New Roman" w:hAnsi="Times New Roman"/>
                      <w:szCs w:val="21"/>
                    </w:rPr>
                  </w:pPr>
                  <w:r>
                    <w:rPr>
                      <w:rFonts w:hint="eastAsia" w:ascii="Times New Roman" w:hAnsi="Times New Roman"/>
                      <w:szCs w:val="21"/>
                    </w:rPr>
                    <w:t>5</w:t>
                  </w:r>
                </w:p>
              </w:tc>
              <w:tc>
                <w:tcPr>
                  <w:tcW w:w="755" w:type="pct"/>
                  <w:vAlign w:val="center"/>
                </w:tcPr>
                <w:p w14:paraId="74867326">
                  <w:pPr>
                    <w:pStyle w:val="27"/>
                    <w:spacing w:after="0"/>
                    <w:ind w:firstLine="0" w:firstLineChars="0"/>
                    <w:jc w:val="center"/>
                    <w:rPr>
                      <w:rFonts w:ascii="Times New Roman" w:hAnsi="Times New Roman"/>
                      <w:szCs w:val="21"/>
                    </w:rPr>
                  </w:pPr>
                  <w:r>
                    <w:rPr>
                      <w:rFonts w:hint="eastAsia" w:ascii="Times New Roman" w:hAnsi="Times New Roman"/>
                      <w:szCs w:val="21"/>
                    </w:rPr>
                    <w:t>0.01</w:t>
                  </w:r>
                </w:p>
              </w:tc>
              <w:tc>
                <w:tcPr>
                  <w:tcW w:w="1431" w:type="pct"/>
                  <w:vAlign w:val="center"/>
                </w:tcPr>
                <w:p w14:paraId="6FAA412A">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386</w:t>
                  </w:r>
                </w:p>
              </w:tc>
            </w:tr>
            <w:tr w14:paraId="14DDB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08848A35">
                  <w:pPr>
                    <w:pStyle w:val="27"/>
                    <w:spacing w:after="0"/>
                    <w:ind w:firstLine="0" w:firstLineChars="0"/>
                    <w:jc w:val="center"/>
                    <w:rPr>
                      <w:rFonts w:ascii="Times New Roman" w:hAnsi="Times New Roman"/>
                      <w:szCs w:val="21"/>
                    </w:rPr>
                  </w:pPr>
                  <w:r>
                    <w:rPr>
                      <w:rFonts w:ascii="Times New Roman" w:hAnsi="Times New Roman"/>
                      <w:szCs w:val="21"/>
                    </w:rPr>
                    <w:t>甲醇</w:t>
                  </w:r>
                </w:p>
              </w:tc>
              <w:tc>
                <w:tcPr>
                  <w:tcW w:w="1161" w:type="pct"/>
                  <w:vAlign w:val="center"/>
                </w:tcPr>
                <w:p w14:paraId="00AA7288">
                  <w:pPr>
                    <w:pStyle w:val="27"/>
                    <w:spacing w:after="0"/>
                    <w:ind w:firstLine="0" w:firstLineChars="0"/>
                    <w:jc w:val="center"/>
                    <w:rPr>
                      <w:rFonts w:ascii="Times New Roman" w:hAnsi="Times New Roman"/>
                      <w:szCs w:val="21"/>
                    </w:rPr>
                  </w:pPr>
                  <w:r>
                    <w:rPr>
                      <w:rFonts w:hint="eastAsia" w:ascii="Times New Roman" w:hAnsi="Times New Roman"/>
                      <w:szCs w:val="21"/>
                    </w:rPr>
                    <w:t>1000ml（约0.00079t）</w:t>
                  </w:r>
                </w:p>
              </w:tc>
              <w:tc>
                <w:tcPr>
                  <w:tcW w:w="754" w:type="pct"/>
                  <w:vAlign w:val="center"/>
                </w:tcPr>
                <w:p w14:paraId="0336C47B">
                  <w:pPr>
                    <w:pStyle w:val="27"/>
                    <w:spacing w:after="0"/>
                    <w:ind w:firstLine="0" w:firstLineChars="0"/>
                    <w:jc w:val="center"/>
                    <w:rPr>
                      <w:rFonts w:ascii="Times New Roman" w:hAnsi="Times New Roman"/>
                      <w:szCs w:val="21"/>
                    </w:rPr>
                  </w:pPr>
                  <w:r>
                    <w:rPr>
                      <w:rFonts w:hint="eastAsia" w:ascii="Times New Roman" w:hAnsi="Times New Roman"/>
                      <w:szCs w:val="21"/>
                    </w:rPr>
                    <w:t>10</w:t>
                  </w:r>
                </w:p>
              </w:tc>
              <w:tc>
                <w:tcPr>
                  <w:tcW w:w="755" w:type="pct"/>
                  <w:vAlign w:val="center"/>
                </w:tcPr>
                <w:p w14:paraId="7E2671C9">
                  <w:pPr>
                    <w:pStyle w:val="27"/>
                    <w:spacing w:after="0"/>
                    <w:ind w:firstLine="0" w:firstLineChars="0"/>
                    <w:jc w:val="center"/>
                    <w:rPr>
                      <w:rFonts w:ascii="Times New Roman" w:hAnsi="Times New Roman"/>
                      <w:szCs w:val="21"/>
                    </w:rPr>
                  </w:pPr>
                  <w:r>
                    <w:rPr>
                      <w:rFonts w:hint="eastAsia" w:ascii="Times New Roman" w:hAnsi="Times New Roman"/>
                      <w:szCs w:val="21"/>
                    </w:rPr>
                    <w:t>0.000079</w:t>
                  </w:r>
                </w:p>
              </w:tc>
              <w:tc>
                <w:tcPr>
                  <w:tcW w:w="1431" w:type="pct"/>
                  <w:vAlign w:val="center"/>
                </w:tcPr>
                <w:p w14:paraId="6AB1C227">
                  <w:pPr>
                    <w:pStyle w:val="27"/>
                    <w:spacing w:after="0"/>
                    <w:ind w:firstLine="0" w:firstLineChars="0"/>
                    <w:jc w:val="center"/>
                    <w:rPr>
                      <w:rFonts w:ascii="Times New Roman" w:hAnsi="Times New Roman"/>
                      <w:szCs w:val="21"/>
                    </w:rPr>
                  </w:pPr>
                  <w:r>
                    <w:rPr>
                      <w:rFonts w:hint="eastAsia" w:ascii="Times New Roman" w:hAnsi="Times New Roman"/>
                      <w:szCs w:val="21"/>
                    </w:rPr>
                    <w:t>67-56-1</w:t>
                  </w:r>
                </w:p>
              </w:tc>
            </w:tr>
            <w:tr w14:paraId="6CA8E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44CDA5BA">
                  <w:pPr>
                    <w:pStyle w:val="27"/>
                    <w:spacing w:after="0"/>
                    <w:ind w:firstLine="0" w:firstLineChars="0"/>
                    <w:jc w:val="center"/>
                    <w:rPr>
                      <w:rFonts w:ascii="Times New Roman" w:hAnsi="Times New Roman"/>
                      <w:szCs w:val="21"/>
                    </w:rPr>
                  </w:pPr>
                  <w:r>
                    <w:rPr>
                      <w:rFonts w:ascii="Times New Roman" w:hAnsi="Times New Roman"/>
                      <w:szCs w:val="21"/>
                    </w:rPr>
                    <w:t>乙醇</w:t>
                  </w:r>
                </w:p>
              </w:tc>
              <w:tc>
                <w:tcPr>
                  <w:tcW w:w="1161" w:type="pct"/>
                  <w:vAlign w:val="center"/>
                </w:tcPr>
                <w:p w14:paraId="198E22D3">
                  <w:pPr>
                    <w:pStyle w:val="27"/>
                    <w:spacing w:after="0"/>
                    <w:ind w:firstLine="0" w:firstLineChars="0"/>
                    <w:jc w:val="center"/>
                    <w:rPr>
                      <w:rFonts w:ascii="Times New Roman" w:hAnsi="Times New Roman"/>
                      <w:szCs w:val="21"/>
                    </w:rPr>
                  </w:pPr>
                  <w:r>
                    <w:rPr>
                      <w:rFonts w:hint="eastAsia" w:ascii="Times New Roman" w:hAnsi="Times New Roman"/>
                      <w:szCs w:val="21"/>
                    </w:rPr>
                    <w:t>1500ml（约0.0012t）</w:t>
                  </w:r>
                </w:p>
              </w:tc>
              <w:tc>
                <w:tcPr>
                  <w:tcW w:w="754" w:type="pct"/>
                  <w:vAlign w:val="center"/>
                </w:tcPr>
                <w:p w14:paraId="202748E5">
                  <w:pPr>
                    <w:pStyle w:val="27"/>
                    <w:spacing w:after="0"/>
                    <w:ind w:firstLine="0" w:firstLineChars="0"/>
                    <w:jc w:val="center"/>
                    <w:rPr>
                      <w:rFonts w:ascii="Times New Roman" w:hAnsi="Times New Roman"/>
                      <w:szCs w:val="21"/>
                    </w:rPr>
                  </w:pPr>
                  <w:r>
                    <w:rPr>
                      <w:rFonts w:hint="eastAsia" w:ascii="Times New Roman" w:hAnsi="Times New Roman"/>
                      <w:szCs w:val="21"/>
                    </w:rPr>
                    <w:t>500</w:t>
                  </w:r>
                </w:p>
              </w:tc>
              <w:tc>
                <w:tcPr>
                  <w:tcW w:w="755" w:type="pct"/>
                  <w:vAlign w:val="center"/>
                </w:tcPr>
                <w:p w14:paraId="60A83F26">
                  <w:pPr>
                    <w:pStyle w:val="27"/>
                    <w:spacing w:after="0"/>
                    <w:ind w:firstLine="0" w:firstLineChars="0"/>
                    <w:jc w:val="center"/>
                    <w:rPr>
                      <w:rFonts w:ascii="Times New Roman" w:hAnsi="Times New Roman"/>
                      <w:szCs w:val="21"/>
                    </w:rPr>
                  </w:pPr>
                  <w:r>
                    <w:rPr>
                      <w:rFonts w:hint="eastAsia" w:ascii="Times New Roman" w:hAnsi="Times New Roman"/>
                      <w:szCs w:val="21"/>
                    </w:rPr>
                    <w:t>0.0000024</w:t>
                  </w:r>
                </w:p>
              </w:tc>
              <w:tc>
                <w:tcPr>
                  <w:tcW w:w="1431" w:type="pct"/>
                  <w:vAlign w:val="center"/>
                </w:tcPr>
                <w:p w14:paraId="18F5970C">
                  <w:pPr>
                    <w:pStyle w:val="27"/>
                    <w:spacing w:after="0"/>
                    <w:ind w:firstLine="0" w:firstLineChars="0"/>
                    <w:jc w:val="center"/>
                    <w:rPr>
                      <w:rFonts w:ascii="Times New Roman" w:hAnsi="Times New Roman"/>
                      <w:szCs w:val="21"/>
                    </w:rPr>
                  </w:pPr>
                  <w:r>
                    <w:rPr>
                      <w:rFonts w:hint="eastAsia" w:ascii="Times New Roman" w:hAnsi="Times New Roman"/>
                      <w:szCs w:val="21"/>
                    </w:rPr>
                    <w:t>54-17-5</w:t>
                  </w:r>
                </w:p>
              </w:tc>
            </w:tr>
            <w:tr w14:paraId="03507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684F7AFA">
                  <w:pPr>
                    <w:pStyle w:val="27"/>
                    <w:spacing w:after="0"/>
                    <w:ind w:firstLine="0" w:firstLineChars="0"/>
                    <w:jc w:val="center"/>
                    <w:rPr>
                      <w:rFonts w:ascii="Times New Roman" w:hAnsi="Times New Roman"/>
                      <w:szCs w:val="21"/>
                    </w:rPr>
                  </w:pPr>
                  <w:r>
                    <w:rPr>
                      <w:rFonts w:ascii="Times New Roman" w:hAnsi="Times New Roman"/>
                      <w:szCs w:val="21"/>
                    </w:rPr>
                    <w:t>矿物质油</w:t>
                  </w:r>
                </w:p>
              </w:tc>
              <w:tc>
                <w:tcPr>
                  <w:tcW w:w="1161" w:type="pct"/>
                  <w:vAlign w:val="center"/>
                </w:tcPr>
                <w:p w14:paraId="1D0B61C0">
                  <w:pPr>
                    <w:pStyle w:val="27"/>
                    <w:spacing w:after="0"/>
                    <w:ind w:firstLine="0" w:firstLineChars="0"/>
                    <w:jc w:val="center"/>
                    <w:rPr>
                      <w:rFonts w:ascii="Times New Roman" w:hAnsi="Times New Roman"/>
                      <w:szCs w:val="21"/>
                    </w:rPr>
                  </w:pPr>
                  <w:r>
                    <w:rPr>
                      <w:rFonts w:hint="eastAsia" w:ascii="Times New Roman" w:hAnsi="Times New Roman"/>
                      <w:szCs w:val="21"/>
                    </w:rPr>
                    <w:t>0.3</w:t>
                  </w:r>
                </w:p>
              </w:tc>
              <w:tc>
                <w:tcPr>
                  <w:tcW w:w="754" w:type="pct"/>
                  <w:vAlign w:val="center"/>
                </w:tcPr>
                <w:p w14:paraId="6F0287B8">
                  <w:pPr>
                    <w:pStyle w:val="27"/>
                    <w:spacing w:after="0"/>
                    <w:ind w:firstLine="0" w:firstLineChars="0"/>
                    <w:jc w:val="center"/>
                    <w:rPr>
                      <w:rFonts w:ascii="Times New Roman" w:hAnsi="Times New Roman"/>
                      <w:szCs w:val="21"/>
                    </w:rPr>
                  </w:pPr>
                  <w:r>
                    <w:rPr>
                      <w:rFonts w:hint="eastAsia" w:ascii="Times New Roman" w:hAnsi="Times New Roman"/>
                      <w:szCs w:val="21"/>
                    </w:rPr>
                    <w:t>2500</w:t>
                  </w:r>
                </w:p>
              </w:tc>
              <w:tc>
                <w:tcPr>
                  <w:tcW w:w="755" w:type="pct"/>
                  <w:vAlign w:val="center"/>
                </w:tcPr>
                <w:p w14:paraId="2A5558CD">
                  <w:pPr>
                    <w:pStyle w:val="27"/>
                    <w:spacing w:after="0"/>
                    <w:ind w:firstLine="0" w:firstLineChars="0"/>
                    <w:jc w:val="center"/>
                    <w:rPr>
                      <w:rFonts w:ascii="Times New Roman" w:hAnsi="Times New Roman"/>
                      <w:szCs w:val="21"/>
                    </w:rPr>
                  </w:pPr>
                  <w:r>
                    <w:rPr>
                      <w:rFonts w:hint="eastAsia" w:ascii="Times New Roman" w:hAnsi="Times New Roman"/>
                      <w:szCs w:val="21"/>
                    </w:rPr>
                    <w:t>0.00012</w:t>
                  </w:r>
                </w:p>
              </w:tc>
              <w:tc>
                <w:tcPr>
                  <w:tcW w:w="1431" w:type="pct"/>
                  <w:vAlign w:val="center"/>
                </w:tcPr>
                <w:p w14:paraId="42806CE6">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392</w:t>
                  </w:r>
                </w:p>
              </w:tc>
            </w:tr>
            <w:tr w14:paraId="2258A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558E1CE1">
                  <w:pPr>
                    <w:pStyle w:val="27"/>
                    <w:spacing w:after="0"/>
                    <w:ind w:firstLine="0" w:firstLineChars="0"/>
                    <w:jc w:val="center"/>
                    <w:rPr>
                      <w:rFonts w:ascii="Times New Roman" w:hAnsi="Times New Roman"/>
                      <w:szCs w:val="21"/>
                    </w:rPr>
                  </w:pPr>
                  <w:r>
                    <w:rPr>
                      <w:rFonts w:ascii="Times New Roman" w:hAnsi="Times New Roman"/>
                      <w:szCs w:val="21"/>
                    </w:rPr>
                    <w:t>废矿物质油</w:t>
                  </w:r>
                </w:p>
              </w:tc>
              <w:tc>
                <w:tcPr>
                  <w:tcW w:w="1161" w:type="pct"/>
                  <w:vAlign w:val="center"/>
                </w:tcPr>
                <w:p w14:paraId="24B64F09">
                  <w:pPr>
                    <w:pStyle w:val="27"/>
                    <w:spacing w:after="0"/>
                    <w:ind w:firstLine="0" w:firstLineChars="0"/>
                    <w:jc w:val="center"/>
                    <w:rPr>
                      <w:rFonts w:ascii="Times New Roman" w:hAnsi="Times New Roman"/>
                      <w:szCs w:val="21"/>
                    </w:rPr>
                  </w:pPr>
                  <w:r>
                    <w:rPr>
                      <w:rFonts w:hint="eastAsia" w:ascii="Times New Roman" w:hAnsi="Times New Roman"/>
                      <w:szCs w:val="21"/>
                    </w:rPr>
                    <w:t>0.05</w:t>
                  </w:r>
                </w:p>
              </w:tc>
              <w:tc>
                <w:tcPr>
                  <w:tcW w:w="754" w:type="pct"/>
                  <w:vAlign w:val="center"/>
                </w:tcPr>
                <w:p w14:paraId="0CCE476B">
                  <w:pPr>
                    <w:pStyle w:val="27"/>
                    <w:spacing w:after="0"/>
                    <w:ind w:firstLine="0" w:firstLineChars="0"/>
                    <w:jc w:val="center"/>
                    <w:rPr>
                      <w:rFonts w:ascii="Times New Roman" w:hAnsi="Times New Roman"/>
                      <w:szCs w:val="21"/>
                    </w:rPr>
                  </w:pPr>
                  <w:r>
                    <w:rPr>
                      <w:rFonts w:hint="eastAsia" w:ascii="Times New Roman" w:hAnsi="Times New Roman"/>
                      <w:szCs w:val="21"/>
                    </w:rPr>
                    <w:t>2500</w:t>
                  </w:r>
                </w:p>
              </w:tc>
              <w:tc>
                <w:tcPr>
                  <w:tcW w:w="755" w:type="pct"/>
                  <w:vAlign w:val="center"/>
                </w:tcPr>
                <w:p w14:paraId="3F97255D">
                  <w:pPr>
                    <w:pStyle w:val="27"/>
                    <w:spacing w:after="0"/>
                    <w:ind w:firstLine="0" w:firstLineChars="0"/>
                    <w:jc w:val="center"/>
                    <w:rPr>
                      <w:rFonts w:ascii="Times New Roman" w:hAnsi="Times New Roman"/>
                      <w:szCs w:val="21"/>
                    </w:rPr>
                  </w:pPr>
                  <w:r>
                    <w:rPr>
                      <w:rFonts w:hint="eastAsia" w:ascii="Times New Roman" w:hAnsi="Times New Roman"/>
                      <w:szCs w:val="21"/>
                    </w:rPr>
                    <w:t>0.00002</w:t>
                  </w:r>
                </w:p>
              </w:tc>
              <w:tc>
                <w:tcPr>
                  <w:tcW w:w="1431" w:type="pct"/>
                  <w:vAlign w:val="center"/>
                </w:tcPr>
                <w:p w14:paraId="223AC28A">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392</w:t>
                  </w:r>
                </w:p>
              </w:tc>
            </w:tr>
            <w:tr w14:paraId="283E2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8" w:type="pct"/>
                  <w:vAlign w:val="center"/>
                </w:tcPr>
                <w:p w14:paraId="0AC63C98">
                  <w:pPr>
                    <w:pStyle w:val="27"/>
                    <w:spacing w:after="0"/>
                    <w:ind w:firstLine="0" w:firstLineChars="0"/>
                    <w:jc w:val="center"/>
                    <w:rPr>
                      <w:rFonts w:ascii="Times New Roman" w:hAnsi="Times New Roman"/>
                      <w:szCs w:val="21"/>
                    </w:rPr>
                  </w:pPr>
                  <w:r>
                    <w:rPr>
                      <w:rFonts w:hint="eastAsia" w:ascii="Times New Roman" w:hAnsi="Times New Roman"/>
                      <w:szCs w:val="21"/>
                    </w:rPr>
                    <w:t>熏蒸药剂使用后的残渣</w:t>
                  </w:r>
                </w:p>
              </w:tc>
              <w:tc>
                <w:tcPr>
                  <w:tcW w:w="1161" w:type="pct"/>
                  <w:vAlign w:val="center"/>
                </w:tcPr>
                <w:p w14:paraId="24296DA3">
                  <w:pPr>
                    <w:pStyle w:val="27"/>
                    <w:spacing w:after="0"/>
                    <w:ind w:firstLine="0" w:firstLineChars="0"/>
                    <w:jc w:val="center"/>
                    <w:rPr>
                      <w:rFonts w:ascii="Times New Roman" w:hAnsi="Times New Roman"/>
                      <w:szCs w:val="21"/>
                    </w:rPr>
                  </w:pPr>
                  <w:r>
                    <w:rPr>
                      <w:rFonts w:hint="eastAsia" w:ascii="Times New Roman" w:hAnsi="Times New Roman"/>
                      <w:szCs w:val="21"/>
                    </w:rPr>
                    <w:t>0.05</w:t>
                  </w:r>
                </w:p>
              </w:tc>
              <w:tc>
                <w:tcPr>
                  <w:tcW w:w="754" w:type="pct"/>
                  <w:vAlign w:val="center"/>
                </w:tcPr>
                <w:p w14:paraId="6E89229E">
                  <w:pPr>
                    <w:pStyle w:val="27"/>
                    <w:spacing w:after="0"/>
                    <w:ind w:firstLine="0" w:firstLineChars="0"/>
                    <w:jc w:val="center"/>
                    <w:rPr>
                      <w:rFonts w:ascii="Times New Roman" w:hAnsi="Times New Roman"/>
                      <w:szCs w:val="21"/>
                    </w:rPr>
                  </w:pPr>
                  <w:r>
                    <w:rPr>
                      <w:rFonts w:hint="eastAsia" w:ascii="Times New Roman" w:hAnsi="Times New Roman"/>
                      <w:szCs w:val="21"/>
                    </w:rPr>
                    <w:t>5</w:t>
                  </w:r>
                </w:p>
              </w:tc>
              <w:tc>
                <w:tcPr>
                  <w:tcW w:w="755" w:type="pct"/>
                  <w:vAlign w:val="center"/>
                </w:tcPr>
                <w:p w14:paraId="7B1E10E9">
                  <w:pPr>
                    <w:pStyle w:val="27"/>
                    <w:spacing w:after="0"/>
                    <w:ind w:firstLine="0" w:firstLineChars="0"/>
                    <w:jc w:val="center"/>
                    <w:rPr>
                      <w:rFonts w:ascii="Times New Roman" w:hAnsi="Times New Roman"/>
                      <w:szCs w:val="21"/>
                    </w:rPr>
                  </w:pPr>
                  <w:r>
                    <w:rPr>
                      <w:rFonts w:hint="eastAsia" w:ascii="Times New Roman" w:hAnsi="Times New Roman"/>
                      <w:szCs w:val="21"/>
                    </w:rPr>
                    <w:t>0.01</w:t>
                  </w:r>
                </w:p>
              </w:tc>
              <w:tc>
                <w:tcPr>
                  <w:tcW w:w="1431" w:type="pct"/>
                  <w:vAlign w:val="center"/>
                </w:tcPr>
                <w:p w14:paraId="247AE818">
                  <w:pPr>
                    <w:pStyle w:val="27"/>
                    <w:spacing w:after="0"/>
                    <w:ind w:firstLine="0" w:firstLineChars="0"/>
                    <w:jc w:val="center"/>
                    <w:rPr>
                      <w:rFonts w:ascii="Times New Roman" w:hAnsi="Times New Roman"/>
                      <w:szCs w:val="21"/>
                    </w:rPr>
                  </w:pPr>
                  <w:r>
                    <w:rPr>
                      <w:rFonts w:ascii="Times New Roman" w:hAnsi="Times New Roman"/>
                      <w:szCs w:val="21"/>
                    </w:rPr>
                    <w:t>参照 HJ</w:t>
                  </w:r>
                  <w:r>
                    <w:rPr>
                      <w:rFonts w:hint="eastAsia" w:ascii="Times New Roman" w:hAnsi="Times New Roman"/>
                      <w:szCs w:val="21"/>
                    </w:rPr>
                    <w:t>941</w:t>
                  </w:r>
                  <w:r>
                    <w:rPr>
                      <w:rFonts w:ascii="Times New Roman" w:hAnsi="Times New Roman"/>
                      <w:szCs w:val="21"/>
                    </w:rPr>
                    <w:t>-2018第八部分</w:t>
                  </w:r>
                  <w:r>
                    <w:rPr>
                      <w:rFonts w:hint="eastAsia" w:ascii="Times New Roman" w:hAnsi="Times New Roman"/>
                      <w:szCs w:val="21"/>
                    </w:rPr>
                    <w:t>386</w:t>
                  </w:r>
                </w:p>
              </w:tc>
            </w:tr>
            <w:tr w14:paraId="3A806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gridSpan w:val="3"/>
                  <w:vAlign w:val="center"/>
                </w:tcPr>
                <w:p w14:paraId="370ACB47">
                  <w:pPr>
                    <w:pStyle w:val="27"/>
                    <w:spacing w:after="0"/>
                    <w:ind w:firstLine="0" w:firstLineChars="0"/>
                    <w:jc w:val="center"/>
                    <w:rPr>
                      <w:rFonts w:ascii="Times New Roman" w:hAnsi="Times New Roman"/>
                      <w:szCs w:val="21"/>
                    </w:rPr>
                  </w:pPr>
                  <w:r>
                    <w:rPr>
                      <w:rFonts w:ascii="Times New Roman" w:hAnsi="Times New Roman"/>
                      <w:szCs w:val="21"/>
                    </w:rPr>
                    <w:t>总计</w:t>
                  </w:r>
                </w:p>
              </w:tc>
              <w:tc>
                <w:tcPr>
                  <w:tcW w:w="755" w:type="pct"/>
                  <w:vAlign w:val="center"/>
                </w:tcPr>
                <w:p w14:paraId="7CDC32DD">
                  <w:pPr>
                    <w:pStyle w:val="27"/>
                    <w:spacing w:after="0"/>
                    <w:ind w:firstLine="0" w:firstLineChars="0"/>
                    <w:jc w:val="center"/>
                    <w:rPr>
                      <w:rFonts w:ascii="Times New Roman" w:hAnsi="Times New Roman"/>
                      <w:szCs w:val="21"/>
                    </w:rPr>
                  </w:pPr>
                  <w:r>
                    <w:rPr>
                      <w:rFonts w:ascii="Times New Roman" w:hAnsi="Times New Roman"/>
                      <w:szCs w:val="21"/>
                    </w:rPr>
                    <w:t>0.0</w:t>
                  </w:r>
                  <w:r>
                    <w:rPr>
                      <w:rFonts w:hint="eastAsia" w:ascii="Times New Roman" w:hAnsi="Times New Roman"/>
                      <w:szCs w:val="21"/>
                    </w:rPr>
                    <w:t>202214</w:t>
                  </w:r>
                </w:p>
              </w:tc>
              <w:tc>
                <w:tcPr>
                  <w:tcW w:w="1431" w:type="pct"/>
                  <w:vAlign w:val="center"/>
                </w:tcPr>
                <w:p w14:paraId="4A45F24D">
                  <w:pPr>
                    <w:pStyle w:val="27"/>
                    <w:spacing w:after="0"/>
                    <w:ind w:firstLine="0" w:firstLineChars="0"/>
                    <w:jc w:val="center"/>
                    <w:rPr>
                      <w:rFonts w:ascii="Times New Roman" w:hAnsi="Times New Roman"/>
                      <w:szCs w:val="21"/>
                    </w:rPr>
                  </w:pPr>
                </w:p>
              </w:tc>
            </w:tr>
          </w:tbl>
          <w:p w14:paraId="2A83CACD">
            <w:pPr>
              <w:spacing w:line="360" w:lineRule="auto"/>
              <w:ind w:firstLine="480" w:firstLineChars="200"/>
              <w:rPr>
                <w:sz w:val="24"/>
              </w:rPr>
            </w:pPr>
            <w:r>
              <w:rPr>
                <w:sz w:val="24"/>
              </w:rPr>
              <w:t>由表可知，本项目环境风险物质最大存在数量与临界量比值为0.0</w:t>
            </w:r>
            <w:r>
              <w:rPr>
                <w:rFonts w:hint="eastAsia"/>
                <w:sz w:val="24"/>
              </w:rPr>
              <w:t>202214</w:t>
            </w:r>
            <w:r>
              <w:rPr>
                <w:sz w:val="24"/>
              </w:rPr>
              <w:t>（Q＜1），故该项目环境风险潜势为Ⅰ。</w:t>
            </w:r>
          </w:p>
          <w:p w14:paraId="775300AA">
            <w:pPr>
              <w:spacing w:line="360" w:lineRule="auto"/>
              <w:ind w:firstLine="480" w:firstLineChars="200"/>
              <w:rPr>
                <w:sz w:val="24"/>
              </w:rPr>
            </w:pPr>
            <w:r>
              <w:rPr>
                <w:rFonts w:hint="eastAsia"/>
                <w:sz w:val="24"/>
              </w:rPr>
              <w:t>（3）评价工作等级</w:t>
            </w:r>
          </w:p>
          <w:p w14:paraId="7F13858A">
            <w:pPr>
              <w:spacing w:line="360" w:lineRule="auto"/>
              <w:ind w:firstLine="480" w:firstLineChars="200"/>
              <w:rPr>
                <w:sz w:val="24"/>
              </w:rPr>
            </w:pPr>
            <w:r>
              <w:rPr>
                <w:rFonts w:hint="eastAsia"/>
                <w:sz w:val="24"/>
              </w:rPr>
              <w:t>根据项目危险物质数量与临界量的比值Q，对比《建设项目环境风险评价技术导则》（HJ/T169-2018）表1，可知项目环境风险评价工作等级为简单分析。</w:t>
            </w:r>
          </w:p>
          <w:p w14:paraId="0D4E27CD">
            <w:pPr>
              <w:spacing w:before="120" w:beforeLines="50"/>
              <w:jc w:val="center"/>
              <w:rPr>
                <w:b/>
                <w:szCs w:val="21"/>
              </w:rPr>
            </w:pPr>
            <w:r>
              <w:rPr>
                <w:b/>
                <w:szCs w:val="21"/>
              </w:rPr>
              <w:t>表4-</w:t>
            </w:r>
            <w:r>
              <w:rPr>
                <w:rFonts w:hint="eastAsia"/>
                <w:b/>
                <w:szCs w:val="21"/>
              </w:rPr>
              <w:t xml:space="preserve">21 </w:t>
            </w:r>
            <w:r>
              <w:rPr>
                <w:b/>
                <w:szCs w:val="21"/>
              </w:rPr>
              <w:t xml:space="preserve"> 评价工作等级划分</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35"/>
              <w:gridCol w:w="1626"/>
              <w:gridCol w:w="1910"/>
              <w:gridCol w:w="1697"/>
              <w:gridCol w:w="2120"/>
            </w:tblGrid>
            <w:tr w14:paraId="2989B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360798F8">
                  <w:pPr>
                    <w:adjustRightInd w:val="0"/>
                    <w:snapToGrid w:val="0"/>
                    <w:jc w:val="center"/>
                    <w:rPr>
                      <w:b/>
                      <w:bCs/>
                      <w:szCs w:val="21"/>
                    </w:rPr>
                  </w:pPr>
                  <w:r>
                    <w:rPr>
                      <w:b/>
                      <w:bCs/>
                      <w:szCs w:val="21"/>
                    </w:rPr>
                    <w:t>环境风险潜势</w:t>
                  </w:r>
                </w:p>
              </w:tc>
              <w:tc>
                <w:tcPr>
                  <w:tcW w:w="866" w:type="pct"/>
                  <w:vAlign w:val="center"/>
                </w:tcPr>
                <w:p w14:paraId="1FC7C5AF">
                  <w:pPr>
                    <w:adjustRightInd w:val="0"/>
                    <w:snapToGrid w:val="0"/>
                    <w:jc w:val="center"/>
                    <w:rPr>
                      <w:b/>
                      <w:bCs/>
                      <w:szCs w:val="21"/>
                    </w:rPr>
                  </w:pP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rPr>
                    <w:t>、</w:t>
                  </w:r>
                  <w:r>
                    <w:rPr>
                      <w:b/>
                      <w:bCs/>
                      <w:szCs w:val="21"/>
                    </w:rPr>
                    <w:fldChar w:fldCharType="begin"/>
                  </w:r>
                  <w:r>
                    <w:rPr>
                      <w:b/>
                      <w:bCs/>
                      <w:szCs w:val="21"/>
                    </w:rPr>
                    <w:instrText xml:space="preserve"> = 4 \* ROMAN </w:instrText>
                  </w:r>
                  <w:r>
                    <w:rPr>
                      <w:b/>
                      <w:bCs/>
                      <w:szCs w:val="21"/>
                    </w:rPr>
                    <w:fldChar w:fldCharType="separate"/>
                  </w:r>
                  <w:r>
                    <w:rPr>
                      <w:b/>
                      <w:bCs/>
                      <w:szCs w:val="21"/>
                    </w:rPr>
                    <w:t>IV</w:t>
                  </w:r>
                  <w:r>
                    <w:rPr>
                      <w:b/>
                      <w:bCs/>
                      <w:szCs w:val="21"/>
                    </w:rPr>
                    <w:fldChar w:fldCharType="end"/>
                  </w:r>
                  <w:r>
                    <w:rPr>
                      <w:b/>
                      <w:bCs/>
                      <w:szCs w:val="21"/>
                      <w:vertAlign w:val="superscript"/>
                    </w:rPr>
                    <w:t>+</w:t>
                  </w:r>
                </w:p>
              </w:tc>
              <w:tc>
                <w:tcPr>
                  <w:tcW w:w="1017" w:type="pct"/>
                  <w:vAlign w:val="center"/>
                </w:tcPr>
                <w:p w14:paraId="47271E23">
                  <w:pPr>
                    <w:adjustRightInd w:val="0"/>
                    <w:snapToGrid w:val="0"/>
                    <w:jc w:val="center"/>
                    <w:rPr>
                      <w:b/>
                      <w:bCs/>
                      <w:szCs w:val="21"/>
                    </w:rPr>
                  </w:pPr>
                  <w:r>
                    <w:rPr>
                      <w:b/>
                      <w:bCs/>
                      <w:szCs w:val="21"/>
                    </w:rPr>
                    <w:fldChar w:fldCharType="begin"/>
                  </w:r>
                  <w:r>
                    <w:rPr>
                      <w:b/>
                      <w:bCs/>
                      <w:szCs w:val="21"/>
                    </w:rPr>
                    <w:instrText xml:space="preserve"> = 3 \* ROMAN </w:instrText>
                  </w:r>
                  <w:r>
                    <w:rPr>
                      <w:b/>
                      <w:bCs/>
                      <w:szCs w:val="21"/>
                    </w:rPr>
                    <w:fldChar w:fldCharType="separate"/>
                  </w:r>
                  <w:r>
                    <w:rPr>
                      <w:b/>
                      <w:bCs/>
                      <w:szCs w:val="21"/>
                    </w:rPr>
                    <w:t>III</w:t>
                  </w:r>
                  <w:r>
                    <w:rPr>
                      <w:b/>
                      <w:bCs/>
                      <w:szCs w:val="21"/>
                    </w:rPr>
                    <w:fldChar w:fldCharType="end"/>
                  </w:r>
                </w:p>
              </w:tc>
              <w:tc>
                <w:tcPr>
                  <w:tcW w:w="904" w:type="pct"/>
                  <w:vAlign w:val="center"/>
                </w:tcPr>
                <w:p w14:paraId="1D21D9EE">
                  <w:pPr>
                    <w:adjustRightInd w:val="0"/>
                    <w:snapToGrid w:val="0"/>
                    <w:jc w:val="center"/>
                    <w:rPr>
                      <w:b/>
                      <w:bCs/>
                      <w:szCs w:val="21"/>
                    </w:rPr>
                  </w:pPr>
                  <w:r>
                    <w:rPr>
                      <w:b/>
                      <w:bCs/>
                      <w:szCs w:val="21"/>
                    </w:rPr>
                    <w:fldChar w:fldCharType="begin"/>
                  </w:r>
                  <w:r>
                    <w:rPr>
                      <w:b/>
                      <w:bCs/>
                      <w:szCs w:val="21"/>
                    </w:rPr>
                    <w:instrText xml:space="preserve"> = 2 \* ROMAN </w:instrText>
                  </w:r>
                  <w:r>
                    <w:rPr>
                      <w:b/>
                      <w:bCs/>
                      <w:szCs w:val="21"/>
                    </w:rPr>
                    <w:fldChar w:fldCharType="separate"/>
                  </w:r>
                  <w:r>
                    <w:rPr>
                      <w:b/>
                      <w:bCs/>
                      <w:szCs w:val="21"/>
                    </w:rPr>
                    <w:t>II</w:t>
                  </w:r>
                  <w:r>
                    <w:rPr>
                      <w:b/>
                      <w:bCs/>
                      <w:szCs w:val="21"/>
                    </w:rPr>
                    <w:fldChar w:fldCharType="end"/>
                  </w:r>
                </w:p>
              </w:tc>
              <w:tc>
                <w:tcPr>
                  <w:tcW w:w="1129" w:type="pct"/>
                  <w:vAlign w:val="center"/>
                </w:tcPr>
                <w:p w14:paraId="3EAEC2F2">
                  <w:pPr>
                    <w:adjustRightInd w:val="0"/>
                    <w:snapToGrid w:val="0"/>
                    <w:jc w:val="center"/>
                    <w:rPr>
                      <w:b/>
                      <w:bCs/>
                      <w:szCs w:val="21"/>
                    </w:rPr>
                  </w:pPr>
                  <w:r>
                    <w:rPr>
                      <w:b/>
                      <w:bCs/>
                      <w:szCs w:val="21"/>
                    </w:rPr>
                    <w:fldChar w:fldCharType="begin"/>
                  </w:r>
                  <w:r>
                    <w:rPr>
                      <w:b/>
                      <w:bCs/>
                      <w:szCs w:val="21"/>
                    </w:rPr>
                    <w:instrText xml:space="preserve"> = 1 \* ROMAN </w:instrText>
                  </w:r>
                  <w:r>
                    <w:rPr>
                      <w:b/>
                      <w:bCs/>
                      <w:szCs w:val="21"/>
                    </w:rPr>
                    <w:fldChar w:fldCharType="separate"/>
                  </w:r>
                  <w:r>
                    <w:rPr>
                      <w:b/>
                      <w:bCs/>
                      <w:szCs w:val="21"/>
                    </w:rPr>
                    <w:t>I</w:t>
                  </w:r>
                  <w:r>
                    <w:rPr>
                      <w:b/>
                      <w:bCs/>
                      <w:szCs w:val="21"/>
                    </w:rPr>
                    <w:fldChar w:fldCharType="end"/>
                  </w:r>
                </w:p>
              </w:tc>
            </w:tr>
            <w:tr w14:paraId="44AA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4" w:type="pct"/>
                  <w:vAlign w:val="center"/>
                </w:tcPr>
                <w:p w14:paraId="0606A91F">
                  <w:pPr>
                    <w:adjustRightInd w:val="0"/>
                    <w:snapToGrid w:val="0"/>
                    <w:jc w:val="center"/>
                    <w:rPr>
                      <w:szCs w:val="21"/>
                    </w:rPr>
                  </w:pPr>
                  <w:r>
                    <w:rPr>
                      <w:szCs w:val="21"/>
                    </w:rPr>
                    <w:t>评价工作等级</w:t>
                  </w:r>
                </w:p>
              </w:tc>
              <w:tc>
                <w:tcPr>
                  <w:tcW w:w="866" w:type="pct"/>
                  <w:vAlign w:val="center"/>
                </w:tcPr>
                <w:p w14:paraId="29271EBD">
                  <w:pPr>
                    <w:adjustRightInd w:val="0"/>
                    <w:snapToGrid w:val="0"/>
                    <w:jc w:val="center"/>
                    <w:rPr>
                      <w:szCs w:val="21"/>
                    </w:rPr>
                  </w:pPr>
                  <w:r>
                    <w:rPr>
                      <w:szCs w:val="21"/>
                    </w:rPr>
                    <w:t>一</w:t>
                  </w:r>
                </w:p>
              </w:tc>
              <w:tc>
                <w:tcPr>
                  <w:tcW w:w="1017" w:type="pct"/>
                  <w:vAlign w:val="center"/>
                </w:tcPr>
                <w:p w14:paraId="5D9B968B">
                  <w:pPr>
                    <w:adjustRightInd w:val="0"/>
                    <w:snapToGrid w:val="0"/>
                    <w:jc w:val="center"/>
                    <w:rPr>
                      <w:szCs w:val="21"/>
                    </w:rPr>
                  </w:pPr>
                  <w:r>
                    <w:rPr>
                      <w:szCs w:val="21"/>
                    </w:rPr>
                    <w:t>二</w:t>
                  </w:r>
                </w:p>
              </w:tc>
              <w:tc>
                <w:tcPr>
                  <w:tcW w:w="904" w:type="pct"/>
                  <w:vAlign w:val="center"/>
                </w:tcPr>
                <w:p w14:paraId="26EF2535">
                  <w:pPr>
                    <w:adjustRightInd w:val="0"/>
                    <w:snapToGrid w:val="0"/>
                    <w:jc w:val="center"/>
                    <w:rPr>
                      <w:szCs w:val="21"/>
                    </w:rPr>
                  </w:pPr>
                  <w:r>
                    <w:rPr>
                      <w:szCs w:val="21"/>
                    </w:rPr>
                    <w:t>三</w:t>
                  </w:r>
                </w:p>
              </w:tc>
              <w:tc>
                <w:tcPr>
                  <w:tcW w:w="1129" w:type="pct"/>
                  <w:shd w:val="clear" w:color="auto" w:fill="D9D9D9"/>
                  <w:vAlign w:val="center"/>
                </w:tcPr>
                <w:p w14:paraId="38462038">
                  <w:pPr>
                    <w:adjustRightInd w:val="0"/>
                    <w:snapToGrid w:val="0"/>
                    <w:jc w:val="center"/>
                    <w:rPr>
                      <w:szCs w:val="21"/>
                    </w:rPr>
                  </w:pPr>
                  <w:r>
                    <w:rPr>
                      <w:szCs w:val="21"/>
                    </w:rPr>
                    <w:t>简单分析</w:t>
                  </w:r>
                  <w:r>
                    <w:rPr>
                      <w:szCs w:val="21"/>
                      <w:vertAlign w:val="superscript"/>
                    </w:rPr>
                    <w:t>a</w:t>
                  </w:r>
                </w:p>
              </w:tc>
            </w:tr>
          </w:tbl>
          <w:p w14:paraId="59930046">
            <w:pPr>
              <w:spacing w:line="360" w:lineRule="auto"/>
              <w:ind w:firstLine="482" w:firstLineChars="200"/>
              <w:rPr>
                <w:b/>
                <w:sz w:val="24"/>
              </w:rPr>
            </w:pPr>
            <w:r>
              <w:rPr>
                <w:rFonts w:hint="eastAsia"/>
                <w:b/>
                <w:sz w:val="24"/>
              </w:rPr>
              <w:t>2、环境敏感目标概况</w:t>
            </w:r>
          </w:p>
          <w:p w14:paraId="26CFE597">
            <w:pPr>
              <w:spacing w:line="360" w:lineRule="auto"/>
              <w:ind w:firstLine="480" w:firstLineChars="200"/>
              <w:rPr>
                <w:sz w:val="24"/>
              </w:rPr>
            </w:pPr>
            <w:r>
              <w:rPr>
                <w:rFonts w:hint="eastAsia"/>
                <w:sz w:val="24"/>
              </w:rPr>
              <w:t>项目周围环境敏感点详见表3-5。</w:t>
            </w:r>
          </w:p>
          <w:p w14:paraId="1B9A19ED">
            <w:pPr>
              <w:spacing w:line="360" w:lineRule="auto"/>
              <w:ind w:firstLine="482" w:firstLineChars="200"/>
              <w:rPr>
                <w:b/>
                <w:sz w:val="24"/>
              </w:rPr>
            </w:pPr>
            <w:r>
              <w:rPr>
                <w:rFonts w:hint="eastAsia"/>
                <w:b/>
                <w:sz w:val="24"/>
              </w:rPr>
              <w:t>3、环境风险影响分析</w:t>
            </w:r>
          </w:p>
          <w:p w14:paraId="1B08A126">
            <w:pPr>
              <w:spacing w:line="360" w:lineRule="auto"/>
              <w:ind w:firstLine="480" w:firstLineChars="200"/>
              <w:rPr>
                <w:bCs/>
                <w:sz w:val="24"/>
              </w:rPr>
            </w:pPr>
            <w:r>
              <w:rPr>
                <w:rFonts w:hint="eastAsia"/>
                <w:bCs/>
                <w:sz w:val="24"/>
              </w:rPr>
              <w:t>（1）泄漏风险事故影响分析</w:t>
            </w:r>
          </w:p>
          <w:p w14:paraId="518DD3AB">
            <w:pPr>
              <w:spacing w:line="360" w:lineRule="auto"/>
              <w:ind w:firstLine="480" w:firstLineChars="200"/>
              <w:rPr>
                <w:bCs/>
                <w:sz w:val="24"/>
              </w:rPr>
            </w:pPr>
            <w:r>
              <w:rPr>
                <w:rFonts w:hint="eastAsia"/>
                <w:bCs/>
                <w:sz w:val="24"/>
              </w:rPr>
              <w:t>本项目厂区甲醇、乙醇、磷化铝、矿物质油、危险废物储存量较少，一般情况下不会发生泄漏事故，但受到各种外在环境因素，可能导致事故的发生。危险废物一旦出现泄漏，将会对附近的操作人员产生一定伤害。甲醇、乙醇、磷化铝、矿物质油、危险废物若发生泄漏，随雨水管或是污水管进入附近地表水体，导致地表水体污染。甲醇、乙醇、磷化铝、矿物质油、危险废物等由于收集、贮放、处置等环节的不严格或不妥善发生渗漏，从而造成土壤、地下水污染，但由于危废暂存间采用防渗处理，因此不会对土壤、地下水造成影响。本项目危险废物发生泄漏事故后，由于泄漏量较小，容易采取有效的应急措施，防止泄漏的危险废物污染地表水体、土壤、地下水，不会对环境噪声明显不良影响；</w:t>
            </w:r>
          </w:p>
          <w:p w14:paraId="4EC48AC8">
            <w:pPr>
              <w:spacing w:line="360" w:lineRule="auto"/>
              <w:ind w:firstLine="480" w:firstLineChars="200"/>
              <w:rPr>
                <w:bCs/>
                <w:sz w:val="24"/>
              </w:rPr>
            </w:pPr>
            <w:r>
              <w:rPr>
                <w:rFonts w:hint="eastAsia"/>
                <w:bCs/>
                <w:sz w:val="24"/>
              </w:rPr>
              <w:t>②本项目主要环境风险为废气处理装置运行故障，厂内废气处理装置（脉冲布袋除尘器）可能因为停电、设备老化等出现非正常运转或停止运转，导致废气超标排放，影响周围大气环境。本项目废气治理设施若出现故障，可能造成废气直接排放，对周围环境造成不良影响。</w:t>
            </w:r>
          </w:p>
          <w:p w14:paraId="0565FB1C">
            <w:pPr>
              <w:spacing w:line="360" w:lineRule="auto"/>
              <w:ind w:firstLine="480" w:firstLineChars="200"/>
              <w:rPr>
                <w:bCs/>
                <w:sz w:val="24"/>
              </w:rPr>
            </w:pPr>
            <w:r>
              <w:rPr>
                <w:rFonts w:hint="eastAsia"/>
                <w:bCs/>
                <w:sz w:val="24"/>
              </w:rPr>
              <w:t>③本项目在卸粮、清理过程中会产生粉尘，遇高热或明火可能发生火灾或爆炸。火灾爆炸时会产生大量消防废水，建设单位在厂区设置了一座容积为500m</w:t>
            </w:r>
            <w:r>
              <w:rPr>
                <w:rFonts w:hint="eastAsia"/>
                <w:bCs/>
                <w:sz w:val="24"/>
                <w:vertAlign w:val="superscript"/>
              </w:rPr>
              <w:t>3</w:t>
            </w:r>
            <w:r>
              <w:rPr>
                <w:rFonts w:hint="eastAsia"/>
                <w:bCs/>
                <w:sz w:val="24"/>
              </w:rPr>
              <w:t>的消防水池，可用来收集全部的消防水，保证事故状态下废水不外排。</w:t>
            </w:r>
          </w:p>
          <w:p w14:paraId="286EA69F">
            <w:pPr>
              <w:spacing w:line="360" w:lineRule="auto"/>
              <w:ind w:firstLine="482" w:firstLineChars="200"/>
              <w:rPr>
                <w:b/>
                <w:sz w:val="24"/>
              </w:rPr>
            </w:pPr>
            <w:r>
              <w:rPr>
                <w:rFonts w:hint="eastAsia"/>
                <w:b/>
                <w:sz w:val="24"/>
              </w:rPr>
              <w:t>4、环境风险防范措施</w:t>
            </w:r>
          </w:p>
          <w:p w14:paraId="28044318">
            <w:pPr>
              <w:spacing w:line="360" w:lineRule="auto"/>
              <w:ind w:firstLine="480" w:firstLineChars="200"/>
              <w:rPr>
                <w:sz w:val="24"/>
              </w:rPr>
            </w:pPr>
            <w:r>
              <w:rPr>
                <w:rFonts w:hint="eastAsia"/>
                <w:sz w:val="24"/>
              </w:rPr>
              <w:t>（1）火灾爆炸及次生消防废水泄漏风险应急防范措施</w:t>
            </w:r>
          </w:p>
          <w:p w14:paraId="3968BE18">
            <w:pPr>
              <w:spacing w:line="360" w:lineRule="auto"/>
              <w:ind w:firstLine="480" w:firstLineChars="200"/>
              <w:rPr>
                <w:sz w:val="24"/>
              </w:rPr>
            </w:pPr>
            <w:r>
              <w:rPr>
                <w:rFonts w:hint="eastAsia"/>
                <w:sz w:val="24"/>
              </w:rPr>
              <w:t>本项目在运营过程中有火灾风险，火灾爆炸引发的次生消防废水如不处理会对环境造成一定的影响。本环评要求企业：</w:t>
            </w:r>
          </w:p>
          <w:p w14:paraId="70201342">
            <w:pPr>
              <w:spacing w:line="360" w:lineRule="auto"/>
              <w:ind w:firstLine="480" w:firstLineChars="200"/>
              <w:rPr>
                <w:sz w:val="24"/>
              </w:rPr>
            </w:pPr>
            <w:r>
              <w:rPr>
                <w:rFonts w:hint="eastAsia"/>
                <w:sz w:val="24"/>
              </w:rPr>
              <w:t>①利用厂区内消防水池，收集全部的消防水，确保事故消防水全部收集后交由有处理资质的单位处置。</w:t>
            </w:r>
          </w:p>
          <w:p w14:paraId="360AAE77">
            <w:pPr>
              <w:spacing w:line="360" w:lineRule="auto"/>
              <w:ind w:firstLine="480" w:firstLineChars="200"/>
              <w:rPr>
                <w:sz w:val="24"/>
              </w:rPr>
            </w:pPr>
            <w:r>
              <w:rPr>
                <w:rFonts w:hint="eastAsia"/>
                <w:sz w:val="24"/>
              </w:rPr>
              <w:t>②如遇火灾，采取移动式消防器材及固定式消防设施进行灭火。小火灾时用干粉或二氧化碳灭火器，大火灾时用水幕、雾状水或常规泡沫灭火。隔离、疏散、转移遇险人员到安全区域，按消防专业的要求警戒区，并在通往事故现场的主要干道上实行交通管制，除消防及应急处理人员外，其他人员禁止进入警戒区，并迅速撤离无关人员。</w:t>
            </w:r>
          </w:p>
          <w:p w14:paraId="6AD3E1E5">
            <w:pPr>
              <w:spacing w:line="360" w:lineRule="auto"/>
              <w:ind w:firstLine="480" w:firstLineChars="200"/>
              <w:rPr>
                <w:sz w:val="24"/>
              </w:rPr>
            </w:pPr>
            <w:r>
              <w:rPr>
                <w:rFonts w:hint="eastAsia"/>
                <w:sz w:val="24"/>
              </w:rPr>
              <w:t>（2）废气治理设施事故排放应急防范措施</w:t>
            </w:r>
          </w:p>
          <w:p w14:paraId="0D362993">
            <w:pPr>
              <w:spacing w:line="360" w:lineRule="auto"/>
              <w:ind w:firstLine="480" w:firstLineChars="200"/>
              <w:rPr>
                <w:sz w:val="24"/>
              </w:rPr>
            </w:pPr>
            <w:r>
              <w:rPr>
                <w:rFonts w:hint="eastAsia"/>
                <w:sz w:val="24"/>
              </w:rPr>
              <w:t>本项目生物质热风炉废气采用布袋除尘器处理，在生物质热风炉使用的过程中，会有一定概率存在废气处理设施出现故障导致废气浓度超标，本环评要求：</w:t>
            </w:r>
          </w:p>
          <w:p w14:paraId="11BA13F5">
            <w:pPr>
              <w:spacing w:line="360" w:lineRule="auto"/>
              <w:ind w:firstLine="480" w:firstLineChars="200"/>
              <w:rPr>
                <w:sz w:val="24"/>
              </w:rPr>
            </w:pPr>
            <w:r>
              <w:rPr>
                <w:rFonts w:hint="eastAsia"/>
                <w:sz w:val="24"/>
              </w:rPr>
              <w:t>①加强废气治理设施日常运行管理，建立台账管理制度。</w:t>
            </w:r>
          </w:p>
          <w:p w14:paraId="309A7736">
            <w:pPr>
              <w:spacing w:line="360" w:lineRule="auto"/>
              <w:ind w:firstLine="480" w:firstLineChars="200"/>
              <w:rPr>
                <w:sz w:val="24"/>
              </w:rPr>
            </w:pPr>
            <w:r>
              <w:rPr>
                <w:rFonts w:hint="eastAsia"/>
                <w:sz w:val="24"/>
              </w:rPr>
              <w:t>②安排专职或兼职人员负责废气治理设施的日常管理。</w:t>
            </w:r>
          </w:p>
          <w:p w14:paraId="69E8769D">
            <w:pPr>
              <w:spacing w:line="360" w:lineRule="auto"/>
              <w:ind w:firstLine="480" w:firstLineChars="200"/>
              <w:rPr>
                <w:sz w:val="24"/>
              </w:rPr>
            </w:pPr>
            <w:r>
              <w:rPr>
                <w:rFonts w:hint="eastAsia"/>
                <w:sz w:val="24"/>
              </w:rPr>
              <w:t>③加强风机的日常维护保养，防止风机故障停运。</w:t>
            </w:r>
          </w:p>
          <w:p w14:paraId="46D27FE2">
            <w:pPr>
              <w:spacing w:line="360" w:lineRule="auto"/>
              <w:ind w:firstLine="480" w:firstLineChars="200"/>
              <w:rPr>
                <w:sz w:val="24"/>
              </w:rPr>
            </w:pPr>
            <w:r>
              <w:rPr>
                <w:rFonts w:hint="eastAsia"/>
                <w:sz w:val="24"/>
              </w:rPr>
              <w:t>④发现废气治理设施事故排放时，应在确保安全的情况下立即停止作业，从源头切断废气来源；然后对废气治理系统进行全面的排查检修，找到故障原因，及时恢复治理系统的正常运行。在确保废气治理系统正常运转后，方可投入生产作业。</w:t>
            </w:r>
          </w:p>
          <w:p w14:paraId="16D1491E">
            <w:pPr>
              <w:spacing w:line="360" w:lineRule="auto"/>
              <w:ind w:firstLine="480" w:firstLineChars="200"/>
              <w:rPr>
                <w:sz w:val="24"/>
              </w:rPr>
            </w:pPr>
            <w:r>
              <w:rPr>
                <w:rFonts w:hint="eastAsia"/>
                <w:sz w:val="24"/>
              </w:rPr>
              <w:t>（3）危险化学品及副产物泄漏风险应急防范措施</w:t>
            </w:r>
          </w:p>
          <w:p w14:paraId="517A1813">
            <w:pPr>
              <w:spacing w:line="360" w:lineRule="auto"/>
              <w:ind w:firstLine="480" w:firstLineChars="200"/>
              <w:rPr>
                <w:sz w:val="24"/>
              </w:rPr>
            </w:pPr>
            <w:r>
              <w:rPr>
                <w:rFonts w:hint="eastAsia"/>
                <w:sz w:val="24"/>
              </w:rPr>
              <w:t>①立即启动应急响应，触发气体检测报警系统，划定泄漏点周围至少 500 米为警戒区。疏散下风向1公里内所有人员（静风条件下扩大至2公里）。</w:t>
            </w:r>
          </w:p>
          <w:p w14:paraId="0B7C136F">
            <w:pPr>
              <w:spacing w:line="360" w:lineRule="auto"/>
              <w:ind w:firstLine="480" w:firstLineChars="200"/>
              <w:rPr>
                <w:sz w:val="24"/>
              </w:rPr>
            </w:pPr>
            <w:r>
              <w:rPr>
                <w:rFonts w:hint="eastAsia"/>
                <w:sz w:val="24"/>
              </w:rPr>
              <w:t>②若磷化铝固体泄漏，使用干燥防爆工具收集泄漏物，装入密闭防渗容器，严禁接触水或潮湿环境。污染区域用惰性吸附材料（如干燥砂土）覆盖，防止</w:t>
            </w:r>
            <w:r>
              <w:rPr>
                <w:sz w:val="24"/>
              </w:rPr>
              <w:t>PH</w:t>
            </w:r>
            <w:r>
              <w:rPr>
                <w:rFonts w:hint="eastAsia"/>
                <w:sz w:val="24"/>
                <w:vertAlign w:val="subscript"/>
              </w:rPr>
              <w:t>3</w:t>
            </w:r>
            <w:r>
              <w:rPr>
                <w:rFonts w:hint="eastAsia"/>
                <w:sz w:val="24"/>
              </w:rPr>
              <w:t>生成。</w:t>
            </w:r>
          </w:p>
          <w:p w14:paraId="709D2B3A">
            <w:pPr>
              <w:spacing w:line="360" w:lineRule="auto"/>
              <w:ind w:firstLine="480" w:firstLineChars="200"/>
              <w:rPr>
                <w:sz w:val="24"/>
              </w:rPr>
            </w:pPr>
            <w:r>
              <w:rPr>
                <w:rFonts w:hint="eastAsia"/>
                <w:sz w:val="24"/>
              </w:rPr>
              <w:t>③若产生了磷化氢气态泄漏，若管道泄漏，立即关闭上游阀门，用氮气吹扫置换残余气体。室外泄漏时，采用雾状水喷淋。残余</w:t>
            </w:r>
            <w:r>
              <w:rPr>
                <w:sz w:val="24"/>
              </w:rPr>
              <w:t>PH</w:t>
            </w:r>
            <w:r>
              <w:rPr>
                <w:rFonts w:hint="eastAsia"/>
                <w:sz w:val="24"/>
                <w:vertAlign w:val="subscript"/>
              </w:rPr>
              <w:t>3</w:t>
            </w:r>
            <w:r>
              <w:rPr>
                <w:rFonts w:hint="eastAsia"/>
                <w:sz w:val="24"/>
              </w:rPr>
              <w:t>通入次氯酸钠溶液（10%）吸收（反应生成磷酸盐）</w:t>
            </w:r>
            <w:r>
              <w:rPr>
                <w:sz w:val="24"/>
              </w:rPr>
              <w:t>。</w:t>
            </w:r>
          </w:p>
          <w:p w14:paraId="19625B92">
            <w:pPr>
              <w:autoSpaceDE w:val="0"/>
              <w:autoSpaceDN w:val="0"/>
              <w:adjustRightInd w:val="0"/>
              <w:spacing w:line="360" w:lineRule="auto"/>
              <w:ind w:firstLine="482" w:firstLineChars="200"/>
              <w:rPr>
                <w:b/>
                <w:kern w:val="0"/>
                <w:sz w:val="24"/>
              </w:rPr>
            </w:pPr>
            <w:r>
              <w:rPr>
                <w:rFonts w:hint="eastAsia"/>
                <w:b/>
                <w:sz w:val="24"/>
              </w:rPr>
              <w:t>5、</w:t>
            </w:r>
            <w:r>
              <w:rPr>
                <w:rFonts w:hint="eastAsia"/>
                <w:b/>
                <w:kern w:val="0"/>
                <w:sz w:val="24"/>
              </w:rPr>
              <w:t>环境风险分析结论</w:t>
            </w:r>
          </w:p>
          <w:p w14:paraId="4F42D223">
            <w:pPr>
              <w:spacing w:line="360" w:lineRule="auto"/>
              <w:ind w:firstLine="480" w:firstLineChars="200"/>
              <w:rPr>
                <w:rFonts w:hAnsi="宋体"/>
                <w:kern w:val="0"/>
                <w:sz w:val="24"/>
              </w:rPr>
            </w:pPr>
            <w:r>
              <w:rPr>
                <w:rFonts w:hint="eastAsia"/>
                <w:kern w:val="0"/>
                <w:sz w:val="24"/>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环境风险可接受。</w:t>
            </w:r>
          </w:p>
          <w:p w14:paraId="40190BAA">
            <w:pPr>
              <w:spacing w:line="360" w:lineRule="auto"/>
              <w:ind w:firstLine="482" w:firstLineChars="200"/>
              <w:rPr>
                <w:rFonts w:hAnsi="宋体"/>
                <w:b/>
                <w:kern w:val="0"/>
                <w:sz w:val="24"/>
              </w:rPr>
            </w:pPr>
            <w:r>
              <w:rPr>
                <w:rFonts w:hAnsi="宋体"/>
                <w:b/>
                <w:kern w:val="0"/>
                <w:sz w:val="24"/>
              </w:rPr>
              <w:t>七、</w:t>
            </w:r>
            <w:r>
              <w:rPr>
                <w:rFonts w:hint="eastAsia" w:hAnsi="宋体"/>
                <w:b/>
                <w:kern w:val="0"/>
                <w:sz w:val="24"/>
              </w:rPr>
              <w:t>改扩建前后“三本账”</w:t>
            </w:r>
          </w:p>
          <w:p w14:paraId="4DD71AA5">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22</w:t>
            </w:r>
            <w:r>
              <w:rPr>
                <w:rFonts w:ascii="Times New Roman" w:hAnsi="Times New Roman"/>
                <w:color w:val="auto"/>
                <w:sz w:val="21"/>
              </w:rPr>
              <w:t xml:space="preserve">  污染物“三本账”一览表  单位:t/a</w:t>
            </w:r>
          </w:p>
          <w:tbl>
            <w:tblPr>
              <w:tblStyle w:val="28"/>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703"/>
              <w:gridCol w:w="512"/>
              <w:gridCol w:w="1276"/>
              <w:gridCol w:w="1135"/>
              <w:gridCol w:w="1135"/>
              <w:gridCol w:w="1561"/>
              <w:gridCol w:w="1135"/>
              <w:gridCol w:w="1174"/>
            </w:tblGrid>
            <w:tr w14:paraId="43613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Align w:val="center"/>
                </w:tcPr>
                <w:p w14:paraId="576885BF">
                  <w:pPr>
                    <w:adjustRightInd w:val="0"/>
                    <w:snapToGrid w:val="0"/>
                    <w:jc w:val="center"/>
                    <w:rPr>
                      <w:b/>
                      <w:bCs/>
                      <w:szCs w:val="21"/>
                    </w:rPr>
                  </w:pPr>
                  <w:r>
                    <w:rPr>
                      <w:b/>
                      <w:bCs/>
                      <w:szCs w:val="21"/>
                    </w:rPr>
                    <w:t>类别</w:t>
                  </w:r>
                </w:p>
              </w:tc>
              <w:tc>
                <w:tcPr>
                  <w:tcW w:w="648" w:type="pct"/>
                  <w:gridSpan w:val="2"/>
                  <w:vAlign w:val="center"/>
                </w:tcPr>
                <w:p w14:paraId="74096C29">
                  <w:pPr>
                    <w:adjustRightInd w:val="0"/>
                    <w:snapToGrid w:val="0"/>
                    <w:jc w:val="center"/>
                    <w:rPr>
                      <w:b/>
                      <w:bCs/>
                      <w:szCs w:val="21"/>
                    </w:rPr>
                  </w:pPr>
                  <w:r>
                    <w:rPr>
                      <w:b/>
                      <w:bCs/>
                      <w:szCs w:val="21"/>
                    </w:rPr>
                    <w:t>工序</w:t>
                  </w:r>
                </w:p>
              </w:tc>
              <w:tc>
                <w:tcPr>
                  <w:tcW w:w="680" w:type="pct"/>
                  <w:vAlign w:val="center"/>
                </w:tcPr>
                <w:p w14:paraId="630A239B">
                  <w:pPr>
                    <w:adjustRightInd w:val="0"/>
                    <w:snapToGrid w:val="0"/>
                    <w:jc w:val="center"/>
                    <w:rPr>
                      <w:b/>
                      <w:bCs/>
                      <w:szCs w:val="21"/>
                    </w:rPr>
                  </w:pPr>
                  <w:r>
                    <w:rPr>
                      <w:b/>
                      <w:bCs/>
                      <w:szCs w:val="21"/>
                    </w:rPr>
                    <w:t>污染物</w:t>
                  </w:r>
                </w:p>
              </w:tc>
              <w:tc>
                <w:tcPr>
                  <w:tcW w:w="605" w:type="pct"/>
                  <w:vAlign w:val="center"/>
                </w:tcPr>
                <w:p w14:paraId="6EDC40E1">
                  <w:pPr>
                    <w:adjustRightInd w:val="0"/>
                    <w:snapToGrid w:val="0"/>
                    <w:jc w:val="center"/>
                    <w:rPr>
                      <w:b/>
                      <w:bCs/>
                      <w:szCs w:val="21"/>
                    </w:rPr>
                  </w:pPr>
                  <w:r>
                    <w:rPr>
                      <w:rFonts w:hint="eastAsia"/>
                      <w:b/>
                      <w:bCs/>
                      <w:szCs w:val="21"/>
                    </w:rPr>
                    <w:t>现有工程</w:t>
                  </w:r>
                  <w:r>
                    <w:rPr>
                      <w:b/>
                      <w:bCs/>
                      <w:szCs w:val="21"/>
                    </w:rPr>
                    <w:t>排放量</w:t>
                  </w:r>
                </w:p>
              </w:tc>
              <w:tc>
                <w:tcPr>
                  <w:tcW w:w="605" w:type="pct"/>
                  <w:vAlign w:val="center"/>
                </w:tcPr>
                <w:p w14:paraId="089E697D">
                  <w:pPr>
                    <w:adjustRightInd w:val="0"/>
                    <w:snapToGrid w:val="0"/>
                    <w:jc w:val="center"/>
                    <w:rPr>
                      <w:b/>
                      <w:bCs/>
                      <w:szCs w:val="21"/>
                    </w:rPr>
                  </w:pPr>
                  <w:r>
                    <w:rPr>
                      <w:rFonts w:hint="eastAsia"/>
                      <w:b/>
                      <w:bCs/>
                      <w:szCs w:val="21"/>
                    </w:rPr>
                    <w:t>改扩建项目</w:t>
                  </w:r>
                  <w:r>
                    <w:rPr>
                      <w:b/>
                      <w:bCs/>
                      <w:szCs w:val="21"/>
                    </w:rPr>
                    <w:t>排放量</w:t>
                  </w:r>
                </w:p>
              </w:tc>
              <w:tc>
                <w:tcPr>
                  <w:tcW w:w="832" w:type="pct"/>
                  <w:vAlign w:val="center"/>
                </w:tcPr>
                <w:p w14:paraId="0B2117C2">
                  <w:pPr>
                    <w:adjustRightInd w:val="0"/>
                    <w:snapToGrid w:val="0"/>
                    <w:jc w:val="center"/>
                    <w:rPr>
                      <w:b/>
                      <w:bCs/>
                      <w:szCs w:val="21"/>
                    </w:rPr>
                  </w:pPr>
                  <w:r>
                    <w:rPr>
                      <w:b/>
                      <w:bCs/>
                      <w:szCs w:val="21"/>
                    </w:rPr>
                    <w:t>“以新带老”削减量</w:t>
                  </w:r>
                </w:p>
              </w:tc>
              <w:tc>
                <w:tcPr>
                  <w:tcW w:w="605" w:type="pct"/>
                  <w:vAlign w:val="center"/>
                </w:tcPr>
                <w:p w14:paraId="4FCAAF26">
                  <w:pPr>
                    <w:adjustRightInd w:val="0"/>
                    <w:snapToGrid w:val="0"/>
                    <w:jc w:val="center"/>
                    <w:rPr>
                      <w:b/>
                      <w:bCs/>
                      <w:szCs w:val="21"/>
                    </w:rPr>
                  </w:pPr>
                  <w:r>
                    <w:rPr>
                      <w:rFonts w:hint="eastAsia"/>
                      <w:b/>
                      <w:bCs/>
                      <w:szCs w:val="21"/>
                    </w:rPr>
                    <w:t>改扩建后</w:t>
                  </w:r>
                  <w:r>
                    <w:rPr>
                      <w:b/>
                      <w:bCs/>
                      <w:szCs w:val="21"/>
                    </w:rPr>
                    <w:t>总体工程排放量</w:t>
                  </w:r>
                </w:p>
              </w:tc>
              <w:tc>
                <w:tcPr>
                  <w:tcW w:w="626" w:type="pct"/>
                  <w:vAlign w:val="center"/>
                </w:tcPr>
                <w:p w14:paraId="4502B227">
                  <w:pPr>
                    <w:adjustRightInd w:val="0"/>
                    <w:snapToGrid w:val="0"/>
                    <w:jc w:val="center"/>
                    <w:rPr>
                      <w:b/>
                      <w:bCs/>
                      <w:szCs w:val="21"/>
                    </w:rPr>
                  </w:pPr>
                  <w:r>
                    <w:rPr>
                      <w:b/>
                      <w:bCs/>
                      <w:szCs w:val="21"/>
                    </w:rPr>
                    <w:t>增减量</w:t>
                  </w:r>
                </w:p>
              </w:tc>
            </w:tr>
            <w:tr w14:paraId="0AE6E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1F368E35">
                  <w:pPr>
                    <w:adjustRightInd w:val="0"/>
                    <w:snapToGrid w:val="0"/>
                    <w:jc w:val="center"/>
                    <w:rPr>
                      <w:szCs w:val="21"/>
                    </w:rPr>
                  </w:pPr>
                  <w:r>
                    <w:rPr>
                      <w:szCs w:val="21"/>
                    </w:rPr>
                    <w:t>废气</w:t>
                  </w:r>
                </w:p>
              </w:tc>
              <w:tc>
                <w:tcPr>
                  <w:tcW w:w="648" w:type="pct"/>
                  <w:gridSpan w:val="2"/>
                  <w:vAlign w:val="center"/>
                </w:tcPr>
                <w:p w14:paraId="380E9223">
                  <w:pPr>
                    <w:adjustRightInd w:val="0"/>
                    <w:snapToGrid w:val="0"/>
                    <w:jc w:val="center"/>
                    <w:rPr>
                      <w:szCs w:val="21"/>
                    </w:rPr>
                  </w:pPr>
                  <w:r>
                    <w:rPr>
                      <w:szCs w:val="21"/>
                    </w:rPr>
                    <w:t>平房仓装卸粉尘（无组织）</w:t>
                  </w:r>
                </w:p>
              </w:tc>
              <w:tc>
                <w:tcPr>
                  <w:tcW w:w="680" w:type="pct"/>
                  <w:vAlign w:val="center"/>
                </w:tcPr>
                <w:p w14:paraId="64BB2333">
                  <w:pPr>
                    <w:adjustRightInd w:val="0"/>
                    <w:snapToGrid w:val="0"/>
                    <w:jc w:val="center"/>
                    <w:rPr>
                      <w:szCs w:val="21"/>
                    </w:rPr>
                  </w:pPr>
                  <w:r>
                    <w:rPr>
                      <w:szCs w:val="21"/>
                    </w:rPr>
                    <w:t>颗粒物</w:t>
                  </w:r>
                </w:p>
              </w:tc>
              <w:tc>
                <w:tcPr>
                  <w:tcW w:w="605" w:type="pct"/>
                  <w:vAlign w:val="center"/>
                </w:tcPr>
                <w:p w14:paraId="422C2C6A">
                  <w:pPr>
                    <w:adjustRightInd w:val="0"/>
                    <w:snapToGrid w:val="0"/>
                    <w:jc w:val="center"/>
                    <w:rPr>
                      <w:szCs w:val="21"/>
                    </w:rPr>
                  </w:pPr>
                  <w:r>
                    <w:rPr>
                      <w:rFonts w:hint="eastAsia"/>
                      <w:szCs w:val="21"/>
                    </w:rPr>
                    <w:t>0.5</w:t>
                  </w:r>
                </w:p>
              </w:tc>
              <w:tc>
                <w:tcPr>
                  <w:tcW w:w="605" w:type="pct"/>
                  <w:shd w:val="clear" w:color="auto" w:fill="FFFFFF" w:themeFill="background1"/>
                  <w:vAlign w:val="center"/>
                </w:tcPr>
                <w:p w14:paraId="0A56C1B2">
                  <w:pPr>
                    <w:jc w:val="center"/>
                    <w:rPr>
                      <w:szCs w:val="21"/>
                    </w:rPr>
                  </w:pPr>
                  <w:r>
                    <w:rPr>
                      <w:rFonts w:hint="eastAsia"/>
                      <w:szCs w:val="21"/>
                    </w:rPr>
                    <w:t>0.021</w:t>
                  </w:r>
                </w:p>
              </w:tc>
              <w:tc>
                <w:tcPr>
                  <w:tcW w:w="832" w:type="pct"/>
                  <w:shd w:val="clear" w:color="auto" w:fill="FFFFFF" w:themeFill="background1"/>
                  <w:vAlign w:val="center"/>
                </w:tcPr>
                <w:p w14:paraId="23EFFC3E">
                  <w:pPr>
                    <w:pStyle w:val="2"/>
                    <w:adjustRightInd/>
                    <w:jc w:val="center"/>
                    <w:rPr>
                      <w:rFonts w:ascii="Times New Roman" w:cs="Times New Roman"/>
                      <w:color w:val="auto"/>
                      <w:sz w:val="21"/>
                      <w:szCs w:val="21"/>
                    </w:rPr>
                  </w:pPr>
                  <w:r>
                    <w:rPr>
                      <w:rFonts w:hint="eastAsia" w:ascii="Times New Roman" w:cs="Times New Roman"/>
                      <w:color w:val="auto"/>
                      <w:sz w:val="21"/>
                      <w:szCs w:val="21"/>
                    </w:rPr>
                    <w:t>0</w:t>
                  </w:r>
                </w:p>
              </w:tc>
              <w:tc>
                <w:tcPr>
                  <w:tcW w:w="605" w:type="pct"/>
                  <w:shd w:val="clear" w:color="auto" w:fill="FFFFFF" w:themeFill="background1"/>
                  <w:vAlign w:val="center"/>
                </w:tcPr>
                <w:p w14:paraId="4DDB7BAF">
                  <w:pPr>
                    <w:jc w:val="center"/>
                    <w:rPr>
                      <w:szCs w:val="21"/>
                    </w:rPr>
                  </w:pPr>
                  <w:r>
                    <w:rPr>
                      <w:rFonts w:hint="eastAsia"/>
                      <w:szCs w:val="21"/>
                    </w:rPr>
                    <w:t>0.521</w:t>
                  </w:r>
                </w:p>
              </w:tc>
              <w:tc>
                <w:tcPr>
                  <w:tcW w:w="626" w:type="pct"/>
                  <w:shd w:val="clear" w:color="auto" w:fill="FFFFFF" w:themeFill="background1"/>
                  <w:vAlign w:val="center"/>
                </w:tcPr>
                <w:p w14:paraId="3884FD6B">
                  <w:pPr>
                    <w:jc w:val="center"/>
                    <w:rPr>
                      <w:szCs w:val="21"/>
                    </w:rPr>
                  </w:pPr>
                  <w:r>
                    <w:rPr>
                      <w:rFonts w:hint="eastAsia"/>
                      <w:szCs w:val="21"/>
                    </w:rPr>
                    <w:t>+0.021</w:t>
                  </w:r>
                </w:p>
              </w:tc>
            </w:tr>
            <w:tr w14:paraId="65D1B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638132FA">
                  <w:pPr>
                    <w:adjustRightInd w:val="0"/>
                    <w:snapToGrid w:val="0"/>
                    <w:jc w:val="center"/>
                    <w:rPr>
                      <w:szCs w:val="21"/>
                    </w:rPr>
                  </w:pPr>
                </w:p>
              </w:tc>
              <w:tc>
                <w:tcPr>
                  <w:tcW w:w="648" w:type="pct"/>
                  <w:gridSpan w:val="2"/>
                  <w:vAlign w:val="center"/>
                </w:tcPr>
                <w:p w14:paraId="4A1F0660">
                  <w:pPr>
                    <w:adjustRightInd w:val="0"/>
                    <w:snapToGrid w:val="0"/>
                    <w:jc w:val="center"/>
                    <w:rPr>
                      <w:szCs w:val="21"/>
                    </w:rPr>
                  </w:pPr>
                  <w:r>
                    <w:rPr>
                      <w:szCs w:val="21"/>
                    </w:rPr>
                    <w:t>平房仓清筛粉尘（无组织）</w:t>
                  </w:r>
                </w:p>
              </w:tc>
              <w:tc>
                <w:tcPr>
                  <w:tcW w:w="680" w:type="pct"/>
                  <w:vAlign w:val="center"/>
                </w:tcPr>
                <w:p w14:paraId="3553DF99">
                  <w:pPr>
                    <w:adjustRightInd w:val="0"/>
                    <w:snapToGrid w:val="0"/>
                    <w:jc w:val="center"/>
                    <w:rPr>
                      <w:szCs w:val="21"/>
                    </w:rPr>
                  </w:pPr>
                  <w:r>
                    <w:rPr>
                      <w:szCs w:val="21"/>
                    </w:rPr>
                    <w:t>颗粒物</w:t>
                  </w:r>
                </w:p>
              </w:tc>
              <w:tc>
                <w:tcPr>
                  <w:tcW w:w="605" w:type="pct"/>
                  <w:vAlign w:val="center"/>
                </w:tcPr>
                <w:p w14:paraId="276EE136">
                  <w:pPr>
                    <w:adjustRightInd w:val="0"/>
                    <w:snapToGrid w:val="0"/>
                    <w:jc w:val="center"/>
                    <w:rPr>
                      <w:szCs w:val="21"/>
                    </w:rPr>
                  </w:pPr>
                  <w:r>
                    <w:rPr>
                      <w:rFonts w:hint="eastAsia"/>
                      <w:szCs w:val="21"/>
                    </w:rPr>
                    <w:t>0.165</w:t>
                  </w:r>
                </w:p>
              </w:tc>
              <w:tc>
                <w:tcPr>
                  <w:tcW w:w="605" w:type="pct"/>
                  <w:shd w:val="clear" w:color="auto" w:fill="FFFFFF" w:themeFill="background1"/>
                  <w:vAlign w:val="center"/>
                </w:tcPr>
                <w:p w14:paraId="5544D435">
                  <w:pPr>
                    <w:jc w:val="center"/>
                    <w:rPr>
                      <w:szCs w:val="21"/>
                    </w:rPr>
                  </w:pPr>
                  <w:r>
                    <w:rPr>
                      <w:rFonts w:hint="eastAsia"/>
                      <w:szCs w:val="21"/>
                    </w:rPr>
                    <w:t>0.003</w:t>
                  </w:r>
                </w:p>
              </w:tc>
              <w:tc>
                <w:tcPr>
                  <w:tcW w:w="832" w:type="pct"/>
                  <w:shd w:val="clear" w:color="auto" w:fill="FFFFFF" w:themeFill="background1"/>
                  <w:vAlign w:val="center"/>
                </w:tcPr>
                <w:p w14:paraId="755B9B51">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47CE942C">
                  <w:pPr>
                    <w:jc w:val="center"/>
                    <w:rPr>
                      <w:szCs w:val="21"/>
                    </w:rPr>
                  </w:pPr>
                  <w:r>
                    <w:rPr>
                      <w:rFonts w:hint="eastAsia"/>
                      <w:szCs w:val="21"/>
                    </w:rPr>
                    <w:t>0.168</w:t>
                  </w:r>
                </w:p>
              </w:tc>
              <w:tc>
                <w:tcPr>
                  <w:tcW w:w="626" w:type="pct"/>
                  <w:shd w:val="clear" w:color="auto" w:fill="FFFFFF" w:themeFill="background1"/>
                  <w:vAlign w:val="center"/>
                </w:tcPr>
                <w:p w14:paraId="7408ADA1">
                  <w:pPr>
                    <w:jc w:val="center"/>
                    <w:rPr>
                      <w:szCs w:val="21"/>
                    </w:rPr>
                  </w:pPr>
                  <w:r>
                    <w:rPr>
                      <w:rFonts w:hint="eastAsia"/>
                      <w:szCs w:val="21"/>
                    </w:rPr>
                    <w:t>+0.003</w:t>
                  </w:r>
                </w:p>
              </w:tc>
            </w:tr>
            <w:tr w14:paraId="1ED33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62B96A4E">
                  <w:pPr>
                    <w:adjustRightInd w:val="0"/>
                    <w:snapToGrid w:val="0"/>
                    <w:jc w:val="center"/>
                    <w:rPr>
                      <w:szCs w:val="21"/>
                    </w:rPr>
                  </w:pPr>
                </w:p>
              </w:tc>
              <w:tc>
                <w:tcPr>
                  <w:tcW w:w="648" w:type="pct"/>
                  <w:gridSpan w:val="2"/>
                  <w:vAlign w:val="center"/>
                </w:tcPr>
                <w:p w14:paraId="02EB32D7">
                  <w:pPr>
                    <w:adjustRightInd w:val="0"/>
                    <w:snapToGrid w:val="0"/>
                    <w:jc w:val="center"/>
                    <w:rPr>
                      <w:szCs w:val="21"/>
                    </w:rPr>
                  </w:pPr>
                  <w:r>
                    <w:rPr>
                      <w:szCs w:val="21"/>
                    </w:rPr>
                    <w:t>烘干车间装卸粉尘（无组织）</w:t>
                  </w:r>
                </w:p>
              </w:tc>
              <w:tc>
                <w:tcPr>
                  <w:tcW w:w="680" w:type="pct"/>
                  <w:vAlign w:val="center"/>
                </w:tcPr>
                <w:p w14:paraId="2C0CB093">
                  <w:pPr>
                    <w:adjustRightInd w:val="0"/>
                    <w:snapToGrid w:val="0"/>
                    <w:jc w:val="center"/>
                    <w:rPr>
                      <w:szCs w:val="21"/>
                    </w:rPr>
                  </w:pPr>
                  <w:r>
                    <w:rPr>
                      <w:szCs w:val="21"/>
                    </w:rPr>
                    <w:t>颗粒物</w:t>
                  </w:r>
                </w:p>
              </w:tc>
              <w:tc>
                <w:tcPr>
                  <w:tcW w:w="605" w:type="pct"/>
                  <w:vAlign w:val="center"/>
                </w:tcPr>
                <w:p w14:paraId="52AE6864">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4970F79D">
                  <w:pPr>
                    <w:jc w:val="center"/>
                    <w:rPr>
                      <w:szCs w:val="21"/>
                    </w:rPr>
                  </w:pPr>
                  <w:r>
                    <w:rPr>
                      <w:rFonts w:hint="eastAsia"/>
                      <w:szCs w:val="21"/>
                    </w:rPr>
                    <w:t>2.325</w:t>
                  </w:r>
                </w:p>
              </w:tc>
              <w:tc>
                <w:tcPr>
                  <w:tcW w:w="832" w:type="pct"/>
                  <w:shd w:val="clear" w:color="auto" w:fill="FFFFFF" w:themeFill="background1"/>
                  <w:vAlign w:val="center"/>
                </w:tcPr>
                <w:p w14:paraId="5BAC3570">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8DC01B4">
                  <w:pPr>
                    <w:jc w:val="center"/>
                    <w:rPr>
                      <w:szCs w:val="21"/>
                    </w:rPr>
                  </w:pPr>
                  <w:r>
                    <w:rPr>
                      <w:rFonts w:hint="eastAsia"/>
                      <w:szCs w:val="21"/>
                    </w:rPr>
                    <w:t>2.325</w:t>
                  </w:r>
                </w:p>
              </w:tc>
              <w:tc>
                <w:tcPr>
                  <w:tcW w:w="626" w:type="pct"/>
                  <w:shd w:val="clear" w:color="auto" w:fill="FFFFFF" w:themeFill="background1"/>
                  <w:vAlign w:val="center"/>
                </w:tcPr>
                <w:p w14:paraId="44BAA650">
                  <w:pPr>
                    <w:jc w:val="center"/>
                    <w:rPr>
                      <w:szCs w:val="21"/>
                    </w:rPr>
                  </w:pPr>
                  <w:r>
                    <w:rPr>
                      <w:rFonts w:hint="eastAsia"/>
                      <w:szCs w:val="21"/>
                    </w:rPr>
                    <w:t>+2.325</w:t>
                  </w:r>
                </w:p>
              </w:tc>
            </w:tr>
            <w:tr w14:paraId="731F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B9A16FF">
                  <w:pPr>
                    <w:adjustRightInd w:val="0"/>
                    <w:snapToGrid w:val="0"/>
                    <w:jc w:val="center"/>
                    <w:rPr>
                      <w:szCs w:val="21"/>
                    </w:rPr>
                  </w:pPr>
                </w:p>
              </w:tc>
              <w:tc>
                <w:tcPr>
                  <w:tcW w:w="648" w:type="pct"/>
                  <w:gridSpan w:val="2"/>
                  <w:vAlign w:val="center"/>
                </w:tcPr>
                <w:p w14:paraId="02C36A3D">
                  <w:pPr>
                    <w:adjustRightInd w:val="0"/>
                    <w:snapToGrid w:val="0"/>
                    <w:jc w:val="center"/>
                    <w:rPr>
                      <w:szCs w:val="21"/>
                    </w:rPr>
                  </w:pPr>
                  <w:r>
                    <w:rPr>
                      <w:szCs w:val="21"/>
                    </w:rPr>
                    <w:t>烘干车间清筛粉尘（无组织）</w:t>
                  </w:r>
                </w:p>
              </w:tc>
              <w:tc>
                <w:tcPr>
                  <w:tcW w:w="680" w:type="pct"/>
                  <w:vAlign w:val="center"/>
                </w:tcPr>
                <w:p w14:paraId="73488232">
                  <w:pPr>
                    <w:adjustRightInd w:val="0"/>
                    <w:snapToGrid w:val="0"/>
                    <w:jc w:val="center"/>
                    <w:rPr>
                      <w:szCs w:val="21"/>
                    </w:rPr>
                  </w:pPr>
                  <w:r>
                    <w:rPr>
                      <w:szCs w:val="21"/>
                    </w:rPr>
                    <w:t>颗粒物</w:t>
                  </w:r>
                </w:p>
              </w:tc>
              <w:tc>
                <w:tcPr>
                  <w:tcW w:w="605" w:type="pct"/>
                  <w:vAlign w:val="center"/>
                </w:tcPr>
                <w:p w14:paraId="36A66323">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7A8FC620">
                  <w:pPr>
                    <w:jc w:val="center"/>
                    <w:rPr>
                      <w:szCs w:val="21"/>
                    </w:rPr>
                  </w:pPr>
                  <w:r>
                    <w:rPr>
                      <w:rFonts w:hint="eastAsia"/>
                      <w:szCs w:val="21"/>
                    </w:rPr>
                    <w:t>0.75</w:t>
                  </w:r>
                </w:p>
              </w:tc>
              <w:tc>
                <w:tcPr>
                  <w:tcW w:w="832" w:type="pct"/>
                  <w:shd w:val="clear" w:color="auto" w:fill="FFFFFF" w:themeFill="background1"/>
                  <w:vAlign w:val="center"/>
                </w:tcPr>
                <w:p w14:paraId="4F365867">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9CA473A">
                  <w:pPr>
                    <w:jc w:val="center"/>
                    <w:rPr>
                      <w:szCs w:val="21"/>
                    </w:rPr>
                  </w:pPr>
                  <w:r>
                    <w:rPr>
                      <w:rFonts w:hint="eastAsia"/>
                      <w:szCs w:val="21"/>
                    </w:rPr>
                    <w:t>0.75</w:t>
                  </w:r>
                </w:p>
              </w:tc>
              <w:tc>
                <w:tcPr>
                  <w:tcW w:w="626" w:type="pct"/>
                  <w:shd w:val="clear" w:color="auto" w:fill="FFFFFF" w:themeFill="background1"/>
                  <w:vAlign w:val="center"/>
                </w:tcPr>
                <w:p w14:paraId="430CB0DA">
                  <w:pPr>
                    <w:jc w:val="center"/>
                    <w:rPr>
                      <w:szCs w:val="21"/>
                    </w:rPr>
                  </w:pPr>
                  <w:r>
                    <w:rPr>
                      <w:rFonts w:hint="eastAsia"/>
                      <w:szCs w:val="21"/>
                    </w:rPr>
                    <w:t>+0.75</w:t>
                  </w:r>
                </w:p>
              </w:tc>
            </w:tr>
            <w:tr w14:paraId="55D301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B1985A7">
                  <w:pPr>
                    <w:adjustRightInd w:val="0"/>
                    <w:snapToGrid w:val="0"/>
                    <w:jc w:val="center"/>
                    <w:rPr>
                      <w:szCs w:val="21"/>
                    </w:rPr>
                  </w:pPr>
                </w:p>
              </w:tc>
              <w:tc>
                <w:tcPr>
                  <w:tcW w:w="648" w:type="pct"/>
                  <w:gridSpan w:val="2"/>
                  <w:vMerge w:val="restart"/>
                  <w:vAlign w:val="center"/>
                </w:tcPr>
                <w:p w14:paraId="30B526F1">
                  <w:pPr>
                    <w:adjustRightInd w:val="0"/>
                    <w:snapToGrid w:val="0"/>
                    <w:jc w:val="center"/>
                    <w:rPr>
                      <w:szCs w:val="21"/>
                    </w:rPr>
                  </w:pPr>
                  <w:r>
                    <w:rPr>
                      <w:szCs w:val="21"/>
                    </w:rPr>
                    <w:t>烘干车间</w:t>
                  </w:r>
                  <w:r>
                    <w:rPr>
                      <w:rFonts w:hint="eastAsia"/>
                      <w:szCs w:val="21"/>
                    </w:rPr>
                    <w:t>热风炉燃烧烟气</w:t>
                  </w:r>
                </w:p>
              </w:tc>
              <w:tc>
                <w:tcPr>
                  <w:tcW w:w="680" w:type="pct"/>
                  <w:vAlign w:val="center"/>
                </w:tcPr>
                <w:p w14:paraId="10EC8817">
                  <w:pPr>
                    <w:autoSpaceDE w:val="0"/>
                    <w:autoSpaceDN w:val="0"/>
                    <w:adjustRightInd w:val="0"/>
                    <w:jc w:val="center"/>
                    <w:rPr>
                      <w:szCs w:val="21"/>
                    </w:rPr>
                  </w:pPr>
                  <w:r>
                    <w:rPr>
                      <w:szCs w:val="21"/>
                    </w:rPr>
                    <w:t>SO</w:t>
                  </w:r>
                  <w:r>
                    <w:rPr>
                      <w:szCs w:val="21"/>
                      <w:vertAlign w:val="subscript"/>
                    </w:rPr>
                    <w:t>2</w:t>
                  </w:r>
                </w:p>
              </w:tc>
              <w:tc>
                <w:tcPr>
                  <w:tcW w:w="605" w:type="pct"/>
                  <w:vAlign w:val="center"/>
                </w:tcPr>
                <w:p w14:paraId="6E637E17">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2AE9F1AF">
                  <w:pPr>
                    <w:autoSpaceDE w:val="0"/>
                    <w:autoSpaceDN w:val="0"/>
                    <w:adjustRightInd w:val="0"/>
                    <w:jc w:val="center"/>
                    <w:rPr>
                      <w:szCs w:val="21"/>
                    </w:rPr>
                  </w:pPr>
                  <w:r>
                    <w:rPr>
                      <w:rFonts w:hint="eastAsia"/>
                      <w:szCs w:val="21"/>
                    </w:rPr>
                    <w:t>0.653</w:t>
                  </w:r>
                </w:p>
              </w:tc>
              <w:tc>
                <w:tcPr>
                  <w:tcW w:w="832" w:type="pct"/>
                  <w:shd w:val="clear" w:color="auto" w:fill="FFFFFF" w:themeFill="background1"/>
                  <w:vAlign w:val="center"/>
                </w:tcPr>
                <w:p w14:paraId="1FB92516">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69C2248">
                  <w:pPr>
                    <w:autoSpaceDE w:val="0"/>
                    <w:autoSpaceDN w:val="0"/>
                    <w:adjustRightInd w:val="0"/>
                    <w:jc w:val="center"/>
                    <w:rPr>
                      <w:szCs w:val="21"/>
                    </w:rPr>
                  </w:pPr>
                  <w:r>
                    <w:rPr>
                      <w:rFonts w:hint="eastAsia"/>
                      <w:szCs w:val="21"/>
                    </w:rPr>
                    <w:t>0.653</w:t>
                  </w:r>
                </w:p>
              </w:tc>
              <w:tc>
                <w:tcPr>
                  <w:tcW w:w="626" w:type="pct"/>
                  <w:shd w:val="clear" w:color="auto" w:fill="FFFFFF" w:themeFill="background1"/>
                  <w:vAlign w:val="center"/>
                </w:tcPr>
                <w:p w14:paraId="19502C76">
                  <w:pPr>
                    <w:autoSpaceDE w:val="0"/>
                    <w:autoSpaceDN w:val="0"/>
                    <w:adjustRightInd w:val="0"/>
                    <w:jc w:val="center"/>
                    <w:rPr>
                      <w:szCs w:val="21"/>
                    </w:rPr>
                  </w:pPr>
                  <w:r>
                    <w:rPr>
                      <w:rFonts w:hint="eastAsia"/>
                      <w:szCs w:val="21"/>
                    </w:rPr>
                    <w:t>+0.653</w:t>
                  </w:r>
                </w:p>
              </w:tc>
            </w:tr>
            <w:tr w14:paraId="44811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706D7852">
                  <w:pPr>
                    <w:adjustRightInd w:val="0"/>
                    <w:snapToGrid w:val="0"/>
                    <w:jc w:val="center"/>
                    <w:rPr>
                      <w:szCs w:val="21"/>
                    </w:rPr>
                  </w:pPr>
                </w:p>
              </w:tc>
              <w:tc>
                <w:tcPr>
                  <w:tcW w:w="648" w:type="pct"/>
                  <w:gridSpan w:val="2"/>
                  <w:vMerge w:val="continue"/>
                  <w:vAlign w:val="center"/>
                </w:tcPr>
                <w:p w14:paraId="21E8510D">
                  <w:pPr>
                    <w:adjustRightInd w:val="0"/>
                    <w:snapToGrid w:val="0"/>
                    <w:jc w:val="center"/>
                    <w:rPr>
                      <w:szCs w:val="21"/>
                    </w:rPr>
                  </w:pPr>
                </w:p>
              </w:tc>
              <w:tc>
                <w:tcPr>
                  <w:tcW w:w="680" w:type="pct"/>
                  <w:vAlign w:val="center"/>
                </w:tcPr>
                <w:p w14:paraId="001AB7FC">
                  <w:pPr>
                    <w:autoSpaceDE w:val="0"/>
                    <w:autoSpaceDN w:val="0"/>
                    <w:adjustRightInd w:val="0"/>
                    <w:jc w:val="center"/>
                    <w:rPr>
                      <w:szCs w:val="21"/>
                    </w:rPr>
                  </w:pPr>
                  <w:r>
                    <w:rPr>
                      <w:szCs w:val="21"/>
                    </w:rPr>
                    <w:t>氮氧化物</w:t>
                  </w:r>
                </w:p>
              </w:tc>
              <w:tc>
                <w:tcPr>
                  <w:tcW w:w="605" w:type="pct"/>
                  <w:vAlign w:val="center"/>
                </w:tcPr>
                <w:p w14:paraId="36FD73CB">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14F1A77C">
                  <w:pPr>
                    <w:widowControl/>
                    <w:jc w:val="center"/>
                    <w:textAlignment w:val="center"/>
                    <w:rPr>
                      <w:szCs w:val="21"/>
                    </w:rPr>
                  </w:pPr>
                  <w:r>
                    <w:rPr>
                      <w:rFonts w:hint="eastAsia"/>
                      <w:szCs w:val="21"/>
                    </w:rPr>
                    <w:t>1.187</w:t>
                  </w:r>
                </w:p>
              </w:tc>
              <w:tc>
                <w:tcPr>
                  <w:tcW w:w="832" w:type="pct"/>
                  <w:shd w:val="clear" w:color="auto" w:fill="FFFFFF" w:themeFill="background1"/>
                  <w:vAlign w:val="center"/>
                </w:tcPr>
                <w:p w14:paraId="4E278580">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3FCA4425">
                  <w:pPr>
                    <w:widowControl/>
                    <w:jc w:val="center"/>
                    <w:textAlignment w:val="center"/>
                    <w:rPr>
                      <w:szCs w:val="21"/>
                    </w:rPr>
                  </w:pPr>
                  <w:r>
                    <w:rPr>
                      <w:rFonts w:hint="eastAsia"/>
                      <w:szCs w:val="21"/>
                    </w:rPr>
                    <w:t>1.187</w:t>
                  </w:r>
                </w:p>
              </w:tc>
              <w:tc>
                <w:tcPr>
                  <w:tcW w:w="626" w:type="pct"/>
                  <w:shd w:val="clear" w:color="auto" w:fill="FFFFFF" w:themeFill="background1"/>
                  <w:vAlign w:val="center"/>
                </w:tcPr>
                <w:p w14:paraId="54EAC8D3">
                  <w:pPr>
                    <w:widowControl/>
                    <w:jc w:val="center"/>
                    <w:textAlignment w:val="center"/>
                    <w:rPr>
                      <w:szCs w:val="21"/>
                    </w:rPr>
                  </w:pPr>
                  <w:r>
                    <w:rPr>
                      <w:rFonts w:hint="eastAsia"/>
                      <w:szCs w:val="21"/>
                    </w:rPr>
                    <w:t>+1.187</w:t>
                  </w:r>
                </w:p>
              </w:tc>
            </w:tr>
            <w:tr w14:paraId="20FEF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4A2B26A8">
                  <w:pPr>
                    <w:adjustRightInd w:val="0"/>
                    <w:snapToGrid w:val="0"/>
                    <w:jc w:val="center"/>
                    <w:rPr>
                      <w:szCs w:val="21"/>
                    </w:rPr>
                  </w:pPr>
                </w:p>
              </w:tc>
              <w:tc>
                <w:tcPr>
                  <w:tcW w:w="648" w:type="pct"/>
                  <w:gridSpan w:val="2"/>
                  <w:vMerge w:val="continue"/>
                  <w:vAlign w:val="center"/>
                </w:tcPr>
                <w:p w14:paraId="3ECF66FD">
                  <w:pPr>
                    <w:adjustRightInd w:val="0"/>
                    <w:snapToGrid w:val="0"/>
                    <w:jc w:val="center"/>
                    <w:rPr>
                      <w:szCs w:val="21"/>
                    </w:rPr>
                  </w:pPr>
                </w:p>
              </w:tc>
              <w:tc>
                <w:tcPr>
                  <w:tcW w:w="680" w:type="pct"/>
                  <w:vAlign w:val="center"/>
                </w:tcPr>
                <w:p w14:paraId="4AE2CA48">
                  <w:pPr>
                    <w:autoSpaceDE w:val="0"/>
                    <w:autoSpaceDN w:val="0"/>
                    <w:adjustRightInd w:val="0"/>
                    <w:jc w:val="center"/>
                    <w:rPr>
                      <w:szCs w:val="21"/>
                    </w:rPr>
                  </w:pPr>
                  <w:r>
                    <w:rPr>
                      <w:szCs w:val="21"/>
                    </w:rPr>
                    <w:t>烟尘</w:t>
                  </w:r>
                </w:p>
              </w:tc>
              <w:tc>
                <w:tcPr>
                  <w:tcW w:w="605" w:type="pct"/>
                  <w:vAlign w:val="center"/>
                </w:tcPr>
                <w:p w14:paraId="0C81B222">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65F71626">
                  <w:pPr>
                    <w:autoSpaceDE w:val="0"/>
                    <w:autoSpaceDN w:val="0"/>
                    <w:adjustRightInd w:val="0"/>
                    <w:jc w:val="center"/>
                    <w:rPr>
                      <w:szCs w:val="21"/>
                    </w:rPr>
                  </w:pPr>
                  <w:r>
                    <w:rPr>
                      <w:rFonts w:hint="eastAsia"/>
                      <w:szCs w:val="21"/>
                    </w:rPr>
                    <w:t>0.0116</w:t>
                  </w:r>
                </w:p>
              </w:tc>
              <w:tc>
                <w:tcPr>
                  <w:tcW w:w="832" w:type="pct"/>
                  <w:shd w:val="clear" w:color="auto" w:fill="FFFFFF" w:themeFill="background1"/>
                  <w:vAlign w:val="center"/>
                </w:tcPr>
                <w:p w14:paraId="3FA3FBEB">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2D739298">
                  <w:pPr>
                    <w:autoSpaceDE w:val="0"/>
                    <w:autoSpaceDN w:val="0"/>
                    <w:adjustRightInd w:val="0"/>
                    <w:jc w:val="center"/>
                    <w:rPr>
                      <w:szCs w:val="21"/>
                    </w:rPr>
                  </w:pPr>
                  <w:r>
                    <w:rPr>
                      <w:rFonts w:hint="eastAsia"/>
                      <w:szCs w:val="21"/>
                    </w:rPr>
                    <w:t>0.0116</w:t>
                  </w:r>
                </w:p>
              </w:tc>
              <w:tc>
                <w:tcPr>
                  <w:tcW w:w="626" w:type="pct"/>
                  <w:shd w:val="clear" w:color="auto" w:fill="FFFFFF" w:themeFill="background1"/>
                  <w:vAlign w:val="center"/>
                </w:tcPr>
                <w:p w14:paraId="36D994B4">
                  <w:pPr>
                    <w:autoSpaceDE w:val="0"/>
                    <w:autoSpaceDN w:val="0"/>
                    <w:adjustRightInd w:val="0"/>
                    <w:jc w:val="center"/>
                    <w:rPr>
                      <w:szCs w:val="21"/>
                    </w:rPr>
                  </w:pPr>
                  <w:r>
                    <w:rPr>
                      <w:rFonts w:hint="eastAsia"/>
                      <w:szCs w:val="21"/>
                    </w:rPr>
                    <w:t>+0.0116</w:t>
                  </w:r>
                </w:p>
              </w:tc>
            </w:tr>
            <w:tr w14:paraId="49CDE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C876464">
                  <w:pPr>
                    <w:adjustRightInd w:val="0"/>
                    <w:snapToGrid w:val="0"/>
                    <w:jc w:val="center"/>
                    <w:rPr>
                      <w:szCs w:val="21"/>
                    </w:rPr>
                  </w:pPr>
                </w:p>
              </w:tc>
              <w:tc>
                <w:tcPr>
                  <w:tcW w:w="648" w:type="pct"/>
                  <w:gridSpan w:val="2"/>
                  <w:vAlign w:val="center"/>
                </w:tcPr>
                <w:p w14:paraId="38C13C8F">
                  <w:pPr>
                    <w:adjustRightInd w:val="0"/>
                    <w:snapToGrid w:val="0"/>
                    <w:jc w:val="center"/>
                    <w:rPr>
                      <w:szCs w:val="21"/>
                    </w:rPr>
                  </w:pPr>
                  <w:r>
                    <w:rPr>
                      <w:szCs w:val="21"/>
                    </w:rPr>
                    <w:t>烘干车间</w:t>
                  </w:r>
                  <w:r>
                    <w:rPr>
                      <w:rFonts w:hint="eastAsia"/>
                    </w:rPr>
                    <w:t>烘干废气</w:t>
                  </w:r>
                </w:p>
              </w:tc>
              <w:tc>
                <w:tcPr>
                  <w:tcW w:w="680" w:type="pct"/>
                  <w:vAlign w:val="center"/>
                </w:tcPr>
                <w:p w14:paraId="57386197">
                  <w:pPr>
                    <w:autoSpaceDE w:val="0"/>
                    <w:autoSpaceDN w:val="0"/>
                    <w:adjustRightInd w:val="0"/>
                    <w:jc w:val="center"/>
                    <w:rPr>
                      <w:szCs w:val="21"/>
                    </w:rPr>
                  </w:pPr>
                  <w:r>
                    <w:rPr>
                      <w:szCs w:val="21"/>
                    </w:rPr>
                    <w:t>颗粒物</w:t>
                  </w:r>
                </w:p>
              </w:tc>
              <w:tc>
                <w:tcPr>
                  <w:tcW w:w="605" w:type="pct"/>
                  <w:vAlign w:val="center"/>
                </w:tcPr>
                <w:p w14:paraId="5CBE1100">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71BD6E25">
                  <w:pPr>
                    <w:autoSpaceDE w:val="0"/>
                    <w:autoSpaceDN w:val="0"/>
                    <w:adjustRightInd w:val="0"/>
                    <w:jc w:val="center"/>
                    <w:rPr>
                      <w:szCs w:val="21"/>
                    </w:rPr>
                  </w:pPr>
                  <w:r>
                    <w:rPr>
                      <w:rFonts w:hint="eastAsia"/>
                      <w:szCs w:val="21"/>
                    </w:rPr>
                    <w:t>1.116</w:t>
                  </w:r>
                </w:p>
              </w:tc>
              <w:tc>
                <w:tcPr>
                  <w:tcW w:w="832" w:type="pct"/>
                  <w:shd w:val="clear" w:color="auto" w:fill="FFFFFF" w:themeFill="background1"/>
                  <w:vAlign w:val="center"/>
                </w:tcPr>
                <w:p w14:paraId="2B8737EF">
                  <w:pPr>
                    <w:jc w:val="center"/>
                    <w:rPr>
                      <w:szCs w:val="21"/>
                    </w:rPr>
                  </w:pPr>
                  <w:r>
                    <w:rPr>
                      <w:rFonts w:hint="eastAsia"/>
                      <w:szCs w:val="21"/>
                    </w:rPr>
                    <w:t>0</w:t>
                  </w:r>
                </w:p>
              </w:tc>
              <w:tc>
                <w:tcPr>
                  <w:tcW w:w="605" w:type="pct"/>
                  <w:shd w:val="clear" w:color="auto" w:fill="FFFFFF" w:themeFill="background1"/>
                  <w:vAlign w:val="center"/>
                </w:tcPr>
                <w:p w14:paraId="1C685A08">
                  <w:pPr>
                    <w:autoSpaceDE w:val="0"/>
                    <w:autoSpaceDN w:val="0"/>
                    <w:adjustRightInd w:val="0"/>
                    <w:jc w:val="center"/>
                    <w:rPr>
                      <w:szCs w:val="21"/>
                    </w:rPr>
                  </w:pPr>
                  <w:r>
                    <w:rPr>
                      <w:rFonts w:hint="eastAsia"/>
                      <w:szCs w:val="21"/>
                    </w:rPr>
                    <w:t>1.116</w:t>
                  </w:r>
                </w:p>
              </w:tc>
              <w:tc>
                <w:tcPr>
                  <w:tcW w:w="626" w:type="pct"/>
                  <w:shd w:val="clear" w:color="auto" w:fill="FFFFFF" w:themeFill="background1"/>
                  <w:vAlign w:val="center"/>
                </w:tcPr>
                <w:p w14:paraId="65BBC64C">
                  <w:pPr>
                    <w:autoSpaceDE w:val="0"/>
                    <w:autoSpaceDN w:val="0"/>
                    <w:adjustRightInd w:val="0"/>
                    <w:jc w:val="center"/>
                    <w:rPr>
                      <w:szCs w:val="21"/>
                    </w:rPr>
                  </w:pPr>
                  <w:r>
                    <w:rPr>
                      <w:rFonts w:hint="eastAsia"/>
                      <w:szCs w:val="21"/>
                    </w:rPr>
                    <w:t>+1.116</w:t>
                  </w:r>
                </w:p>
              </w:tc>
            </w:tr>
            <w:tr w14:paraId="57960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0BB1E06">
                  <w:pPr>
                    <w:adjustRightInd w:val="0"/>
                    <w:snapToGrid w:val="0"/>
                    <w:jc w:val="center"/>
                    <w:rPr>
                      <w:szCs w:val="21"/>
                    </w:rPr>
                  </w:pPr>
                </w:p>
              </w:tc>
              <w:tc>
                <w:tcPr>
                  <w:tcW w:w="648" w:type="pct"/>
                  <w:gridSpan w:val="2"/>
                  <w:vAlign w:val="center"/>
                </w:tcPr>
                <w:p w14:paraId="14075D67">
                  <w:pPr>
                    <w:adjustRightInd w:val="0"/>
                    <w:snapToGrid w:val="0"/>
                    <w:jc w:val="center"/>
                    <w:rPr>
                      <w:szCs w:val="21"/>
                    </w:rPr>
                  </w:pPr>
                  <w:r>
                    <w:rPr>
                      <w:rFonts w:hint="eastAsia"/>
                      <w:szCs w:val="21"/>
                    </w:rPr>
                    <w:t>浅圆仓粉尘</w:t>
                  </w:r>
                </w:p>
              </w:tc>
              <w:tc>
                <w:tcPr>
                  <w:tcW w:w="680" w:type="pct"/>
                  <w:vAlign w:val="center"/>
                </w:tcPr>
                <w:p w14:paraId="5AF0C5D9">
                  <w:pPr>
                    <w:pStyle w:val="2"/>
                    <w:jc w:val="center"/>
                    <w:rPr>
                      <w:rFonts w:ascii="Times New Roman" w:cs="Times New Roman"/>
                      <w:color w:val="auto"/>
                      <w:sz w:val="21"/>
                      <w:szCs w:val="21"/>
                    </w:rPr>
                  </w:pPr>
                  <w:r>
                    <w:rPr>
                      <w:color w:val="auto"/>
                      <w:szCs w:val="21"/>
                    </w:rPr>
                    <w:t>颗粒物</w:t>
                  </w:r>
                </w:p>
              </w:tc>
              <w:tc>
                <w:tcPr>
                  <w:tcW w:w="605" w:type="pct"/>
                  <w:vAlign w:val="center"/>
                </w:tcPr>
                <w:p w14:paraId="7B062979">
                  <w:pPr>
                    <w:jc w:val="center"/>
                    <w:rPr>
                      <w:szCs w:val="21"/>
                    </w:rPr>
                  </w:pPr>
                  <w:r>
                    <w:rPr>
                      <w:rFonts w:hint="eastAsia"/>
                      <w:szCs w:val="21"/>
                    </w:rPr>
                    <w:t>0</w:t>
                  </w:r>
                </w:p>
              </w:tc>
              <w:tc>
                <w:tcPr>
                  <w:tcW w:w="605" w:type="pct"/>
                  <w:shd w:val="clear" w:color="auto" w:fill="FFFFFF" w:themeFill="background1"/>
                  <w:vAlign w:val="center"/>
                </w:tcPr>
                <w:p w14:paraId="029561AA">
                  <w:pPr>
                    <w:jc w:val="center"/>
                    <w:rPr>
                      <w:szCs w:val="21"/>
                    </w:rPr>
                  </w:pPr>
                  <w:r>
                    <w:rPr>
                      <w:rFonts w:hint="eastAsia"/>
                      <w:szCs w:val="21"/>
                    </w:rPr>
                    <w:t>0.113</w:t>
                  </w:r>
                </w:p>
              </w:tc>
              <w:tc>
                <w:tcPr>
                  <w:tcW w:w="832" w:type="pct"/>
                  <w:shd w:val="clear" w:color="auto" w:fill="FFFFFF" w:themeFill="background1"/>
                  <w:vAlign w:val="center"/>
                </w:tcPr>
                <w:p w14:paraId="490748EB">
                  <w:pPr>
                    <w:jc w:val="center"/>
                    <w:rPr>
                      <w:szCs w:val="21"/>
                    </w:rPr>
                  </w:pPr>
                  <w:r>
                    <w:rPr>
                      <w:rFonts w:hint="eastAsia"/>
                      <w:szCs w:val="21"/>
                    </w:rPr>
                    <w:t>0</w:t>
                  </w:r>
                </w:p>
              </w:tc>
              <w:tc>
                <w:tcPr>
                  <w:tcW w:w="605" w:type="pct"/>
                  <w:shd w:val="clear" w:color="auto" w:fill="FFFFFF" w:themeFill="background1"/>
                  <w:vAlign w:val="center"/>
                </w:tcPr>
                <w:p w14:paraId="5AD28829">
                  <w:pPr>
                    <w:jc w:val="center"/>
                    <w:rPr>
                      <w:szCs w:val="21"/>
                    </w:rPr>
                  </w:pPr>
                  <w:r>
                    <w:rPr>
                      <w:rFonts w:hint="eastAsia"/>
                      <w:szCs w:val="21"/>
                    </w:rPr>
                    <w:t>0.113</w:t>
                  </w:r>
                </w:p>
              </w:tc>
              <w:tc>
                <w:tcPr>
                  <w:tcW w:w="626" w:type="pct"/>
                  <w:shd w:val="clear" w:color="auto" w:fill="FFFFFF" w:themeFill="background1"/>
                  <w:vAlign w:val="center"/>
                </w:tcPr>
                <w:p w14:paraId="14EBBBFF">
                  <w:pPr>
                    <w:jc w:val="center"/>
                    <w:rPr>
                      <w:szCs w:val="21"/>
                    </w:rPr>
                  </w:pPr>
                  <w:r>
                    <w:rPr>
                      <w:rFonts w:hint="eastAsia"/>
                      <w:szCs w:val="21"/>
                    </w:rPr>
                    <w:t>+0.113</w:t>
                  </w:r>
                </w:p>
              </w:tc>
            </w:tr>
            <w:tr w14:paraId="03246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65C800B1">
                  <w:pPr>
                    <w:adjustRightInd w:val="0"/>
                    <w:snapToGrid w:val="0"/>
                    <w:jc w:val="center"/>
                    <w:rPr>
                      <w:szCs w:val="21"/>
                    </w:rPr>
                  </w:pPr>
                  <w:r>
                    <w:rPr>
                      <w:szCs w:val="21"/>
                    </w:rPr>
                    <w:t>废水</w:t>
                  </w:r>
                </w:p>
              </w:tc>
              <w:tc>
                <w:tcPr>
                  <w:tcW w:w="1328" w:type="pct"/>
                  <w:gridSpan w:val="3"/>
                  <w:vAlign w:val="center"/>
                </w:tcPr>
                <w:p w14:paraId="132B548C">
                  <w:pPr>
                    <w:adjustRightInd w:val="0"/>
                    <w:snapToGrid w:val="0"/>
                    <w:jc w:val="center"/>
                    <w:rPr>
                      <w:szCs w:val="21"/>
                    </w:rPr>
                  </w:pPr>
                  <w:r>
                    <w:rPr>
                      <w:szCs w:val="21"/>
                    </w:rPr>
                    <w:t>废水量</w:t>
                  </w:r>
                </w:p>
              </w:tc>
              <w:tc>
                <w:tcPr>
                  <w:tcW w:w="605" w:type="pct"/>
                  <w:vAlign w:val="center"/>
                </w:tcPr>
                <w:p w14:paraId="259A1BE7">
                  <w:pPr>
                    <w:adjustRightInd w:val="0"/>
                    <w:snapToGrid w:val="0"/>
                    <w:jc w:val="center"/>
                    <w:rPr>
                      <w:szCs w:val="21"/>
                    </w:rPr>
                  </w:pPr>
                  <w:r>
                    <w:rPr>
                      <w:rFonts w:hint="eastAsia"/>
                      <w:szCs w:val="21"/>
                    </w:rPr>
                    <w:t>345.6m</w:t>
                  </w:r>
                  <w:r>
                    <w:rPr>
                      <w:rFonts w:hint="eastAsia"/>
                      <w:szCs w:val="21"/>
                      <w:vertAlign w:val="superscript"/>
                    </w:rPr>
                    <w:t>3</w:t>
                  </w:r>
                  <w:r>
                    <w:rPr>
                      <w:rFonts w:hint="eastAsia"/>
                      <w:szCs w:val="21"/>
                    </w:rPr>
                    <w:t>/a</w:t>
                  </w:r>
                </w:p>
              </w:tc>
              <w:tc>
                <w:tcPr>
                  <w:tcW w:w="605" w:type="pct"/>
                  <w:shd w:val="clear" w:color="auto" w:fill="FFFFFF" w:themeFill="background1"/>
                  <w:vAlign w:val="center"/>
                </w:tcPr>
                <w:p w14:paraId="1B7A761C">
                  <w:pPr>
                    <w:adjustRightInd w:val="0"/>
                    <w:snapToGrid w:val="0"/>
                    <w:jc w:val="center"/>
                    <w:rPr>
                      <w:szCs w:val="21"/>
                    </w:rPr>
                  </w:pPr>
                  <w:r>
                    <w:rPr>
                      <w:rFonts w:hint="eastAsia"/>
                      <w:szCs w:val="21"/>
                    </w:rPr>
                    <w:t>432m</w:t>
                  </w:r>
                  <w:r>
                    <w:rPr>
                      <w:rFonts w:hint="eastAsia"/>
                      <w:szCs w:val="21"/>
                      <w:vertAlign w:val="superscript"/>
                    </w:rPr>
                    <w:t>3</w:t>
                  </w:r>
                  <w:r>
                    <w:rPr>
                      <w:rFonts w:hint="eastAsia"/>
                      <w:szCs w:val="21"/>
                    </w:rPr>
                    <w:t>/a</w:t>
                  </w:r>
                </w:p>
              </w:tc>
              <w:tc>
                <w:tcPr>
                  <w:tcW w:w="832" w:type="pct"/>
                  <w:shd w:val="clear" w:color="auto" w:fill="FFFFFF" w:themeFill="background1"/>
                  <w:vAlign w:val="center"/>
                </w:tcPr>
                <w:p w14:paraId="0F99160B">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508290CF">
                  <w:pPr>
                    <w:adjustRightInd w:val="0"/>
                    <w:snapToGrid w:val="0"/>
                    <w:jc w:val="center"/>
                    <w:rPr>
                      <w:szCs w:val="21"/>
                    </w:rPr>
                  </w:pPr>
                  <w:r>
                    <w:rPr>
                      <w:rFonts w:hint="eastAsia"/>
                      <w:szCs w:val="21"/>
                    </w:rPr>
                    <w:t>432m</w:t>
                  </w:r>
                  <w:r>
                    <w:rPr>
                      <w:rFonts w:hint="eastAsia"/>
                      <w:szCs w:val="21"/>
                      <w:vertAlign w:val="superscript"/>
                    </w:rPr>
                    <w:t>3</w:t>
                  </w:r>
                  <w:r>
                    <w:rPr>
                      <w:rFonts w:hint="eastAsia"/>
                      <w:szCs w:val="21"/>
                    </w:rPr>
                    <w:t>/a</w:t>
                  </w:r>
                </w:p>
              </w:tc>
              <w:tc>
                <w:tcPr>
                  <w:tcW w:w="626" w:type="pct"/>
                  <w:shd w:val="clear" w:color="auto" w:fill="FFFFFF" w:themeFill="background1"/>
                  <w:vAlign w:val="center"/>
                </w:tcPr>
                <w:p w14:paraId="5558FBB9">
                  <w:pPr>
                    <w:jc w:val="center"/>
                    <w:rPr>
                      <w:szCs w:val="21"/>
                    </w:rPr>
                  </w:pPr>
                  <w:r>
                    <w:rPr>
                      <w:rFonts w:hint="eastAsia"/>
                      <w:szCs w:val="21"/>
                    </w:rPr>
                    <w:t>+86.4</w:t>
                  </w:r>
                </w:p>
              </w:tc>
            </w:tr>
            <w:tr w14:paraId="15F8B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0D55DF50">
                  <w:pPr>
                    <w:adjustRightInd w:val="0"/>
                    <w:snapToGrid w:val="0"/>
                    <w:jc w:val="center"/>
                    <w:rPr>
                      <w:szCs w:val="21"/>
                    </w:rPr>
                  </w:pPr>
                </w:p>
              </w:tc>
              <w:tc>
                <w:tcPr>
                  <w:tcW w:w="1328" w:type="pct"/>
                  <w:gridSpan w:val="3"/>
                  <w:vAlign w:val="center"/>
                </w:tcPr>
                <w:p w14:paraId="01BF3B87">
                  <w:pPr>
                    <w:adjustRightInd w:val="0"/>
                    <w:snapToGrid w:val="0"/>
                    <w:jc w:val="center"/>
                    <w:rPr>
                      <w:szCs w:val="21"/>
                    </w:rPr>
                  </w:pPr>
                  <w:r>
                    <w:rPr>
                      <w:szCs w:val="21"/>
                    </w:rPr>
                    <w:t>COD</w:t>
                  </w:r>
                </w:p>
              </w:tc>
              <w:tc>
                <w:tcPr>
                  <w:tcW w:w="605" w:type="pct"/>
                  <w:vAlign w:val="center"/>
                </w:tcPr>
                <w:p w14:paraId="2DA826DF">
                  <w:pPr>
                    <w:pStyle w:val="40"/>
                    <w:spacing w:beforeLines="0" w:afterLines="0" w:line="240" w:lineRule="auto"/>
                    <w:rPr>
                      <w:rFonts w:ascii="Times New Roman"/>
                      <w:snapToGrid w:val="0"/>
                      <w:kern w:val="21"/>
                      <w:szCs w:val="21"/>
                    </w:rPr>
                  </w:pPr>
                  <w:r>
                    <w:rPr>
                      <w:rFonts w:hint="eastAsia" w:ascii="Times New Roman"/>
                      <w:snapToGrid w:val="0"/>
                      <w:kern w:val="21"/>
                      <w:szCs w:val="21"/>
                    </w:rPr>
                    <w:t>0.021</w:t>
                  </w:r>
                </w:p>
              </w:tc>
              <w:tc>
                <w:tcPr>
                  <w:tcW w:w="605" w:type="pct"/>
                  <w:shd w:val="clear" w:color="auto" w:fill="FFFFFF" w:themeFill="background1"/>
                  <w:vAlign w:val="center"/>
                </w:tcPr>
                <w:p w14:paraId="30EAE7F5">
                  <w:pPr>
                    <w:adjustRightInd w:val="0"/>
                    <w:snapToGrid w:val="0"/>
                    <w:jc w:val="center"/>
                    <w:rPr>
                      <w:szCs w:val="21"/>
                    </w:rPr>
                  </w:pPr>
                  <w:r>
                    <w:rPr>
                      <w:rFonts w:hint="eastAsia"/>
                      <w:szCs w:val="21"/>
                    </w:rPr>
                    <w:t>0.026</w:t>
                  </w:r>
                </w:p>
              </w:tc>
              <w:tc>
                <w:tcPr>
                  <w:tcW w:w="832" w:type="pct"/>
                  <w:shd w:val="clear" w:color="auto" w:fill="FFFFFF" w:themeFill="background1"/>
                  <w:vAlign w:val="center"/>
                </w:tcPr>
                <w:p w14:paraId="7913AAA2">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50AB58F2">
                  <w:pPr>
                    <w:jc w:val="center"/>
                    <w:rPr>
                      <w:szCs w:val="21"/>
                    </w:rPr>
                  </w:pPr>
                  <w:r>
                    <w:rPr>
                      <w:rFonts w:hint="eastAsia"/>
                      <w:szCs w:val="21"/>
                    </w:rPr>
                    <w:t>0.026</w:t>
                  </w:r>
                </w:p>
              </w:tc>
              <w:tc>
                <w:tcPr>
                  <w:tcW w:w="626" w:type="pct"/>
                  <w:shd w:val="clear" w:color="auto" w:fill="FFFFFF" w:themeFill="background1"/>
                  <w:vAlign w:val="center"/>
                </w:tcPr>
                <w:p w14:paraId="7CC71108">
                  <w:pPr>
                    <w:jc w:val="center"/>
                    <w:rPr>
                      <w:szCs w:val="21"/>
                    </w:rPr>
                  </w:pPr>
                  <w:r>
                    <w:rPr>
                      <w:rFonts w:hint="eastAsia"/>
                      <w:szCs w:val="21"/>
                    </w:rPr>
                    <w:t>+0.005</w:t>
                  </w:r>
                </w:p>
              </w:tc>
            </w:tr>
            <w:tr w14:paraId="11693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4A8AB8B3">
                  <w:pPr>
                    <w:adjustRightInd w:val="0"/>
                    <w:snapToGrid w:val="0"/>
                    <w:jc w:val="center"/>
                    <w:rPr>
                      <w:szCs w:val="21"/>
                    </w:rPr>
                  </w:pPr>
                </w:p>
              </w:tc>
              <w:tc>
                <w:tcPr>
                  <w:tcW w:w="1328" w:type="pct"/>
                  <w:gridSpan w:val="3"/>
                  <w:vAlign w:val="center"/>
                </w:tcPr>
                <w:p w14:paraId="1217235C">
                  <w:pPr>
                    <w:adjustRightInd w:val="0"/>
                    <w:snapToGrid w:val="0"/>
                    <w:jc w:val="center"/>
                    <w:rPr>
                      <w:szCs w:val="21"/>
                    </w:rPr>
                  </w:pPr>
                  <w:r>
                    <w:rPr>
                      <w:szCs w:val="21"/>
                    </w:rPr>
                    <w:t>NH</w:t>
                  </w:r>
                  <w:r>
                    <w:rPr>
                      <w:szCs w:val="21"/>
                      <w:vertAlign w:val="subscript"/>
                    </w:rPr>
                    <w:t>3</w:t>
                  </w:r>
                  <w:r>
                    <w:rPr>
                      <w:szCs w:val="21"/>
                    </w:rPr>
                    <w:t>-N</w:t>
                  </w:r>
                </w:p>
              </w:tc>
              <w:tc>
                <w:tcPr>
                  <w:tcW w:w="605" w:type="pct"/>
                  <w:vAlign w:val="center"/>
                </w:tcPr>
                <w:p w14:paraId="0E14DD1A">
                  <w:pPr>
                    <w:pStyle w:val="40"/>
                    <w:spacing w:beforeLines="0" w:afterLines="0" w:line="240" w:lineRule="auto"/>
                    <w:rPr>
                      <w:rFonts w:ascii="Times New Roman"/>
                      <w:snapToGrid w:val="0"/>
                      <w:kern w:val="21"/>
                      <w:szCs w:val="21"/>
                    </w:rPr>
                  </w:pPr>
                  <w:r>
                    <w:rPr>
                      <w:rFonts w:hint="eastAsia" w:ascii="Times New Roman"/>
                      <w:snapToGrid w:val="0"/>
                      <w:kern w:val="21"/>
                      <w:szCs w:val="21"/>
                    </w:rPr>
                    <w:t>0.0028</w:t>
                  </w:r>
                </w:p>
              </w:tc>
              <w:tc>
                <w:tcPr>
                  <w:tcW w:w="605" w:type="pct"/>
                  <w:shd w:val="clear" w:color="auto" w:fill="FFFFFF" w:themeFill="background1"/>
                  <w:vAlign w:val="center"/>
                </w:tcPr>
                <w:p w14:paraId="00AC11C9">
                  <w:pPr>
                    <w:adjustRightInd w:val="0"/>
                    <w:snapToGrid w:val="0"/>
                    <w:jc w:val="center"/>
                    <w:rPr>
                      <w:szCs w:val="21"/>
                    </w:rPr>
                  </w:pPr>
                  <w:r>
                    <w:rPr>
                      <w:rFonts w:hint="eastAsia"/>
                      <w:szCs w:val="21"/>
                    </w:rPr>
                    <w:t>0.003</w:t>
                  </w:r>
                </w:p>
              </w:tc>
              <w:tc>
                <w:tcPr>
                  <w:tcW w:w="832" w:type="pct"/>
                  <w:shd w:val="clear" w:color="auto" w:fill="FFFFFF" w:themeFill="background1"/>
                  <w:vAlign w:val="center"/>
                </w:tcPr>
                <w:p w14:paraId="0F3E61F1">
                  <w:pPr>
                    <w:adjustRightInd w:val="0"/>
                    <w:snapToGrid w:val="0"/>
                    <w:jc w:val="center"/>
                    <w:rPr>
                      <w:szCs w:val="21"/>
                    </w:rPr>
                  </w:pPr>
                  <w:r>
                    <w:rPr>
                      <w:rFonts w:hint="eastAsia"/>
                      <w:szCs w:val="21"/>
                    </w:rPr>
                    <w:t>0</w:t>
                  </w:r>
                </w:p>
              </w:tc>
              <w:tc>
                <w:tcPr>
                  <w:tcW w:w="605" w:type="pct"/>
                  <w:shd w:val="clear" w:color="auto" w:fill="FFFFFF" w:themeFill="background1"/>
                  <w:vAlign w:val="center"/>
                </w:tcPr>
                <w:p w14:paraId="0C238091">
                  <w:pPr>
                    <w:jc w:val="center"/>
                    <w:rPr>
                      <w:szCs w:val="21"/>
                    </w:rPr>
                  </w:pPr>
                  <w:r>
                    <w:rPr>
                      <w:rFonts w:hint="eastAsia"/>
                      <w:szCs w:val="21"/>
                    </w:rPr>
                    <w:t>0.003</w:t>
                  </w:r>
                </w:p>
              </w:tc>
              <w:tc>
                <w:tcPr>
                  <w:tcW w:w="626" w:type="pct"/>
                  <w:shd w:val="clear" w:color="auto" w:fill="FFFFFF" w:themeFill="background1"/>
                  <w:vAlign w:val="center"/>
                </w:tcPr>
                <w:p w14:paraId="2D4381EC">
                  <w:pPr>
                    <w:jc w:val="center"/>
                    <w:rPr>
                      <w:szCs w:val="21"/>
                    </w:rPr>
                  </w:pPr>
                  <w:r>
                    <w:rPr>
                      <w:rFonts w:hint="eastAsia"/>
                      <w:szCs w:val="21"/>
                    </w:rPr>
                    <w:t>+0.0002</w:t>
                  </w:r>
                </w:p>
              </w:tc>
            </w:tr>
            <w:tr w14:paraId="78E9C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Align w:val="center"/>
                </w:tcPr>
                <w:p w14:paraId="412D7D20">
                  <w:pPr>
                    <w:adjustRightInd w:val="0"/>
                    <w:snapToGrid w:val="0"/>
                    <w:jc w:val="center"/>
                    <w:rPr>
                      <w:b/>
                      <w:bCs/>
                      <w:szCs w:val="21"/>
                    </w:rPr>
                  </w:pPr>
                  <w:r>
                    <w:rPr>
                      <w:b/>
                      <w:bCs/>
                      <w:szCs w:val="21"/>
                    </w:rPr>
                    <w:t>类别</w:t>
                  </w:r>
                </w:p>
              </w:tc>
              <w:tc>
                <w:tcPr>
                  <w:tcW w:w="1328" w:type="pct"/>
                  <w:gridSpan w:val="3"/>
                  <w:vAlign w:val="center"/>
                </w:tcPr>
                <w:p w14:paraId="68A66BD8">
                  <w:pPr>
                    <w:adjustRightInd w:val="0"/>
                    <w:snapToGrid w:val="0"/>
                    <w:jc w:val="center"/>
                    <w:rPr>
                      <w:b/>
                      <w:bCs/>
                      <w:szCs w:val="21"/>
                    </w:rPr>
                  </w:pPr>
                  <w:r>
                    <w:rPr>
                      <w:b/>
                      <w:bCs/>
                      <w:szCs w:val="21"/>
                    </w:rPr>
                    <w:t>污染物</w:t>
                  </w:r>
                </w:p>
              </w:tc>
              <w:tc>
                <w:tcPr>
                  <w:tcW w:w="605" w:type="pct"/>
                  <w:vAlign w:val="center"/>
                </w:tcPr>
                <w:p w14:paraId="1E6495B7">
                  <w:pPr>
                    <w:adjustRightInd w:val="0"/>
                    <w:snapToGrid w:val="0"/>
                    <w:jc w:val="center"/>
                    <w:rPr>
                      <w:b/>
                      <w:bCs/>
                      <w:szCs w:val="21"/>
                    </w:rPr>
                  </w:pPr>
                  <w:r>
                    <w:rPr>
                      <w:rFonts w:hint="eastAsia"/>
                      <w:b/>
                      <w:bCs/>
                      <w:szCs w:val="21"/>
                    </w:rPr>
                    <w:t>现有工程产生</w:t>
                  </w:r>
                  <w:r>
                    <w:rPr>
                      <w:b/>
                      <w:bCs/>
                      <w:szCs w:val="21"/>
                    </w:rPr>
                    <w:t>量</w:t>
                  </w:r>
                </w:p>
              </w:tc>
              <w:tc>
                <w:tcPr>
                  <w:tcW w:w="605" w:type="pct"/>
                  <w:vAlign w:val="center"/>
                </w:tcPr>
                <w:p w14:paraId="5287250D">
                  <w:pPr>
                    <w:adjustRightInd w:val="0"/>
                    <w:snapToGrid w:val="0"/>
                    <w:jc w:val="center"/>
                    <w:rPr>
                      <w:b/>
                      <w:bCs/>
                      <w:szCs w:val="21"/>
                    </w:rPr>
                  </w:pPr>
                  <w:r>
                    <w:rPr>
                      <w:rFonts w:hint="eastAsia"/>
                      <w:b/>
                      <w:bCs/>
                      <w:szCs w:val="21"/>
                    </w:rPr>
                    <w:t>改扩建项目产生</w:t>
                  </w:r>
                  <w:r>
                    <w:rPr>
                      <w:b/>
                      <w:bCs/>
                      <w:szCs w:val="21"/>
                    </w:rPr>
                    <w:t>量</w:t>
                  </w:r>
                </w:p>
              </w:tc>
              <w:tc>
                <w:tcPr>
                  <w:tcW w:w="832" w:type="pct"/>
                  <w:shd w:val="clear" w:color="auto" w:fill="FFFFFF" w:themeFill="background1"/>
                  <w:vAlign w:val="center"/>
                </w:tcPr>
                <w:p w14:paraId="761F3256">
                  <w:pPr>
                    <w:adjustRightInd w:val="0"/>
                    <w:snapToGrid w:val="0"/>
                    <w:jc w:val="center"/>
                    <w:rPr>
                      <w:b/>
                      <w:bCs/>
                      <w:szCs w:val="21"/>
                    </w:rPr>
                  </w:pPr>
                  <w:r>
                    <w:rPr>
                      <w:b/>
                      <w:bCs/>
                      <w:szCs w:val="21"/>
                    </w:rPr>
                    <w:t>处理措施</w:t>
                  </w:r>
                </w:p>
              </w:tc>
              <w:tc>
                <w:tcPr>
                  <w:tcW w:w="605" w:type="pct"/>
                  <w:shd w:val="clear" w:color="auto" w:fill="FFFFFF" w:themeFill="background1"/>
                  <w:vAlign w:val="center"/>
                </w:tcPr>
                <w:p w14:paraId="7D8CF175">
                  <w:pPr>
                    <w:adjustRightInd w:val="0"/>
                    <w:snapToGrid w:val="0"/>
                    <w:jc w:val="center"/>
                    <w:rPr>
                      <w:b/>
                      <w:bCs/>
                      <w:szCs w:val="21"/>
                    </w:rPr>
                  </w:pPr>
                  <w:r>
                    <w:rPr>
                      <w:rFonts w:hint="eastAsia"/>
                      <w:b/>
                      <w:bCs/>
                      <w:szCs w:val="21"/>
                    </w:rPr>
                    <w:t>改扩建后</w:t>
                  </w:r>
                  <w:r>
                    <w:rPr>
                      <w:b/>
                      <w:bCs/>
                      <w:szCs w:val="21"/>
                    </w:rPr>
                    <w:t>总体工程产生量</w:t>
                  </w:r>
                </w:p>
              </w:tc>
              <w:tc>
                <w:tcPr>
                  <w:tcW w:w="626" w:type="pct"/>
                  <w:shd w:val="clear" w:color="auto" w:fill="FFFFFF" w:themeFill="background1"/>
                  <w:vAlign w:val="center"/>
                </w:tcPr>
                <w:p w14:paraId="4C50B6CF">
                  <w:pPr>
                    <w:adjustRightInd w:val="0"/>
                    <w:snapToGrid w:val="0"/>
                    <w:jc w:val="center"/>
                    <w:rPr>
                      <w:b/>
                      <w:bCs/>
                      <w:szCs w:val="21"/>
                    </w:rPr>
                  </w:pPr>
                  <w:r>
                    <w:rPr>
                      <w:b/>
                      <w:bCs/>
                      <w:szCs w:val="21"/>
                    </w:rPr>
                    <w:t>增减量</w:t>
                  </w:r>
                </w:p>
              </w:tc>
            </w:tr>
            <w:tr w14:paraId="6C7F4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restart"/>
                  <w:vAlign w:val="center"/>
                </w:tcPr>
                <w:p w14:paraId="62D736D5">
                  <w:pPr>
                    <w:adjustRightInd w:val="0"/>
                    <w:snapToGrid w:val="0"/>
                    <w:jc w:val="center"/>
                    <w:rPr>
                      <w:szCs w:val="21"/>
                    </w:rPr>
                  </w:pPr>
                  <w:r>
                    <w:rPr>
                      <w:szCs w:val="21"/>
                    </w:rPr>
                    <w:t>固体废物</w:t>
                  </w:r>
                </w:p>
              </w:tc>
              <w:tc>
                <w:tcPr>
                  <w:tcW w:w="375" w:type="pct"/>
                  <w:vMerge w:val="restart"/>
                  <w:vAlign w:val="center"/>
                </w:tcPr>
                <w:p w14:paraId="7771F65A">
                  <w:pPr>
                    <w:adjustRightInd w:val="0"/>
                    <w:snapToGrid w:val="0"/>
                    <w:jc w:val="center"/>
                    <w:rPr>
                      <w:szCs w:val="21"/>
                    </w:rPr>
                  </w:pPr>
                  <w:r>
                    <w:rPr>
                      <w:szCs w:val="21"/>
                    </w:rPr>
                    <w:t>一般固体废物</w:t>
                  </w:r>
                </w:p>
              </w:tc>
              <w:tc>
                <w:tcPr>
                  <w:tcW w:w="953" w:type="pct"/>
                  <w:gridSpan w:val="2"/>
                  <w:vAlign w:val="center"/>
                </w:tcPr>
                <w:p w14:paraId="74813A3C">
                  <w:pPr>
                    <w:jc w:val="center"/>
                    <w:rPr>
                      <w:szCs w:val="21"/>
                    </w:rPr>
                  </w:pPr>
                  <w:r>
                    <w:rPr>
                      <w:szCs w:val="21"/>
                    </w:rPr>
                    <w:t>除尘器收集尘</w:t>
                  </w:r>
                </w:p>
              </w:tc>
              <w:tc>
                <w:tcPr>
                  <w:tcW w:w="605" w:type="pct"/>
                  <w:vAlign w:val="center"/>
                </w:tcPr>
                <w:p w14:paraId="241B1866">
                  <w:pPr>
                    <w:pStyle w:val="40"/>
                    <w:spacing w:beforeLines="0" w:afterLines="0" w:line="240" w:lineRule="auto"/>
                    <w:rPr>
                      <w:rFonts w:ascii="Times New Roman"/>
                      <w:snapToGrid w:val="0"/>
                      <w:kern w:val="21"/>
                      <w:szCs w:val="21"/>
                    </w:rPr>
                  </w:pPr>
                  <w:r>
                    <w:rPr>
                      <w:rFonts w:hint="eastAsia" w:ascii="Times New Roman"/>
                      <w:snapToGrid w:val="0"/>
                      <w:kern w:val="21"/>
                      <w:szCs w:val="21"/>
                    </w:rPr>
                    <w:t>1.458</w:t>
                  </w:r>
                </w:p>
              </w:tc>
              <w:tc>
                <w:tcPr>
                  <w:tcW w:w="605" w:type="pct"/>
                  <w:vAlign w:val="center"/>
                </w:tcPr>
                <w:p w14:paraId="783C8E07">
                  <w:pPr>
                    <w:jc w:val="center"/>
                    <w:rPr>
                      <w:szCs w:val="21"/>
                    </w:rPr>
                  </w:pPr>
                  <w:r>
                    <w:rPr>
                      <w:rFonts w:hint="eastAsia"/>
                      <w:szCs w:val="21"/>
                    </w:rPr>
                    <w:t>26.062</w:t>
                  </w:r>
                </w:p>
              </w:tc>
              <w:tc>
                <w:tcPr>
                  <w:tcW w:w="832" w:type="pct"/>
                  <w:shd w:val="clear" w:color="auto" w:fill="FFFFFF" w:themeFill="background1"/>
                  <w:vAlign w:val="center"/>
                </w:tcPr>
                <w:p w14:paraId="00B5E6E7">
                  <w:pPr>
                    <w:jc w:val="center"/>
                    <w:rPr>
                      <w:szCs w:val="21"/>
                    </w:rPr>
                  </w:pPr>
                  <w:r>
                    <w:rPr>
                      <w:rFonts w:hint="eastAsia"/>
                      <w:szCs w:val="21"/>
                    </w:rPr>
                    <w:t>外售综合利用</w:t>
                  </w:r>
                </w:p>
              </w:tc>
              <w:tc>
                <w:tcPr>
                  <w:tcW w:w="605" w:type="pct"/>
                  <w:shd w:val="clear" w:color="auto" w:fill="FFFFFF" w:themeFill="background1"/>
                  <w:vAlign w:val="center"/>
                </w:tcPr>
                <w:p w14:paraId="5F660968">
                  <w:pPr>
                    <w:jc w:val="center"/>
                    <w:rPr>
                      <w:szCs w:val="21"/>
                    </w:rPr>
                  </w:pPr>
                  <w:r>
                    <w:rPr>
                      <w:rFonts w:hint="eastAsia"/>
                      <w:szCs w:val="21"/>
                    </w:rPr>
                    <w:t>27.52</w:t>
                  </w:r>
                </w:p>
              </w:tc>
              <w:tc>
                <w:tcPr>
                  <w:tcW w:w="626" w:type="pct"/>
                  <w:shd w:val="clear" w:color="auto" w:fill="FFFFFF" w:themeFill="background1"/>
                  <w:vAlign w:val="center"/>
                </w:tcPr>
                <w:p w14:paraId="2359EEEC">
                  <w:pPr>
                    <w:jc w:val="center"/>
                    <w:rPr>
                      <w:szCs w:val="21"/>
                    </w:rPr>
                  </w:pPr>
                  <w:r>
                    <w:rPr>
                      <w:rFonts w:hint="eastAsia"/>
                      <w:szCs w:val="21"/>
                    </w:rPr>
                    <w:t>+26.062</w:t>
                  </w:r>
                </w:p>
              </w:tc>
            </w:tr>
            <w:tr w14:paraId="07E21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99CD3AB">
                  <w:pPr>
                    <w:adjustRightInd w:val="0"/>
                    <w:snapToGrid w:val="0"/>
                    <w:jc w:val="center"/>
                    <w:rPr>
                      <w:szCs w:val="21"/>
                    </w:rPr>
                  </w:pPr>
                </w:p>
              </w:tc>
              <w:tc>
                <w:tcPr>
                  <w:tcW w:w="375" w:type="pct"/>
                  <w:vMerge w:val="continue"/>
                  <w:vAlign w:val="center"/>
                </w:tcPr>
                <w:p w14:paraId="7A35E4ED">
                  <w:pPr>
                    <w:adjustRightInd w:val="0"/>
                    <w:snapToGrid w:val="0"/>
                    <w:jc w:val="center"/>
                    <w:rPr>
                      <w:szCs w:val="21"/>
                    </w:rPr>
                  </w:pPr>
                </w:p>
              </w:tc>
              <w:tc>
                <w:tcPr>
                  <w:tcW w:w="953" w:type="pct"/>
                  <w:gridSpan w:val="2"/>
                  <w:vAlign w:val="center"/>
                </w:tcPr>
                <w:p w14:paraId="5AD90C88">
                  <w:pPr>
                    <w:jc w:val="center"/>
                    <w:rPr>
                      <w:szCs w:val="21"/>
                    </w:rPr>
                  </w:pPr>
                  <w:r>
                    <w:rPr>
                      <w:rFonts w:hint="eastAsia"/>
                      <w:szCs w:val="21"/>
                    </w:rPr>
                    <w:t>沉降尘</w:t>
                  </w:r>
                </w:p>
              </w:tc>
              <w:tc>
                <w:tcPr>
                  <w:tcW w:w="605" w:type="pct"/>
                  <w:vAlign w:val="center"/>
                </w:tcPr>
                <w:p w14:paraId="3BEB3B44">
                  <w:pPr>
                    <w:pStyle w:val="40"/>
                    <w:spacing w:beforeLines="0" w:afterLines="0" w:line="240" w:lineRule="auto"/>
                    <w:rPr>
                      <w:rFonts w:ascii="Times New Roman"/>
                      <w:snapToGrid w:val="0"/>
                      <w:kern w:val="21"/>
                      <w:szCs w:val="21"/>
                    </w:rPr>
                  </w:pPr>
                  <w:r>
                    <w:rPr>
                      <w:rFonts w:hint="eastAsia" w:ascii="Times New Roman"/>
                      <w:snapToGrid w:val="0"/>
                      <w:kern w:val="21"/>
                      <w:szCs w:val="21"/>
                    </w:rPr>
                    <w:t>4.6</w:t>
                  </w:r>
                </w:p>
              </w:tc>
              <w:tc>
                <w:tcPr>
                  <w:tcW w:w="605" w:type="pct"/>
                  <w:vAlign w:val="center"/>
                </w:tcPr>
                <w:p w14:paraId="47347F34">
                  <w:pPr>
                    <w:jc w:val="center"/>
                    <w:rPr>
                      <w:szCs w:val="21"/>
                    </w:rPr>
                  </w:pPr>
                  <w:r>
                    <w:rPr>
                      <w:rFonts w:hint="eastAsia"/>
                      <w:szCs w:val="21"/>
                    </w:rPr>
                    <w:t>21.01</w:t>
                  </w:r>
                </w:p>
              </w:tc>
              <w:tc>
                <w:tcPr>
                  <w:tcW w:w="832" w:type="pct"/>
                  <w:shd w:val="clear" w:color="auto" w:fill="FFFFFF" w:themeFill="background1"/>
                  <w:vAlign w:val="center"/>
                </w:tcPr>
                <w:p w14:paraId="675B2C31">
                  <w:pPr>
                    <w:jc w:val="center"/>
                    <w:rPr>
                      <w:szCs w:val="21"/>
                    </w:rPr>
                  </w:pPr>
                  <w:r>
                    <w:rPr>
                      <w:rFonts w:hint="eastAsia"/>
                      <w:szCs w:val="21"/>
                    </w:rPr>
                    <w:t>外售综合利用</w:t>
                  </w:r>
                </w:p>
              </w:tc>
              <w:tc>
                <w:tcPr>
                  <w:tcW w:w="605" w:type="pct"/>
                  <w:shd w:val="clear" w:color="auto" w:fill="FFFFFF" w:themeFill="background1"/>
                  <w:vAlign w:val="center"/>
                </w:tcPr>
                <w:p w14:paraId="5CAB6B4F">
                  <w:pPr>
                    <w:jc w:val="center"/>
                    <w:rPr>
                      <w:szCs w:val="21"/>
                    </w:rPr>
                  </w:pPr>
                  <w:r>
                    <w:rPr>
                      <w:rFonts w:hint="eastAsia"/>
                      <w:szCs w:val="21"/>
                    </w:rPr>
                    <w:t>25.61</w:t>
                  </w:r>
                </w:p>
              </w:tc>
              <w:tc>
                <w:tcPr>
                  <w:tcW w:w="626" w:type="pct"/>
                  <w:shd w:val="clear" w:color="auto" w:fill="FFFFFF" w:themeFill="background1"/>
                  <w:vAlign w:val="center"/>
                </w:tcPr>
                <w:p w14:paraId="50433F48">
                  <w:pPr>
                    <w:jc w:val="center"/>
                    <w:rPr>
                      <w:szCs w:val="21"/>
                    </w:rPr>
                  </w:pPr>
                  <w:r>
                    <w:rPr>
                      <w:rFonts w:hint="eastAsia"/>
                      <w:szCs w:val="21"/>
                    </w:rPr>
                    <w:t>+21.01</w:t>
                  </w:r>
                </w:p>
              </w:tc>
            </w:tr>
            <w:tr w14:paraId="61087C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2D60D24">
                  <w:pPr>
                    <w:adjustRightInd w:val="0"/>
                    <w:snapToGrid w:val="0"/>
                    <w:jc w:val="center"/>
                    <w:rPr>
                      <w:szCs w:val="21"/>
                    </w:rPr>
                  </w:pPr>
                </w:p>
              </w:tc>
              <w:tc>
                <w:tcPr>
                  <w:tcW w:w="375" w:type="pct"/>
                  <w:vMerge w:val="continue"/>
                  <w:vAlign w:val="center"/>
                </w:tcPr>
                <w:p w14:paraId="798343B2">
                  <w:pPr>
                    <w:adjustRightInd w:val="0"/>
                    <w:snapToGrid w:val="0"/>
                    <w:jc w:val="center"/>
                    <w:rPr>
                      <w:szCs w:val="21"/>
                    </w:rPr>
                  </w:pPr>
                </w:p>
              </w:tc>
              <w:tc>
                <w:tcPr>
                  <w:tcW w:w="953" w:type="pct"/>
                  <w:gridSpan w:val="2"/>
                  <w:vAlign w:val="center"/>
                </w:tcPr>
                <w:p w14:paraId="58EA7C25">
                  <w:pPr>
                    <w:jc w:val="center"/>
                    <w:rPr>
                      <w:szCs w:val="21"/>
                    </w:rPr>
                  </w:pPr>
                  <w:r>
                    <w:rPr>
                      <w:rFonts w:hint="eastAsia"/>
                      <w:szCs w:val="21"/>
                    </w:rPr>
                    <w:t>清筛杂质</w:t>
                  </w:r>
                </w:p>
              </w:tc>
              <w:tc>
                <w:tcPr>
                  <w:tcW w:w="605" w:type="pct"/>
                  <w:vAlign w:val="center"/>
                </w:tcPr>
                <w:p w14:paraId="4939CE19">
                  <w:pPr>
                    <w:pStyle w:val="40"/>
                    <w:spacing w:beforeLines="0" w:afterLines="0" w:line="240" w:lineRule="auto"/>
                    <w:rPr>
                      <w:rFonts w:ascii="Times New Roman"/>
                      <w:snapToGrid w:val="0"/>
                      <w:kern w:val="21"/>
                      <w:szCs w:val="21"/>
                    </w:rPr>
                  </w:pPr>
                  <w:r>
                    <w:rPr>
                      <w:rFonts w:hint="eastAsia" w:ascii="Times New Roman"/>
                      <w:snapToGrid w:val="0"/>
                      <w:kern w:val="21"/>
                      <w:szCs w:val="21"/>
                    </w:rPr>
                    <w:t>165</w:t>
                  </w:r>
                </w:p>
              </w:tc>
              <w:tc>
                <w:tcPr>
                  <w:tcW w:w="605" w:type="pct"/>
                  <w:vAlign w:val="center"/>
                </w:tcPr>
                <w:p w14:paraId="5B7863FF">
                  <w:pPr>
                    <w:jc w:val="center"/>
                    <w:rPr>
                      <w:szCs w:val="21"/>
                    </w:rPr>
                  </w:pPr>
                  <w:r>
                    <w:rPr>
                      <w:rFonts w:hint="eastAsia"/>
                      <w:szCs w:val="21"/>
                    </w:rPr>
                    <w:t>753</w:t>
                  </w:r>
                </w:p>
              </w:tc>
              <w:tc>
                <w:tcPr>
                  <w:tcW w:w="832" w:type="pct"/>
                  <w:shd w:val="clear" w:color="auto" w:fill="FFFFFF" w:themeFill="background1"/>
                  <w:vAlign w:val="center"/>
                </w:tcPr>
                <w:p w14:paraId="6DC7E3D7">
                  <w:pPr>
                    <w:jc w:val="center"/>
                    <w:rPr>
                      <w:szCs w:val="21"/>
                    </w:rPr>
                  </w:pPr>
                  <w:r>
                    <w:rPr>
                      <w:rFonts w:hint="eastAsia"/>
                      <w:szCs w:val="21"/>
                    </w:rPr>
                    <w:t>收集后交环卫部门统一清运处理</w:t>
                  </w:r>
                </w:p>
              </w:tc>
              <w:tc>
                <w:tcPr>
                  <w:tcW w:w="605" w:type="pct"/>
                  <w:shd w:val="clear" w:color="auto" w:fill="FFFFFF" w:themeFill="background1"/>
                  <w:vAlign w:val="center"/>
                </w:tcPr>
                <w:p w14:paraId="6AA7F000">
                  <w:pPr>
                    <w:jc w:val="center"/>
                    <w:rPr>
                      <w:szCs w:val="21"/>
                    </w:rPr>
                  </w:pPr>
                  <w:r>
                    <w:rPr>
                      <w:rFonts w:hint="eastAsia"/>
                      <w:szCs w:val="21"/>
                    </w:rPr>
                    <w:t>918</w:t>
                  </w:r>
                </w:p>
              </w:tc>
              <w:tc>
                <w:tcPr>
                  <w:tcW w:w="626" w:type="pct"/>
                  <w:shd w:val="clear" w:color="auto" w:fill="FFFFFF" w:themeFill="background1"/>
                  <w:vAlign w:val="center"/>
                </w:tcPr>
                <w:p w14:paraId="1CF886E4">
                  <w:pPr>
                    <w:jc w:val="center"/>
                    <w:rPr>
                      <w:szCs w:val="21"/>
                    </w:rPr>
                  </w:pPr>
                  <w:r>
                    <w:rPr>
                      <w:rFonts w:hint="eastAsia"/>
                      <w:szCs w:val="21"/>
                    </w:rPr>
                    <w:t>+753</w:t>
                  </w:r>
                </w:p>
              </w:tc>
            </w:tr>
            <w:tr w14:paraId="5C369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1AA3994">
                  <w:pPr>
                    <w:adjustRightInd w:val="0"/>
                    <w:snapToGrid w:val="0"/>
                    <w:jc w:val="center"/>
                    <w:rPr>
                      <w:szCs w:val="21"/>
                    </w:rPr>
                  </w:pPr>
                </w:p>
              </w:tc>
              <w:tc>
                <w:tcPr>
                  <w:tcW w:w="375" w:type="pct"/>
                  <w:vMerge w:val="continue"/>
                  <w:vAlign w:val="center"/>
                </w:tcPr>
                <w:p w14:paraId="4FDEA1A8">
                  <w:pPr>
                    <w:adjustRightInd w:val="0"/>
                    <w:snapToGrid w:val="0"/>
                    <w:jc w:val="center"/>
                    <w:rPr>
                      <w:szCs w:val="21"/>
                    </w:rPr>
                  </w:pPr>
                </w:p>
              </w:tc>
              <w:tc>
                <w:tcPr>
                  <w:tcW w:w="953" w:type="pct"/>
                  <w:gridSpan w:val="2"/>
                  <w:vAlign w:val="center"/>
                </w:tcPr>
                <w:p w14:paraId="4E7AB92E">
                  <w:pPr>
                    <w:jc w:val="center"/>
                    <w:rPr>
                      <w:szCs w:val="21"/>
                    </w:rPr>
                  </w:pPr>
                  <w:r>
                    <w:rPr>
                      <w:szCs w:val="21"/>
                    </w:rPr>
                    <w:t>炉渣</w:t>
                  </w:r>
                </w:p>
              </w:tc>
              <w:tc>
                <w:tcPr>
                  <w:tcW w:w="605" w:type="pct"/>
                  <w:vAlign w:val="center"/>
                </w:tcPr>
                <w:p w14:paraId="169C5ECC">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605" w:type="pct"/>
                  <w:vAlign w:val="center"/>
                </w:tcPr>
                <w:p w14:paraId="008C5B25">
                  <w:pPr>
                    <w:jc w:val="center"/>
                    <w:rPr>
                      <w:szCs w:val="21"/>
                    </w:rPr>
                  </w:pPr>
                  <w:r>
                    <w:rPr>
                      <w:rFonts w:hint="eastAsia"/>
                      <w:szCs w:val="21"/>
                    </w:rPr>
                    <w:t>58.16</w:t>
                  </w:r>
                </w:p>
              </w:tc>
              <w:tc>
                <w:tcPr>
                  <w:tcW w:w="832" w:type="pct"/>
                  <w:vAlign w:val="center"/>
                </w:tcPr>
                <w:p w14:paraId="45BF8FCA">
                  <w:pPr>
                    <w:jc w:val="center"/>
                    <w:rPr>
                      <w:szCs w:val="21"/>
                    </w:rPr>
                  </w:pPr>
                  <w:r>
                    <w:rPr>
                      <w:rFonts w:hint="eastAsia"/>
                      <w:szCs w:val="21"/>
                    </w:rPr>
                    <w:t>由周边农户拉走用作农肥</w:t>
                  </w:r>
                </w:p>
              </w:tc>
              <w:tc>
                <w:tcPr>
                  <w:tcW w:w="605" w:type="pct"/>
                  <w:vAlign w:val="center"/>
                </w:tcPr>
                <w:p w14:paraId="1852F121">
                  <w:pPr>
                    <w:jc w:val="center"/>
                    <w:rPr>
                      <w:szCs w:val="21"/>
                    </w:rPr>
                  </w:pPr>
                  <w:r>
                    <w:rPr>
                      <w:rFonts w:hint="eastAsia"/>
                      <w:szCs w:val="21"/>
                    </w:rPr>
                    <w:t>58.16</w:t>
                  </w:r>
                </w:p>
              </w:tc>
              <w:tc>
                <w:tcPr>
                  <w:tcW w:w="626" w:type="pct"/>
                  <w:vAlign w:val="center"/>
                </w:tcPr>
                <w:p w14:paraId="32D7C557">
                  <w:pPr>
                    <w:jc w:val="center"/>
                    <w:rPr>
                      <w:szCs w:val="21"/>
                    </w:rPr>
                  </w:pPr>
                  <w:r>
                    <w:rPr>
                      <w:rFonts w:hint="eastAsia"/>
                      <w:szCs w:val="21"/>
                    </w:rPr>
                    <w:t>+58.16</w:t>
                  </w:r>
                </w:p>
              </w:tc>
            </w:tr>
            <w:tr w14:paraId="1035C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681109D">
                  <w:pPr>
                    <w:adjustRightInd w:val="0"/>
                    <w:snapToGrid w:val="0"/>
                    <w:jc w:val="center"/>
                    <w:rPr>
                      <w:szCs w:val="21"/>
                    </w:rPr>
                  </w:pPr>
                </w:p>
              </w:tc>
              <w:tc>
                <w:tcPr>
                  <w:tcW w:w="375" w:type="pct"/>
                  <w:vMerge w:val="continue"/>
                  <w:vAlign w:val="center"/>
                </w:tcPr>
                <w:p w14:paraId="78FB7321">
                  <w:pPr>
                    <w:adjustRightInd w:val="0"/>
                    <w:snapToGrid w:val="0"/>
                    <w:jc w:val="center"/>
                    <w:rPr>
                      <w:szCs w:val="21"/>
                    </w:rPr>
                  </w:pPr>
                </w:p>
              </w:tc>
              <w:tc>
                <w:tcPr>
                  <w:tcW w:w="953" w:type="pct"/>
                  <w:gridSpan w:val="2"/>
                  <w:vAlign w:val="center"/>
                </w:tcPr>
                <w:p w14:paraId="71CCDC37">
                  <w:pPr>
                    <w:jc w:val="center"/>
                    <w:rPr>
                      <w:szCs w:val="21"/>
                    </w:rPr>
                  </w:pPr>
                  <w:r>
                    <w:rPr>
                      <w:szCs w:val="21"/>
                    </w:rPr>
                    <w:t>废布袋</w:t>
                  </w:r>
                </w:p>
              </w:tc>
              <w:tc>
                <w:tcPr>
                  <w:tcW w:w="605" w:type="pct"/>
                  <w:vAlign w:val="center"/>
                </w:tcPr>
                <w:p w14:paraId="2F34DBE8">
                  <w:pPr>
                    <w:pStyle w:val="40"/>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605" w:type="pct"/>
                  <w:vAlign w:val="center"/>
                </w:tcPr>
                <w:p w14:paraId="2CC9E360">
                  <w:pPr>
                    <w:jc w:val="center"/>
                    <w:rPr>
                      <w:szCs w:val="21"/>
                    </w:rPr>
                  </w:pPr>
                  <w:r>
                    <w:rPr>
                      <w:rFonts w:hint="eastAsia"/>
                      <w:szCs w:val="21"/>
                    </w:rPr>
                    <w:t>0.15</w:t>
                  </w:r>
                </w:p>
              </w:tc>
              <w:tc>
                <w:tcPr>
                  <w:tcW w:w="832" w:type="pct"/>
                  <w:vAlign w:val="center"/>
                </w:tcPr>
                <w:p w14:paraId="439BA111">
                  <w:pPr>
                    <w:adjustRightInd w:val="0"/>
                    <w:snapToGrid w:val="0"/>
                    <w:jc w:val="center"/>
                    <w:rPr>
                      <w:szCs w:val="21"/>
                    </w:rPr>
                  </w:pPr>
                  <w:r>
                    <w:rPr>
                      <w:rFonts w:hint="eastAsia" w:hAnsi="宋体"/>
                      <w:bCs/>
                      <w:szCs w:val="21"/>
                    </w:rPr>
                    <w:t>交由厂家回收处理</w:t>
                  </w:r>
                </w:p>
              </w:tc>
              <w:tc>
                <w:tcPr>
                  <w:tcW w:w="605" w:type="pct"/>
                  <w:vAlign w:val="center"/>
                </w:tcPr>
                <w:p w14:paraId="7B6B8AAC">
                  <w:pPr>
                    <w:jc w:val="center"/>
                    <w:rPr>
                      <w:szCs w:val="21"/>
                    </w:rPr>
                  </w:pPr>
                  <w:r>
                    <w:rPr>
                      <w:rFonts w:hint="eastAsia"/>
                      <w:szCs w:val="21"/>
                    </w:rPr>
                    <w:t>0.2</w:t>
                  </w:r>
                </w:p>
              </w:tc>
              <w:tc>
                <w:tcPr>
                  <w:tcW w:w="626" w:type="pct"/>
                  <w:vAlign w:val="center"/>
                </w:tcPr>
                <w:p w14:paraId="47F44525">
                  <w:pPr>
                    <w:jc w:val="center"/>
                    <w:rPr>
                      <w:szCs w:val="21"/>
                    </w:rPr>
                  </w:pPr>
                  <w:r>
                    <w:rPr>
                      <w:rFonts w:hint="eastAsia"/>
                      <w:szCs w:val="21"/>
                    </w:rPr>
                    <w:t>+0.15</w:t>
                  </w:r>
                </w:p>
              </w:tc>
            </w:tr>
            <w:tr w14:paraId="5A893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5AB09716">
                  <w:pPr>
                    <w:adjustRightInd w:val="0"/>
                    <w:snapToGrid w:val="0"/>
                    <w:jc w:val="center"/>
                    <w:rPr>
                      <w:szCs w:val="21"/>
                    </w:rPr>
                  </w:pPr>
                </w:p>
              </w:tc>
              <w:tc>
                <w:tcPr>
                  <w:tcW w:w="375" w:type="pct"/>
                  <w:vMerge w:val="restart"/>
                  <w:vAlign w:val="center"/>
                </w:tcPr>
                <w:p w14:paraId="051F30BC">
                  <w:pPr>
                    <w:adjustRightInd w:val="0"/>
                    <w:snapToGrid w:val="0"/>
                    <w:jc w:val="center"/>
                    <w:rPr>
                      <w:szCs w:val="21"/>
                    </w:rPr>
                  </w:pPr>
                  <w:r>
                    <w:rPr>
                      <w:szCs w:val="21"/>
                    </w:rPr>
                    <w:t>危险废物</w:t>
                  </w:r>
                </w:p>
              </w:tc>
              <w:tc>
                <w:tcPr>
                  <w:tcW w:w="953" w:type="pct"/>
                  <w:gridSpan w:val="2"/>
                  <w:vAlign w:val="center"/>
                </w:tcPr>
                <w:p w14:paraId="022D3788">
                  <w:pPr>
                    <w:jc w:val="center"/>
                    <w:rPr>
                      <w:kern w:val="0"/>
                      <w:szCs w:val="21"/>
                    </w:rPr>
                  </w:pPr>
                  <w:r>
                    <w:rPr>
                      <w:rFonts w:hint="eastAsia"/>
                      <w:kern w:val="0"/>
                      <w:szCs w:val="21"/>
                    </w:rPr>
                    <w:t>废试剂瓶等实验用品</w:t>
                  </w:r>
                </w:p>
              </w:tc>
              <w:tc>
                <w:tcPr>
                  <w:tcW w:w="605" w:type="pct"/>
                  <w:vAlign w:val="center"/>
                </w:tcPr>
                <w:p w14:paraId="5AE328AF">
                  <w:pPr>
                    <w:pStyle w:val="40"/>
                    <w:spacing w:beforeLines="0" w:afterLines="0" w:line="240" w:lineRule="auto"/>
                    <w:rPr>
                      <w:rFonts w:ascii="Times New Roman"/>
                      <w:snapToGrid w:val="0"/>
                      <w:kern w:val="21"/>
                      <w:szCs w:val="21"/>
                    </w:rPr>
                  </w:pPr>
                  <w:r>
                    <w:rPr>
                      <w:rFonts w:hint="eastAsia" w:ascii="Times New Roman"/>
                      <w:snapToGrid w:val="0"/>
                      <w:kern w:val="21"/>
                      <w:szCs w:val="21"/>
                    </w:rPr>
                    <w:t>0.001</w:t>
                  </w:r>
                </w:p>
              </w:tc>
              <w:tc>
                <w:tcPr>
                  <w:tcW w:w="605" w:type="pct"/>
                  <w:vAlign w:val="center"/>
                </w:tcPr>
                <w:p w14:paraId="7A3DAE72">
                  <w:pPr>
                    <w:jc w:val="center"/>
                    <w:rPr>
                      <w:szCs w:val="21"/>
                    </w:rPr>
                  </w:pPr>
                  <w:r>
                    <w:rPr>
                      <w:rFonts w:hint="eastAsia"/>
                      <w:szCs w:val="21"/>
                    </w:rPr>
                    <w:t>0.001</w:t>
                  </w:r>
                </w:p>
              </w:tc>
              <w:tc>
                <w:tcPr>
                  <w:tcW w:w="832" w:type="pct"/>
                  <w:vMerge w:val="restart"/>
                  <w:vAlign w:val="center"/>
                </w:tcPr>
                <w:p w14:paraId="40A820F4">
                  <w:pPr>
                    <w:adjustRightInd w:val="0"/>
                    <w:snapToGrid w:val="0"/>
                    <w:jc w:val="center"/>
                    <w:rPr>
                      <w:szCs w:val="21"/>
                    </w:rPr>
                  </w:pPr>
                  <w:r>
                    <w:rPr>
                      <w:rFonts w:hint="eastAsia"/>
                      <w:szCs w:val="21"/>
                    </w:rPr>
                    <w:t>委托资质单位处置</w:t>
                  </w:r>
                </w:p>
              </w:tc>
              <w:tc>
                <w:tcPr>
                  <w:tcW w:w="605" w:type="pct"/>
                  <w:vAlign w:val="center"/>
                </w:tcPr>
                <w:p w14:paraId="0EAB84D5">
                  <w:pPr>
                    <w:jc w:val="center"/>
                    <w:rPr>
                      <w:szCs w:val="21"/>
                    </w:rPr>
                  </w:pPr>
                  <w:r>
                    <w:rPr>
                      <w:rFonts w:hint="eastAsia"/>
                      <w:szCs w:val="21"/>
                    </w:rPr>
                    <w:t>0.002</w:t>
                  </w:r>
                </w:p>
              </w:tc>
              <w:tc>
                <w:tcPr>
                  <w:tcW w:w="626" w:type="pct"/>
                  <w:vAlign w:val="center"/>
                </w:tcPr>
                <w:p w14:paraId="481D0F71">
                  <w:pPr>
                    <w:jc w:val="center"/>
                    <w:rPr>
                      <w:szCs w:val="21"/>
                    </w:rPr>
                  </w:pPr>
                  <w:r>
                    <w:rPr>
                      <w:rFonts w:hint="eastAsia"/>
                      <w:szCs w:val="21"/>
                    </w:rPr>
                    <w:t>+0.001</w:t>
                  </w:r>
                </w:p>
              </w:tc>
            </w:tr>
            <w:tr w14:paraId="4B501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361C310">
                  <w:pPr>
                    <w:adjustRightInd w:val="0"/>
                    <w:snapToGrid w:val="0"/>
                    <w:jc w:val="center"/>
                    <w:rPr>
                      <w:szCs w:val="21"/>
                    </w:rPr>
                  </w:pPr>
                </w:p>
              </w:tc>
              <w:tc>
                <w:tcPr>
                  <w:tcW w:w="375" w:type="pct"/>
                  <w:vMerge w:val="continue"/>
                  <w:vAlign w:val="center"/>
                </w:tcPr>
                <w:p w14:paraId="782CED29">
                  <w:pPr>
                    <w:adjustRightInd w:val="0"/>
                    <w:snapToGrid w:val="0"/>
                    <w:jc w:val="center"/>
                    <w:rPr>
                      <w:szCs w:val="21"/>
                    </w:rPr>
                  </w:pPr>
                </w:p>
              </w:tc>
              <w:tc>
                <w:tcPr>
                  <w:tcW w:w="953" w:type="pct"/>
                  <w:gridSpan w:val="2"/>
                  <w:vAlign w:val="center"/>
                </w:tcPr>
                <w:p w14:paraId="41905A28">
                  <w:pPr>
                    <w:jc w:val="center"/>
                    <w:rPr>
                      <w:kern w:val="0"/>
                      <w:szCs w:val="21"/>
                    </w:rPr>
                  </w:pPr>
                  <w:r>
                    <w:rPr>
                      <w:rFonts w:hint="eastAsia"/>
                      <w:kern w:val="0"/>
                      <w:szCs w:val="21"/>
                    </w:rPr>
                    <w:t>实验废液</w:t>
                  </w:r>
                </w:p>
              </w:tc>
              <w:tc>
                <w:tcPr>
                  <w:tcW w:w="605" w:type="pct"/>
                  <w:vAlign w:val="center"/>
                </w:tcPr>
                <w:p w14:paraId="4FFC2FD9">
                  <w:pPr>
                    <w:pStyle w:val="40"/>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605" w:type="pct"/>
                  <w:vAlign w:val="center"/>
                </w:tcPr>
                <w:p w14:paraId="3C5EF6C0">
                  <w:pPr>
                    <w:jc w:val="center"/>
                    <w:rPr>
                      <w:szCs w:val="21"/>
                    </w:rPr>
                  </w:pPr>
                  <w:r>
                    <w:rPr>
                      <w:rFonts w:hint="eastAsia"/>
                      <w:szCs w:val="21"/>
                    </w:rPr>
                    <w:t>0.1</w:t>
                  </w:r>
                </w:p>
              </w:tc>
              <w:tc>
                <w:tcPr>
                  <w:tcW w:w="832" w:type="pct"/>
                  <w:vMerge w:val="continue"/>
                  <w:vAlign w:val="center"/>
                </w:tcPr>
                <w:p w14:paraId="43EA818A">
                  <w:pPr>
                    <w:adjustRightInd w:val="0"/>
                    <w:snapToGrid w:val="0"/>
                    <w:jc w:val="center"/>
                    <w:rPr>
                      <w:szCs w:val="21"/>
                    </w:rPr>
                  </w:pPr>
                </w:p>
              </w:tc>
              <w:tc>
                <w:tcPr>
                  <w:tcW w:w="605" w:type="pct"/>
                  <w:vAlign w:val="center"/>
                </w:tcPr>
                <w:p w14:paraId="29E263FF">
                  <w:pPr>
                    <w:jc w:val="center"/>
                    <w:rPr>
                      <w:szCs w:val="21"/>
                    </w:rPr>
                  </w:pPr>
                  <w:r>
                    <w:rPr>
                      <w:rFonts w:hint="eastAsia"/>
                      <w:szCs w:val="21"/>
                    </w:rPr>
                    <w:t>0.2</w:t>
                  </w:r>
                </w:p>
              </w:tc>
              <w:tc>
                <w:tcPr>
                  <w:tcW w:w="626" w:type="pct"/>
                  <w:vAlign w:val="center"/>
                </w:tcPr>
                <w:p w14:paraId="10B06CA0">
                  <w:pPr>
                    <w:jc w:val="center"/>
                    <w:rPr>
                      <w:szCs w:val="21"/>
                    </w:rPr>
                  </w:pPr>
                  <w:r>
                    <w:rPr>
                      <w:rFonts w:hint="eastAsia"/>
                      <w:szCs w:val="21"/>
                    </w:rPr>
                    <w:t>+0.1</w:t>
                  </w:r>
                </w:p>
              </w:tc>
            </w:tr>
            <w:tr w14:paraId="1C250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11CC3AC2">
                  <w:pPr>
                    <w:adjustRightInd w:val="0"/>
                    <w:snapToGrid w:val="0"/>
                    <w:jc w:val="center"/>
                    <w:rPr>
                      <w:szCs w:val="21"/>
                    </w:rPr>
                  </w:pPr>
                </w:p>
              </w:tc>
              <w:tc>
                <w:tcPr>
                  <w:tcW w:w="375" w:type="pct"/>
                  <w:vMerge w:val="continue"/>
                  <w:vAlign w:val="center"/>
                </w:tcPr>
                <w:p w14:paraId="446E310B">
                  <w:pPr>
                    <w:adjustRightInd w:val="0"/>
                    <w:snapToGrid w:val="0"/>
                    <w:jc w:val="center"/>
                    <w:rPr>
                      <w:szCs w:val="21"/>
                    </w:rPr>
                  </w:pPr>
                </w:p>
              </w:tc>
              <w:tc>
                <w:tcPr>
                  <w:tcW w:w="953" w:type="pct"/>
                  <w:gridSpan w:val="2"/>
                  <w:vAlign w:val="center"/>
                </w:tcPr>
                <w:p w14:paraId="1B79B34B">
                  <w:pPr>
                    <w:jc w:val="center"/>
                    <w:rPr>
                      <w:kern w:val="0"/>
                      <w:szCs w:val="21"/>
                    </w:rPr>
                  </w:pPr>
                  <w:r>
                    <w:rPr>
                      <w:rFonts w:hint="eastAsia"/>
                      <w:kern w:val="0"/>
                      <w:szCs w:val="21"/>
                    </w:rPr>
                    <w:t>熏蒸药剂使用后的残渣</w:t>
                  </w:r>
                </w:p>
              </w:tc>
              <w:tc>
                <w:tcPr>
                  <w:tcW w:w="605" w:type="pct"/>
                  <w:vAlign w:val="center"/>
                </w:tcPr>
                <w:p w14:paraId="2D0ABE26">
                  <w:pPr>
                    <w:pStyle w:val="40"/>
                    <w:spacing w:beforeLines="0" w:afterLines="0" w:line="240" w:lineRule="auto"/>
                    <w:rPr>
                      <w:rFonts w:ascii="Times New Roman"/>
                      <w:snapToGrid w:val="0"/>
                      <w:kern w:val="21"/>
                      <w:szCs w:val="21"/>
                    </w:rPr>
                  </w:pPr>
                  <w:r>
                    <w:rPr>
                      <w:rFonts w:hint="eastAsia" w:ascii="Times New Roman"/>
                      <w:snapToGrid w:val="0"/>
                      <w:kern w:val="21"/>
                      <w:szCs w:val="21"/>
                    </w:rPr>
                    <w:t>0.03</w:t>
                  </w:r>
                </w:p>
              </w:tc>
              <w:tc>
                <w:tcPr>
                  <w:tcW w:w="605" w:type="pct"/>
                  <w:vAlign w:val="center"/>
                </w:tcPr>
                <w:p w14:paraId="07C11FF2">
                  <w:pPr>
                    <w:jc w:val="center"/>
                    <w:rPr>
                      <w:szCs w:val="21"/>
                    </w:rPr>
                  </w:pPr>
                  <w:r>
                    <w:rPr>
                      <w:rFonts w:hint="eastAsia"/>
                      <w:szCs w:val="21"/>
                    </w:rPr>
                    <w:t>0.02</w:t>
                  </w:r>
                </w:p>
              </w:tc>
              <w:tc>
                <w:tcPr>
                  <w:tcW w:w="832" w:type="pct"/>
                  <w:vMerge w:val="continue"/>
                  <w:vAlign w:val="center"/>
                </w:tcPr>
                <w:p w14:paraId="7B71CF57">
                  <w:pPr>
                    <w:adjustRightInd w:val="0"/>
                    <w:snapToGrid w:val="0"/>
                    <w:jc w:val="center"/>
                    <w:rPr>
                      <w:szCs w:val="21"/>
                    </w:rPr>
                  </w:pPr>
                </w:p>
              </w:tc>
              <w:tc>
                <w:tcPr>
                  <w:tcW w:w="605" w:type="pct"/>
                  <w:vAlign w:val="center"/>
                </w:tcPr>
                <w:p w14:paraId="62479998">
                  <w:pPr>
                    <w:jc w:val="center"/>
                    <w:rPr>
                      <w:szCs w:val="21"/>
                    </w:rPr>
                  </w:pPr>
                  <w:r>
                    <w:rPr>
                      <w:rFonts w:hint="eastAsia"/>
                      <w:szCs w:val="21"/>
                    </w:rPr>
                    <w:t>0.05</w:t>
                  </w:r>
                </w:p>
              </w:tc>
              <w:tc>
                <w:tcPr>
                  <w:tcW w:w="626" w:type="pct"/>
                  <w:vAlign w:val="center"/>
                </w:tcPr>
                <w:p w14:paraId="30593C75">
                  <w:pPr>
                    <w:jc w:val="center"/>
                    <w:rPr>
                      <w:szCs w:val="21"/>
                    </w:rPr>
                  </w:pPr>
                  <w:r>
                    <w:rPr>
                      <w:rFonts w:hint="eastAsia"/>
                      <w:szCs w:val="21"/>
                    </w:rPr>
                    <w:t>+0.02</w:t>
                  </w:r>
                </w:p>
              </w:tc>
            </w:tr>
            <w:tr w14:paraId="6BF7B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3781BBA9">
                  <w:pPr>
                    <w:adjustRightInd w:val="0"/>
                    <w:snapToGrid w:val="0"/>
                    <w:jc w:val="center"/>
                    <w:rPr>
                      <w:szCs w:val="21"/>
                    </w:rPr>
                  </w:pPr>
                </w:p>
              </w:tc>
              <w:tc>
                <w:tcPr>
                  <w:tcW w:w="375" w:type="pct"/>
                  <w:vMerge w:val="continue"/>
                  <w:vAlign w:val="center"/>
                </w:tcPr>
                <w:p w14:paraId="5E8A1B6A">
                  <w:pPr>
                    <w:adjustRightInd w:val="0"/>
                    <w:snapToGrid w:val="0"/>
                    <w:jc w:val="center"/>
                    <w:rPr>
                      <w:szCs w:val="21"/>
                    </w:rPr>
                  </w:pPr>
                </w:p>
              </w:tc>
              <w:tc>
                <w:tcPr>
                  <w:tcW w:w="953" w:type="pct"/>
                  <w:gridSpan w:val="2"/>
                  <w:vAlign w:val="center"/>
                </w:tcPr>
                <w:p w14:paraId="66A893F0">
                  <w:pPr>
                    <w:jc w:val="center"/>
                    <w:rPr>
                      <w:kern w:val="0"/>
                      <w:szCs w:val="21"/>
                    </w:rPr>
                  </w:pPr>
                  <w:r>
                    <w:rPr>
                      <w:rFonts w:hint="eastAsia"/>
                      <w:kern w:val="0"/>
                      <w:szCs w:val="21"/>
                    </w:rPr>
                    <w:t>废矿物油</w:t>
                  </w:r>
                </w:p>
              </w:tc>
              <w:tc>
                <w:tcPr>
                  <w:tcW w:w="605" w:type="pct"/>
                  <w:vAlign w:val="center"/>
                </w:tcPr>
                <w:p w14:paraId="782E6583">
                  <w:pPr>
                    <w:pStyle w:val="40"/>
                    <w:spacing w:beforeLines="0" w:afterLines="0" w:line="240" w:lineRule="auto"/>
                    <w:rPr>
                      <w:rFonts w:ascii="Times New Roman"/>
                      <w:snapToGrid w:val="0"/>
                      <w:kern w:val="21"/>
                      <w:szCs w:val="21"/>
                    </w:rPr>
                  </w:pPr>
                  <w:r>
                    <w:rPr>
                      <w:rFonts w:hint="eastAsia" w:ascii="Times New Roman"/>
                      <w:snapToGrid w:val="0"/>
                      <w:kern w:val="21"/>
                      <w:szCs w:val="21"/>
                    </w:rPr>
                    <w:t>0.02</w:t>
                  </w:r>
                </w:p>
              </w:tc>
              <w:tc>
                <w:tcPr>
                  <w:tcW w:w="605" w:type="pct"/>
                  <w:vAlign w:val="center"/>
                </w:tcPr>
                <w:p w14:paraId="49A7AD29">
                  <w:pPr>
                    <w:jc w:val="center"/>
                    <w:rPr>
                      <w:szCs w:val="21"/>
                    </w:rPr>
                  </w:pPr>
                  <w:r>
                    <w:rPr>
                      <w:rFonts w:hint="eastAsia"/>
                      <w:szCs w:val="21"/>
                    </w:rPr>
                    <w:t>0.03</w:t>
                  </w:r>
                </w:p>
              </w:tc>
              <w:tc>
                <w:tcPr>
                  <w:tcW w:w="832" w:type="pct"/>
                  <w:vMerge w:val="continue"/>
                  <w:vAlign w:val="center"/>
                </w:tcPr>
                <w:p w14:paraId="689F34C1">
                  <w:pPr>
                    <w:adjustRightInd w:val="0"/>
                    <w:snapToGrid w:val="0"/>
                    <w:jc w:val="center"/>
                    <w:rPr>
                      <w:szCs w:val="21"/>
                    </w:rPr>
                  </w:pPr>
                </w:p>
              </w:tc>
              <w:tc>
                <w:tcPr>
                  <w:tcW w:w="605" w:type="pct"/>
                  <w:vAlign w:val="center"/>
                </w:tcPr>
                <w:p w14:paraId="4BF29A38">
                  <w:pPr>
                    <w:jc w:val="center"/>
                    <w:rPr>
                      <w:szCs w:val="21"/>
                    </w:rPr>
                  </w:pPr>
                  <w:r>
                    <w:rPr>
                      <w:rFonts w:hint="eastAsia"/>
                      <w:szCs w:val="21"/>
                    </w:rPr>
                    <w:t>0.05</w:t>
                  </w:r>
                </w:p>
              </w:tc>
              <w:tc>
                <w:tcPr>
                  <w:tcW w:w="626" w:type="pct"/>
                  <w:vAlign w:val="center"/>
                </w:tcPr>
                <w:p w14:paraId="310258C5">
                  <w:pPr>
                    <w:jc w:val="center"/>
                    <w:rPr>
                      <w:szCs w:val="21"/>
                    </w:rPr>
                  </w:pPr>
                  <w:r>
                    <w:rPr>
                      <w:rFonts w:hint="eastAsia"/>
                      <w:szCs w:val="21"/>
                    </w:rPr>
                    <w:t>+0.03</w:t>
                  </w:r>
                </w:p>
              </w:tc>
            </w:tr>
            <w:tr w14:paraId="46F98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77D301A6">
                  <w:pPr>
                    <w:adjustRightInd w:val="0"/>
                    <w:snapToGrid w:val="0"/>
                    <w:jc w:val="center"/>
                    <w:rPr>
                      <w:szCs w:val="21"/>
                    </w:rPr>
                  </w:pPr>
                </w:p>
              </w:tc>
              <w:tc>
                <w:tcPr>
                  <w:tcW w:w="375" w:type="pct"/>
                  <w:vMerge w:val="continue"/>
                  <w:vAlign w:val="center"/>
                </w:tcPr>
                <w:p w14:paraId="42DBE201">
                  <w:pPr>
                    <w:adjustRightInd w:val="0"/>
                    <w:snapToGrid w:val="0"/>
                    <w:jc w:val="center"/>
                    <w:rPr>
                      <w:szCs w:val="21"/>
                    </w:rPr>
                  </w:pPr>
                </w:p>
              </w:tc>
              <w:tc>
                <w:tcPr>
                  <w:tcW w:w="953" w:type="pct"/>
                  <w:gridSpan w:val="2"/>
                  <w:vAlign w:val="center"/>
                </w:tcPr>
                <w:p w14:paraId="7F3F68E6">
                  <w:pPr>
                    <w:jc w:val="center"/>
                    <w:rPr>
                      <w:kern w:val="0"/>
                      <w:szCs w:val="21"/>
                    </w:rPr>
                  </w:pPr>
                  <w:r>
                    <w:rPr>
                      <w:rFonts w:hint="eastAsia"/>
                      <w:kern w:val="0"/>
                      <w:szCs w:val="21"/>
                    </w:rPr>
                    <w:t>废油桶</w:t>
                  </w:r>
                </w:p>
              </w:tc>
              <w:tc>
                <w:tcPr>
                  <w:tcW w:w="605" w:type="pct"/>
                  <w:vAlign w:val="center"/>
                </w:tcPr>
                <w:p w14:paraId="75156917">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605" w:type="pct"/>
                  <w:vAlign w:val="center"/>
                </w:tcPr>
                <w:p w14:paraId="596DE2C5">
                  <w:pPr>
                    <w:jc w:val="center"/>
                    <w:rPr>
                      <w:szCs w:val="21"/>
                    </w:rPr>
                  </w:pPr>
                  <w:r>
                    <w:rPr>
                      <w:rFonts w:hint="eastAsia"/>
                      <w:szCs w:val="21"/>
                    </w:rPr>
                    <w:t>0.02</w:t>
                  </w:r>
                </w:p>
              </w:tc>
              <w:tc>
                <w:tcPr>
                  <w:tcW w:w="832" w:type="pct"/>
                  <w:vMerge w:val="continue"/>
                  <w:vAlign w:val="center"/>
                </w:tcPr>
                <w:p w14:paraId="1B2AA0A3">
                  <w:pPr>
                    <w:adjustRightInd w:val="0"/>
                    <w:snapToGrid w:val="0"/>
                    <w:jc w:val="center"/>
                    <w:rPr>
                      <w:szCs w:val="21"/>
                    </w:rPr>
                  </w:pPr>
                </w:p>
              </w:tc>
              <w:tc>
                <w:tcPr>
                  <w:tcW w:w="605" w:type="pct"/>
                  <w:vAlign w:val="center"/>
                </w:tcPr>
                <w:p w14:paraId="42ADA8B0">
                  <w:pPr>
                    <w:jc w:val="center"/>
                    <w:rPr>
                      <w:szCs w:val="21"/>
                    </w:rPr>
                  </w:pPr>
                  <w:r>
                    <w:rPr>
                      <w:rFonts w:hint="eastAsia"/>
                      <w:szCs w:val="21"/>
                    </w:rPr>
                    <w:t>0.03</w:t>
                  </w:r>
                </w:p>
              </w:tc>
              <w:tc>
                <w:tcPr>
                  <w:tcW w:w="626" w:type="pct"/>
                  <w:vAlign w:val="center"/>
                </w:tcPr>
                <w:p w14:paraId="798E654B">
                  <w:pPr>
                    <w:jc w:val="center"/>
                    <w:rPr>
                      <w:szCs w:val="21"/>
                    </w:rPr>
                  </w:pPr>
                  <w:r>
                    <w:rPr>
                      <w:rFonts w:hint="eastAsia"/>
                      <w:szCs w:val="21"/>
                    </w:rPr>
                    <w:t>+0.02</w:t>
                  </w:r>
                </w:p>
              </w:tc>
            </w:tr>
            <w:tr w14:paraId="7D7CD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4E0BBA56">
                  <w:pPr>
                    <w:adjustRightInd w:val="0"/>
                    <w:snapToGrid w:val="0"/>
                    <w:jc w:val="center"/>
                    <w:rPr>
                      <w:szCs w:val="21"/>
                    </w:rPr>
                  </w:pPr>
                </w:p>
              </w:tc>
              <w:tc>
                <w:tcPr>
                  <w:tcW w:w="375" w:type="pct"/>
                  <w:vMerge w:val="continue"/>
                  <w:vAlign w:val="center"/>
                </w:tcPr>
                <w:p w14:paraId="64143C51">
                  <w:pPr>
                    <w:adjustRightInd w:val="0"/>
                    <w:snapToGrid w:val="0"/>
                    <w:jc w:val="center"/>
                    <w:rPr>
                      <w:szCs w:val="21"/>
                    </w:rPr>
                  </w:pPr>
                </w:p>
              </w:tc>
              <w:tc>
                <w:tcPr>
                  <w:tcW w:w="953" w:type="pct"/>
                  <w:gridSpan w:val="2"/>
                  <w:vAlign w:val="center"/>
                </w:tcPr>
                <w:p w14:paraId="53DC8497">
                  <w:pPr>
                    <w:jc w:val="center"/>
                    <w:rPr>
                      <w:kern w:val="0"/>
                      <w:szCs w:val="21"/>
                    </w:rPr>
                  </w:pPr>
                  <w:r>
                    <w:rPr>
                      <w:rFonts w:hint="eastAsia"/>
                      <w:kern w:val="0"/>
                      <w:szCs w:val="21"/>
                    </w:rPr>
                    <w:t>废含油手套及抹布</w:t>
                  </w:r>
                </w:p>
              </w:tc>
              <w:tc>
                <w:tcPr>
                  <w:tcW w:w="605" w:type="pct"/>
                  <w:vAlign w:val="center"/>
                </w:tcPr>
                <w:p w14:paraId="6742496D">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605" w:type="pct"/>
                  <w:vAlign w:val="center"/>
                </w:tcPr>
                <w:p w14:paraId="32415AC8">
                  <w:pPr>
                    <w:jc w:val="center"/>
                    <w:rPr>
                      <w:szCs w:val="21"/>
                    </w:rPr>
                  </w:pPr>
                  <w:r>
                    <w:rPr>
                      <w:rFonts w:hint="eastAsia"/>
                      <w:szCs w:val="21"/>
                    </w:rPr>
                    <w:t>0.01</w:t>
                  </w:r>
                </w:p>
              </w:tc>
              <w:tc>
                <w:tcPr>
                  <w:tcW w:w="832" w:type="pct"/>
                  <w:vMerge w:val="continue"/>
                  <w:vAlign w:val="center"/>
                </w:tcPr>
                <w:p w14:paraId="5B609E72">
                  <w:pPr>
                    <w:adjustRightInd w:val="0"/>
                    <w:snapToGrid w:val="0"/>
                    <w:jc w:val="center"/>
                    <w:rPr>
                      <w:szCs w:val="21"/>
                    </w:rPr>
                  </w:pPr>
                </w:p>
              </w:tc>
              <w:tc>
                <w:tcPr>
                  <w:tcW w:w="605" w:type="pct"/>
                  <w:vAlign w:val="center"/>
                </w:tcPr>
                <w:p w14:paraId="3C791232">
                  <w:pPr>
                    <w:jc w:val="center"/>
                    <w:rPr>
                      <w:szCs w:val="21"/>
                    </w:rPr>
                  </w:pPr>
                  <w:r>
                    <w:rPr>
                      <w:rFonts w:hint="eastAsia"/>
                      <w:szCs w:val="21"/>
                    </w:rPr>
                    <w:t>0.02</w:t>
                  </w:r>
                </w:p>
              </w:tc>
              <w:tc>
                <w:tcPr>
                  <w:tcW w:w="626" w:type="pct"/>
                  <w:vAlign w:val="center"/>
                </w:tcPr>
                <w:p w14:paraId="3EDD8EC6">
                  <w:pPr>
                    <w:jc w:val="center"/>
                    <w:rPr>
                      <w:szCs w:val="21"/>
                    </w:rPr>
                  </w:pPr>
                  <w:r>
                    <w:rPr>
                      <w:rFonts w:hint="eastAsia"/>
                      <w:szCs w:val="21"/>
                    </w:rPr>
                    <w:t>+0.01</w:t>
                  </w:r>
                </w:p>
              </w:tc>
            </w:tr>
            <w:tr w14:paraId="0611A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 w:type="pct"/>
                  <w:vMerge w:val="continue"/>
                  <w:vAlign w:val="center"/>
                </w:tcPr>
                <w:p w14:paraId="71DC286E">
                  <w:pPr>
                    <w:adjustRightInd w:val="0"/>
                    <w:snapToGrid w:val="0"/>
                    <w:jc w:val="center"/>
                    <w:rPr>
                      <w:szCs w:val="21"/>
                    </w:rPr>
                  </w:pPr>
                </w:p>
              </w:tc>
              <w:tc>
                <w:tcPr>
                  <w:tcW w:w="375" w:type="pct"/>
                  <w:vMerge w:val="continue"/>
                  <w:vAlign w:val="center"/>
                </w:tcPr>
                <w:p w14:paraId="2B2DAE15">
                  <w:pPr>
                    <w:adjustRightInd w:val="0"/>
                    <w:snapToGrid w:val="0"/>
                    <w:jc w:val="center"/>
                    <w:rPr>
                      <w:szCs w:val="21"/>
                    </w:rPr>
                  </w:pPr>
                </w:p>
              </w:tc>
              <w:tc>
                <w:tcPr>
                  <w:tcW w:w="953" w:type="pct"/>
                  <w:gridSpan w:val="2"/>
                  <w:vAlign w:val="center"/>
                </w:tcPr>
                <w:p w14:paraId="0738A5DD">
                  <w:pPr>
                    <w:jc w:val="center"/>
                    <w:rPr>
                      <w:kern w:val="0"/>
                      <w:szCs w:val="21"/>
                    </w:rPr>
                  </w:pPr>
                  <w:r>
                    <w:rPr>
                      <w:rFonts w:hint="eastAsia"/>
                      <w:kern w:val="0"/>
                      <w:szCs w:val="21"/>
                    </w:rPr>
                    <w:t>生活垃圾</w:t>
                  </w:r>
                </w:p>
              </w:tc>
              <w:tc>
                <w:tcPr>
                  <w:tcW w:w="605" w:type="pct"/>
                  <w:vAlign w:val="center"/>
                </w:tcPr>
                <w:p w14:paraId="6E290F3A">
                  <w:pPr>
                    <w:pStyle w:val="40"/>
                    <w:spacing w:beforeLines="0" w:afterLines="0" w:line="240" w:lineRule="auto"/>
                    <w:rPr>
                      <w:rFonts w:ascii="Times New Roman"/>
                      <w:snapToGrid w:val="0"/>
                      <w:kern w:val="21"/>
                      <w:szCs w:val="21"/>
                    </w:rPr>
                  </w:pPr>
                  <w:r>
                    <w:rPr>
                      <w:rFonts w:hint="eastAsia" w:ascii="Times New Roman"/>
                      <w:snapToGrid w:val="0"/>
                      <w:kern w:val="21"/>
                      <w:szCs w:val="21"/>
                    </w:rPr>
                    <w:t>2.4</w:t>
                  </w:r>
                </w:p>
              </w:tc>
              <w:tc>
                <w:tcPr>
                  <w:tcW w:w="605" w:type="pct"/>
                  <w:vAlign w:val="center"/>
                </w:tcPr>
                <w:p w14:paraId="64996AC5">
                  <w:pPr>
                    <w:jc w:val="center"/>
                    <w:rPr>
                      <w:szCs w:val="21"/>
                    </w:rPr>
                  </w:pPr>
                  <w:r>
                    <w:rPr>
                      <w:rFonts w:hint="eastAsia"/>
                      <w:szCs w:val="21"/>
                    </w:rPr>
                    <w:t>0.6</w:t>
                  </w:r>
                </w:p>
              </w:tc>
              <w:tc>
                <w:tcPr>
                  <w:tcW w:w="832" w:type="pct"/>
                  <w:vAlign w:val="center"/>
                </w:tcPr>
                <w:p w14:paraId="7C08F04B">
                  <w:pPr>
                    <w:adjustRightInd w:val="0"/>
                    <w:snapToGrid w:val="0"/>
                    <w:jc w:val="center"/>
                    <w:rPr>
                      <w:szCs w:val="21"/>
                    </w:rPr>
                  </w:pPr>
                  <w:r>
                    <w:rPr>
                      <w:szCs w:val="21"/>
                    </w:rPr>
                    <w:t>交环卫部门清运处理</w:t>
                  </w:r>
                </w:p>
              </w:tc>
              <w:tc>
                <w:tcPr>
                  <w:tcW w:w="605" w:type="pct"/>
                  <w:vAlign w:val="center"/>
                </w:tcPr>
                <w:p w14:paraId="09F86D2B">
                  <w:pPr>
                    <w:adjustRightInd w:val="0"/>
                    <w:snapToGrid w:val="0"/>
                    <w:jc w:val="center"/>
                    <w:rPr>
                      <w:szCs w:val="21"/>
                    </w:rPr>
                  </w:pPr>
                  <w:r>
                    <w:rPr>
                      <w:rFonts w:hint="eastAsia"/>
                      <w:szCs w:val="21"/>
                    </w:rPr>
                    <w:t>3</w:t>
                  </w:r>
                </w:p>
              </w:tc>
              <w:tc>
                <w:tcPr>
                  <w:tcW w:w="626" w:type="pct"/>
                  <w:vAlign w:val="center"/>
                </w:tcPr>
                <w:p w14:paraId="760D1F27">
                  <w:pPr>
                    <w:jc w:val="center"/>
                    <w:rPr>
                      <w:szCs w:val="21"/>
                    </w:rPr>
                  </w:pPr>
                  <w:r>
                    <w:rPr>
                      <w:rFonts w:hint="eastAsia"/>
                      <w:szCs w:val="21"/>
                    </w:rPr>
                    <w:t>+0.6</w:t>
                  </w:r>
                </w:p>
              </w:tc>
            </w:tr>
          </w:tbl>
          <w:p w14:paraId="58AED6EF">
            <w:pPr>
              <w:spacing w:line="360" w:lineRule="auto"/>
              <w:ind w:firstLine="482" w:firstLineChars="200"/>
              <w:rPr>
                <w:rFonts w:hAnsi="宋体"/>
                <w:b/>
                <w:kern w:val="0"/>
                <w:sz w:val="24"/>
              </w:rPr>
            </w:pPr>
            <w:r>
              <w:rPr>
                <w:rFonts w:hint="eastAsia" w:hAnsi="宋体"/>
                <w:b/>
                <w:kern w:val="0"/>
                <w:sz w:val="24"/>
              </w:rPr>
              <w:t>八</w:t>
            </w:r>
            <w:r>
              <w:rPr>
                <w:rFonts w:hAnsi="宋体"/>
                <w:b/>
                <w:kern w:val="0"/>
                <w:sz w:val="24"/>
              </w:rPr>
              <w:t>、</w:t>
            </w:r>
            <w:r>
              <w:rPr>
                <w:rFonts w:hint="eastAsia" w:hAnsi="宋体"/>
                <w:b/>
                <w:kern w:val="0"/>
                <w:sz w:val="24"/>
              </w:rPr>
              <w:t>环境管理要求</w:t>
            </w:r>
          </w:p>
          <w:p w14:paraId="0D1ABC97">
            <w:pPr>
              <w:pStyle w:val="2"/>
              <w:spacing w:line="360" w:lineRule="auto"/>
              <w:ind w:firstLine="482" w:firstLineChars="200"/>
              <w:jc w:val="both"/>
              <w:rPr>
                <w:rFonts w:ascii="Times New Roman" w:cs="Times New Roman"/>
                <w:b/>
                <w:color w:val="auto"/>
                <w:kern w:val="0"/>
              </w:rPr>
            </w:pPr>
            <w:r>
              <w:rPr>
                <w:rFonts w:hint="eastAsia" w:ascii="Times New Roman" w:cs="Times New Roman"/>
                <w:b/>
                <w:color w:val="auto"/>
                <w:kern w:val="0"/>
              </w:rPr>
              <w:t>1、排污许可</w:t>
            </w:r>
          </w:p>
          <w:p w14:paraId="75B14F42">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根据《</w:t>
            </w:r>
            <w:bookmarkStart w:id="138" w:name="OLE_LINK143"/>
            <w:r>
              <w:rPr>
                <w:rFonts w:hint="eastAsia" w:ascii="Times New Roman" w:cs="Times New Roman"/>
                <w:color w:val="auto"/>
                <w:kern w:val="0"/>
              </w:rPr>
              <w:t>关于做好环境影响评价制度与排污许可制衔接相关工作的通知</w:t>
            </w:r>
            <w:bookmarkEnd w:id="138"/>
            <w:r>
              <w:rPr>
                <w:rFonts w:hint="eastAsia" w:ascii="Times New Roman" w:cs="Times New Roman"/>
                <w:color w:val="auto"/>
                <w:kern w:val="0"/>
              </w:rPr>
              <w:t>》（环办环评〔2017〕84号）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w:t>
            </w:r>
          </w:p>
          <w:p w14:paraId="797BF041">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根据《固定污染源排污许可分类管理名录（2019年版）》（部令第11号）规定，本项目属于登记管理类别，应在全国排污许可证管理信息平台填报排污登记表。本项目取得环评批复后，企业正式生产前，需对已申领的排污许可证进行变更。</w:t>
            </w:r>
          </w:p>
          <w:p w14:paraId="4F4F8CA6">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（2）项目竣工环境保护验收</w:t>
            </w:r>
          </w:p>
          <w:p w14:paraId="65DAE04B">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项目建设必须严格执行环境保护的制度，各项环保措施必须与主体工程同时设计、同时施工、同时投入运行，建设单位应按照《建设项目竣工环境保护验收暂行办法》（国环规环评[2017]4号）规定的程序和标准，组织对配套建设的环境保护设施进行验收，编制验收报告，并对验收内容、结论和所公开信息的真实性、准确性和完整性负责，不得在验收过程中弄虚作假，验收合格后依法向社会公开验收报告。建设项目配套建设的环境保护设施经验收合格，方可投入生产或者使用；未经验收或者验收不合格的，不得投入生产或者使用。</w:t>
            </w:r>
          </w:p>
          <w:p w14:paraId="2159051F">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（3）排放口规范设置</w:t>
            </w:r>
          </w:p>
          <w:p w14:paraId="177AC660">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固定噪声源、固体废物贮存和排气筒必须按照国家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1A6F5DC5">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1）排放口设置取样口，并具备采样检测条件，开口需要满足“上三下六”的采样规范。</w:t>
            </w:r>
          </w:p>
          <w:p w14:paraId="7D1DA8E2">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2）排污口管理。建设单位应在各个排污口处树立标志牌，并如实填写《中华人民共和国规范化排污口标记登记证》，由环保部门签发。环保主管部门和建设单位分别按以下内容建立排污口管理的专门档案：排污口性质和编号；位置；排放主要污染物种类、数量、浓度；排放去向；达标情况；治理设施运行情况及整改意见。</w:t>
            </w:r>
          </w:p>
          <w:p w14:paraId="430B1A46">
            <w:pPr>
              <w:pStyle w:val="2"/>
              <w:spacing w:line="360" w:lineRule="auto"/>
              <w:ind w:firstLine="480" w:firstLineChars="200"/>
              <w:jc w:val="both"/>
              <w:rPr>
                <w:rFonts w:ascii="Times New Roman" w:cs="Times New Roman"/>
                <w:color w:val="auto"/>
                <w:kern w:val="0"/>
              </w:rPr>
            </w:pPr>
            <w:r>
              <w:rPr>
                <w:rFonts w:hint="eastAsia" w:ascii="Times New Roman" w:cs="Times New Roman"/>
                <w:color w:val="auto"/>
                <w:kern w:val="0"/>
              </w:rPr>
              <w:t>3）环境保护图形标志</w:t>
            </w:r>
          </w:p>
          <w:p w14:paraId="13F72AA1">
            <w:pPr>
              <w:pStyle w:val="2"/>
              <w:spacing w:line="360" w:lineRule="auto"/>
              <w:ind w:firstLine="480" w:firstLineChars="200"/>
              <w:rPr>
                <w:rFonts w:ascii="Times New Roman" w:cs="Times New Roman"/>
                <w:color w:val="auto"/>
                <w:kern w:val="0"/>
              </w:rPr>
            </w:pPr>
            <w:r>
              <w:rPr>
                <w:rFonts w:hint="eastAsia" w:ascii="Times New Roman" w:cs="Times New Roman"/>
                <w:color w:val="auto"/>
                <w:kern w:val="0"/>
              </w:rPr>
              <w:t>废气排放源、固体废物贮存处置场应设置环境保护图形标志，图形符号分为提示图形和警告图形符号两种，分别按</w:t>
            </w:r>
            <w:bookmarkStart w:id="139" w:name="OLE_LINK146"/>
            <w:r>
              <w:rPr>
                <w:rFonts w:hint="eastAsia" w:ascii="Times New Roman" w:cs="Times New Roman"/>
                <w:color w:val="auto"/>
                <w:kern w:val="0"/>
              </w:rPr>
              <w:t>GB15562.1-1995</w:t>
            </w:r>
            <w:bookmarkEnd w:id="139"/>
            <w:r>
              <w:rPr>
                <w:rFonts w:hint="eastAsia" w:ascii="Times New Roman" w:cs="Times New Roman"/>
                <w:color w:val="auto"/>
                <w:kern w:val="0"/>
              </w:rPr>
              <w:t>、</w:t>
            </w:r>
            <w:bookmarkStart w:id="140" w:name="OLE_LINK144"/>
            <w:bookmarkStart w:id="141" w:name="OLE_LINK145"/>
            <w:r>
              <w:rPr>
                <w:rFonts w:hint="eastAsia" w:ascii="Times New Roman" w:cs="Times New Roman"/>
                <w:color w:val="auto"/>
                <w:kern w:val="0"/>
              </w:rPr>
              <w:t>HJ1276-2022</w:t>
            </w:r>
            <w:bookmarkEnd w:id="140"/>
            <w:bookmarkEnd w:id="141"/>
            <w:r>
              <w:rPr>
                <w:rFonts w:hint="eastAsia" w:ascii="Times New Roman" w:cs="Times New Roman"/>
                <w:color w:val="auto"/>
                <w:kern w:val="0"/>
              </w:rPr>
              <w:t>执行</w:t>
            </w:r>
            <w:r>
              <w:rPr>
                <w:rFonts w:ascii="Times New Roman" w:cs="Times New Roman"/>
                <w:color w:val="auto"/>
                <w:kern w:val="0"/>
              </w:rPr>
              <w:t>。</w:t>
            </w:r>
            <w:r>
              <w:rPr>
                <w:rFonts w:hint="eastAsia" w:ascii="Times New Roman" w:cs="Times New Roman"/>
                <w:color w:val="auto"/>
                <w:kern w:val="0"/>
              </w:rPr>
              <w:t>要求各排污口(源)提示标志形状采用正方形边框，背景颜色采用绿色，图形颜色采用白色。标志牌应设在与之功能相应的醒目处，并保持清晰、完整。环境保护图形标志的形状及颜色见下表，环境保护图形符号见下表。</w:t>
            </w:r>
          </w:p>
          <w:p w14:paraId="0C19EE16">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23</w:t>
            </w:r>
            <w:r>
              <w:rPr>
                <w:rFonts w:ascii="Times New Roman" w:hAnsi="Times New Roman"/>
                <w:color w:val="auto"/>
                <w:sz w:val="21"/>
              </w:rPr>
              <w:t xml:space="preserve">  </w:t>
            </w:r>
            <w:r>
              <w:rPr>
                <w:rFonts w:hint="eastAsia" w:ascii="Times New Roman" w:hAnsi="Times New Roman"/>
                <w:color w:val="auto"/>
                <w:sz w:val="21"/>
              </w:rPr>
              <w:t>环境保护图形标志的形状及颜色表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31"/>
              <w:gridCol w:w="2052"/>
              <w:gridCol w:w="2052"/>
              <w:gridCol w:w="2053"/>
            </w:tblGrid>
            <w:tr w14:paraId="565E4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259CF291">
                  <w:pPr>
                    <w:jc w:val="center"/>
                    <w:rPr>
                      <w:b/>
                      <w:kern w:val="0"/>
                      <w:szCs w:val="21"/>
                    </w:rPr>
                  </w:pPr>
                  <w:r>
                    <w:rPr>
                      <w:b/>
                      <w:kern w:val="0"/>
                      <w:szCs w:val="21"/>
                    </w:rPr>
                    <w:t>标志名称</w:t>
                  </w:r>
                </w:p>
              </w:tc>
              <w:tc>
                <w:tcPr>
                  <w:tcW w:w="1093" w:type="pct"/>
                  <w:vAlign w:val="center"/>
                </w:tcPr>
                <w:p w14:paraId="173A8F1F">
                  <w:pPr>
                    <w:pStyle w:val="40"/>
                    <w:spacing w:beforeLines="0" w:afterLines="0" w:line="240" w:lineRule="auto"/>
                    <w:rPr>
                      <w:rFonts w:ascii="Times New Roman"/>
                      <w:b/>
                      <w:snapToGrid w:val="0"/>
                      <w:kern w:val="21"/>
                      <w:szCs w:val="21"/>
                    </w:rPr>
                  </w:pPr>
                  <w:r>
                    <w:rPr>
                      <w:rFonts w:ascii="Times New Roman"/>
                      <w:b/>
                      <w:snapToGrid w:val="0"/>
                      <w:kern w:val="21"/>
                      <w:szCs w:val="21"/>
                    </w:rPr>
                    <w:t>形状</w:t>
                  </w:r>
                </w:p>
              </w:tc>
              <w:tc>
                <w:tcPr>
                  <w:tcW w:w="1093" w:type="pct"/>
                  <w:vAlign w:val="center"/>
                </w:tcPr>
                <w:p w14:paraId="56847FB2">
                  <w:pPr>
                    <w:jc w:val="center"/>
                    <w:rPr>
                      <w:b/>
                      <w:szCs w:val="21"/>
                    </w:rPr>
                  </w:pPr>
                  <w:r>
                    <w:rPr>
                      <w:b/>
                      <w:szCs w:val="21"/>
                    </w:rPr>
                    <w:t>背景颜色</w:t>
                  </w:r>
                </w:p>
              </w:tc>
              <w:tc>
                <w:tcPr>
                  <w:tcW w:w="1093" w:type="pct"/>
                  <w:vAlign w:val="center"/>
                </w:tcPr>
                <w:p w14:paraId="4F4F9685">
                  <w:pPr>
                    <w:jc w:val="center"/>
                    <w:rPr>
                      <w:b/>
                      <w:szCs w:val="21"/>
                    </w:rPr>
                  </w:pPr>
                  <w:r>
                    <w:rPr>
                      <w:b/>
                      <w:szCs w:val="21"/>
                    </w:rPr>
                    <w:t>图形颜色</w:t>
                  </w:r>
                </w:p>
              </w:tc>
            </w:tr>
            <w:tr w14:paraId="6CA52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30B6989B">
                  <w:pPr>
                    <w:jc w:val="center"/>
                    <w:rPr>
                      <w:kern w:val="0"/>
                      <w:szCs w:val="21"/>
                    </w:rPr>
                  </w:pPr>
                  <w:r>
                    <w:rPr>
                      <w:kern w:val="0"/>
                      <w:szCs w:val="21"/>
                    </w:rPr>
                    <w:t>警告标志</w:t>
                  </w:r>
                </w:p>
              </w:tc>
              <w:tc>
                <w:tcPr>
                  <w:tcW w:w="1093" w:type="pct"/>
                  <w:vAlign w:val="center"/>
                </w:tcPr>
                <w:p w14:paraId="11B34ECD">
                  <w:pPr>
                    <w:pStyle w:val="40"/>
                    <w:spacing w:beforeLines="0" w:afterLines="0" w:line="240" w:lineRule="auto"/>
                    <w:rPr>
                      <w:rFonts w:ascii="Times New Roman"/>
                      <w:snapToGrid w:val="0"/>
                      <w:kern w:val="21"/>
                      <w:szCs w:val="21"/>
                    </w:rPr>
                  </w:pPr>
                  <w:r>
                    <w:rPr>
                      <w:rFonts w:ascii="Times New Roman"/>
                      <w:snapToGrid w:val="0"/>
                      <w:kern w:val="21"/>
                      <w:szCs w:val="21"/>
                    </w:rPr>
                    <w:t>三角形边框</w:t>
                  </w:r>
                </w:p>
              </w:tc>
              <w:tc>
                <w:tcPr>
                  <w:tcW w:w="1093" w:type="pct"/>
                  <w:vAlign w:val="center"/>
                </w:tcPr>
                <w:p w14:paraId="57DB1CD5">
                  <w:pPr>
                    <w:jc w:val="center"/>
                    <w:rPr>
                      <w:szCs w:val="21"/>
                    </w:rPr>
                  </w:pPr>
                  <w:r>
                    <w:rPr>
                      <w:szCs w:val="21"/>
                    </w:rPr>
                    <w:t>黄色</w:t>
                  </w:r>
                </w:p>
              </w:tc>
              <w:tc>
                <w:tcPr>
                  <w:tcW w:w="1093" w:type="pct"/>
                  <w:vAlign w:val="center"/>
                </w:tcPr>
                <w:p w14:paraId="04273687">
                  <w:pPr>
                    <w:jc w:val="center"/>
                    <w:rPr>
                      <w:szCs w:val="21"/>
                    </w:rPr>
                  </w:pPr>
                  <w:r>
                    <w:rPr>
                      <w:szCs w:val="21"/>
                    </w:rPr>
                    <w:t>黑色</w:t>
                  </w:r>
                </w:p>
              </w:tc>
            </w:tr>
            <w:tr w14:paraId="74F72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1" w:type="pct"/>
                  <w:vAlign w:val="center"/>
                </w:tcPr>
                <w:p w14:paraId="6A037441">
                  <w:pPr>
                    <w:jc w:val="center"/>
                    <w:rPr>
                      <w:kern w:val="0"/>
                      <w:szCs w:val="21"/>
                    </w:rPr>
                  </w:pPr>
                  <w:r>
                    <w:rPr>
                      <w:kern w:val="0"/>
                      <w:szCs w:val="21"/>
                    </w:rPr>
                    <w:t>提示标志</w:t>
                  </w:r>
                </w:p>
              </w:tc>
              <w:tc>
                <w:tcPr>
                  <w:tcW w:w="1093" w:type="pct"/>
                  <w:vAlign w:val="center"/>
                </w:tcPr>
                <w:p w14:paraId="679BCF12">
                  <w:pPr>
                    <w:pStyle w:val="40"/>
                    <w:spacing w:beforeLines="0" w:afterLines="0" w:line="240" w:lineRule="auto"/>
                    <w:rPr>
                      <w:rFonts w:ascii="Times New Roman"/>
                      <w:snapToGrid w:val="0"/>
                      <w:kern w:val="21"/>
                      <w:szCs w:val="21"/>
                    </w:rPr>
                  </w:pPr>
                  <w:r>
                    <w:rPr>
                      <w:rFonts w:ascii="Times New Roman"/>
                      <w:snapToGrid w:val="0"/>
                      <w:kern w:val="21"/>
                      <w:szCs w:val="21"/>
                    </w:rPr>
                    <w:t>正方形边框</w:t>
                  </w:r>
                </w:p>
              </w:tc>
              <w:tc>
                <w:tcPr>
                  <w:tcW w:w="1093" w:type="pct"/>
                  <w:vAlign w:val="center"/>
                </w:tcPr>
                <w:p w14:paraId="06EB4C7A">
                  <w:pPr>
                    <w:jc w:val="center"/>
                    <w:rPr>
                      <w:szCs w:val="21"/>
                    </w:rPr>
                  </w:pPr>
                  <w:r>
                    <w:rPr>
                      <w:szCs w:val="21"/>
                    </w:rPr>
                    <w:t>绿色</w:t>
                  </w:r>
                </w:p>
              </w:tc>
              <w:tc>
                <w:tcPr>
                  <w:tcW w:w="1093" w:type="pct"/>
                  <w:vAlign w:val="center"/>
                </w:tcPr>
                <w:p w14:paraId="036DB8C3">
                  <w:pPr>
                    <w:jc w:val="center"/>
                    <w:rPr>
                      <w:szCs w:val="21"/>
                    </w:rPr>
                  </w:pPr>
                  <w:r>
                    <w:rPr>
                      <w:szCs w:val="21"/>
                    </w:rPr>
                    <w:t>白色</w:t>
                  </w:r>
                </w:p>
              </w:tc>
            </w:tr>
          </w:tbl>
          <w:p w14:paraId="2E3BCB5A">
            <w:pPr>
              <w:pStyle w:val="13"/>
              <w:spacing w:before="120" w:beforeLines="50"/>
              <w:rPr>
                <w:rFonts w:ascii="Times New Roman" w:hAnsi="Times New Roman"/>
                <w:color w:val="auto"/>
                <w:sz w:val="21"/>
              </w:rPr>
            </w:pPr>
            <w:r>
              <w:rPr>
                <w:rFonts w:ascii="Times New Roman" w:hAnsi="Times New Roman"/>
                <w:color w:val="auto"/>
                <w:sz w:val="21"/>
              </w:rPr>
              <w:t>表4-</w:t>
            </w:r>
            <w:r>
              <w:rPr>
                <w:rFonts w:hint="eastAsia" w:ascii="Times New Roman" w:hAnsi="Times New Roman"/>
                <w:color w:val="auto"/>
                <w:sz w:val="21"/>
              </w:rPr>
              <w:t>24</w:t>
            </w:r>
            <w:r>
              <w:rPr>
                <w:rFonts w:ascii="Times New Roman" w:hAnsi="Times New Roman"/>
                <w:color w:val="auto"/>
                <w:sz w:val="21"/>
              </w:rPr>
              <w:t xml:space="preserve">  </w:t>
            </w:r>
            <w:r>
              <w:rPr>
                <w:rFonts w:hint="eastAsia" w:ascii="Times New Roman" w:hAnsi="Times New Roman"/>
                <w:color w:val="auto"/>
                <w:sz w:val="21"/>
              </w:rPr>
              <w:t>各排污口（源）标志牌设置示意图</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3"/>
              <w:gridCol w:w="1143"/>
              <w:gridCol w:w="1145"/>
              <w:gridCol w:w="1145"/>
              <w:gridCol w:w="1145"/>
              <w:gridCol w:w="1146"/>
              <w:gridCol w:w="2521"/>
            </w:tblGrid>
            <w:tr w14:paraId="17216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2702B271">
                  <w:pPr>
                    <w:jc w:val="center"/>
                    <w:rPr>
                      <w:b/>
                      <w:kern w:val="0"/>
                      <w:szCs w:val="21"/>
                    </w:rPr>
                  </w:pPr>
                  <w:r>
                    <w:rPr>
                      <w:b/>
                      <w:kern w:val="0"/>
                      <w:szCs w:val="21"/>
                    </w:rPr>
                    <w:t>排放口名称</w:t>
                  </w:r>
                </w:p>
              </w:tc>
              <w:tc>
                <w:tcPr>
                  <w:tcW w:w="609" w:type="pct"/>
                  <w:vAlign w:val="center"/>
                </w:tcPr>
                <w:p w14:paraId="78285EA5">
                  <w:pPr>
                    <w:pStyle w:val="40"/>
                    <w:spacing w:beforeLines="0" w:afterLines="0" w:line="240" w:lineRule="auto"/>
                    <w:rPr>
                      <w:rFonts w:ascii="Times New Roman"/>
                      <w:b/>
                      <w:snapToGrid w:val="0"/>
                      <w:kern w:val="21"/>
                      <w:szCs w:val="21"/>
                    </w:rPr>
                  </w:pPr>
                  <w:r>
                    <w:rPr>
                      <w:rFonts w:ascii="Times New Roman"/>
                      <w:b/>
                      <w:snapToGrid w:val="0"/>
                      <w:kern w:val="21"/>
                      <w:szCs w:val="21"/>
                    </w:rPr>
                    <w:t>编号</w:t>
                  </w:r>
                </w:p>
              </w:tc>
              <w:tc>
                <w:tcPr>
                  <w:tcW w:w="610" w:type="pct"/>
                  <w:vAlign w:val="center"/>
                </w:tcPr>
                <w:p w14:paraId="15809172">
                  <w:pPr>
                    <w:jc w:val="center"/>
                    <w:rPr>
                      <w:b/>
                      <w:szCs w:val="21"/>
                    </w:rPr>
                  </w:pPr>
                  <w:r>
                    <w:rPr>
                      <w:b/>
                      <w:szCs w:val="21"/>
                    </w:rPr>
                    <w:t>图形标志</w:t>
                  </w:r>
                </w:p>
              </w:tc>
              <w:tc>
                <w:tcPr>
                  <w:tcW w:w="610" w:type="pct"/>
                  <w:vAlign w:val="center"/>
                </w:tcPr>
                <w:p w14:paraId="72FB6376">
                  <w:pPr>
                    <w:jc w:val="center"/>
                    <w:rPr>
                      <w:b/>
                      <w:szCs w:val="21"/>
                    </w:rPr>
                  </w:pPr>
                  <w:r>
                    <w:rPr>
                      <w:b/>
                      <w:szCs w:val="21"/>
                    </w:rPr>
                    <w:t>形状</w:t>
                  </w:r>
                </w:p>
              </w:tc>
              <w:tc>
                <w:tcPr>
                  <w:tcW w:w="610" w:type="pct"/>
                  <w:vAlign w:val="center"/>
                </w:tcPr>
                <w:p w14:paraId="6904C3EC">
                  <w:pPr>
                    <w:jc w:val="center"/>
                    <w:rPr>
                      <w:b/>
                      <w:szCs w:val="21"/>
                    </w:rPr>
                  </w:pPr>
                  <w:r>
                    <w:rPr>
                      <w:b/>
                      <w:szCs w:val="21"/>
                    </w:rPr>
                    <w:t>背景颜色</w:t>
                  </w:r>
                </w:p>
              </w:tc>
              <w:tc>
                <w:tcPr>
                  <w:tcW w:w="610" w:type="pct"/>
                  <w:vAlign w:val="center"/>
                </w:tcPr>
                <w:p w14:paraId="71979889">
                  <w:pPr>
                    <w:jc w:val="center"/>
                    <w:rPr>
                      <w:b/>
                      <w:szCs w:val="21"/>
                    </w:rPr>
                  </w:pPr>
                  <w:r>
                    <w:rPr>
                      <w:b/>
                      <w:szCs w:val="21"/>
                    </w:rPr>
                    <w:t>图形颜色</w:t>
                  </w:r>
                </w:p>
              </w:tc>
              <w:tc>
                <w:tcPr>
                  <w:tcW w:w="1342" w:type="pct"/>
                  <w:vAlign w:val="center"/>
                </w:tcPr>
                <w:p w14:paraId="258EBA22">
                  <w:pPr>
                    <w:jc w:val="center"/>
                    <w:rPr>
                      <w:b/>
                      <w:szCs w:val="21"/>
                    </w:rPr>
                  </w:pPr>
                  <w:r>
                    <w:rPr>
                      <w:b/>
                      <w:szCs w:val="21"/>
                    </w:rPr>
                    <w:t>图形符号</w:t>
                  </w:r>
                </w:p>
              </w:tc>
            </w:tr>
            <w:tr w14:paraId="693B8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0A10062A">
                  <w:pPr>
                    <w:jc w:val="center"/>
                    <w:rPr>
                      <w:kern w:val="0"/>
                      <w:szCs w:val="21"/>
                    </w:rPr>
                  </w:pPr>
                  <w:r>
                    <w:rPr>
                      <w:kern w:val="0"/>
                      <w:szCs w:val="21"/>
                    </w:rPr>
                    <w:t>污水排放口</w:t>
                  </w:r>
                </w:p>
              </w:tc>
              <w:tc>
                <w:tcPr>
                  <w:tcW w:w="609" w:type="pct"/>
                  <w:vAlign w:val="center"/>
                </w:tcPr>
                <w:p w14:paraId="651F0E5D">
                  <w:pPr>
                    <w:pStyle w:val="40"/>
                    <w:spacing w:beforeLines="0" w:afterLines="0" w:line="240" w:lineRule="auto"/>
                    <w:rPr>
                      <w:rFonts w:ascii="Times New Roman"/>
                      <w:snapToGrid w:val="0"/>
                      <w:kern w:val="21"/>
                      <w:szCs w:val="21"/>
                    </w:rPr>
                  </w:pPr>
                  <w:r>
                    <w:rPr>
                      <w:rFonts w:hint="eastAsia" w:ascii="Times New Roman"/>
                      <w:snapToGrid w:val="0"/>
                      <w:kern w:val="21"/>
                      <w:szCs w:val="21"/>
                    </w:rPr>
                    <w:t>WS-01</w:t>
                  </w:r>
                </w:p>
              </w:tc>
              <w:tc>
                <w:tcPr>
                  <w:tcW w:w="610" w:type="pct"/>
                  <w:vAlign w:val="center"/>
                </w:tcPr>
                <w:p w14:paraId="5FA0F482">
                  <w:pPr>
                    <w:jc w:val="center"/>
                    <w:rPr>
                      <w:szCs w:val="21"/>
                    </w:rPr>
                  </w:pPr>
                  <w:r>
                    <w:rPr>
                      <w:kern w:val="0"/>
                      <w:szCs w:val="21"/>
                    </w:rPr>
                    <w:t>提示标志</w:t>
                  </w:r>
                </w:p>
              </w:tc>
              <w:tc>
                <w:tcPr>
                  <w:tcW w:w="610" w:type="pct"/>
                  <w:vAlign w:val="center"/>
                </w:tcPr>
                <w:p w14:paraId="716558A0">
                  <w:pPr>
                    <w:jc w:val="center"/>
                    <w:rPr>
                      <w:szCs w:val="21"/>
                    </w:rPr>
                  </w:pPr>
                  <w:r>
                    <w:rPr>
                      <w:snapToGrid w:val="0"/>
                      <w:kern w:val="21"/>
                      <w:szCs w:val="21"/>
                    </w:rPr>
                    <w:t>正方形边框</w:t>
                  </w:r>
                </w:p>
              </w:tc>
              <w:tc>
                <w:tcPr>
                  <w:tcW w:w="610" w:type="pct"/>
                  <w:vAlign w:val="center"/>
                </w:tcPr>
                <w:p w14:paraId="094D983A">
                  <w:pPr>
                    <w:jc w:val="center"/>
                    <w:rPr>
                      <w:szCs w:val="21"/>
                    </w:rPr>
                  </w:pPr>
                  <w:r>
                    <w:rPr>
                      <w:szCs w:val="21"/>
                    </w:rPr>
                    <w:t>绿色</w:t>
                  </w:r>
                </w:p>
              </w:tc>
              <w:tc>
                <w:tcPr>
                  <w:tcW w:w="610" w:type="pct"/>
                  <w:vAlign w:val="center"/>
                </w:tcPr>
                <w:p w14:paraId="4067C5CC">
                  <w:pPr>
                    <w:jc w:val="center"/>
                    <w:rPr>
                      <w:szCs w:val="21"/>
                    </w:rPr>
                  </w:pPr>
                  <w:r>
                    <w:rPr>
                      <w:szCs w:val="21"/>
                    </w:rPr>
                    <w:t>白色</w:t>
                  </w:r>
                </w:p>
              </w:tc>
              <w:tc>
                <w:tcPr>
                  <w:tcW w:w="1342" w:type="pct"/>
                  <w:vAlign w:val="center"/>
                </w:tcPr>
                <w:p w14:paraId="1F393E4A">
                  <w:pPr>
                    <w:jc w:val="center"/>
                    <w:rPr>
                      <w:szCs w:val="21"/>
                    </w:rPr>
                  </w:pPr>
                  <w:r>
                    <w:rPr>
                      <w:szCs w:val="21"/>
                    </w:rPr>
                    <w:drawing>
                      <wp:inline distT="0" distB="0" distL="0" distR="0">
                        <wp:extent cx="723900" cy="723900"/>
                        <wp:effectExtent l="19050" t="0" r="0" b="0"/>
                        <wp:docPr id="40" name="图片 26" descr="C:\Users\86166\AppData\Local\Temp\ksohtml1400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descr="C:\Users\86166\AppData\Local\Temp\ksohtml14008\wps6.jpg"/>
                                <pic:cNvPicPr>
                                  <a:picLocks noChangeAspect="1" noChangeArrowheads="1"/>
                                </pic:cNvPicPr>
                              </pic:nvPicPr>
                              <pic:blipFill>
                                <a:blip r:embed="rId22" cstate="print"/>
                                <a:srcRect/>
                                <a:stretch>
                                  <a:fillRect/>
                                </a:stretch>
                              </pic:blipFill>
                              <pic:spPr>
                                <a:xfrm>
                                  <a:off x="0" y="0"/>
                                  <a:ext cx="723900" cy="723900"/>
                                </a:xfrm>
                                <a:prstGeom prst="rect">
                                  <a:avLst/>
                                </a:prstGeom>
                                <a:noFill/>
                                <a:ln w="9525">
                                  <a:noFill/>
                                  <a:miter lim="800000"/>
                                  <a:headEnd/>
                                  <a:tailEnd/>
                                </a:ln>
                              </pic:spPr>
                            </pic:pic>
                          </a:graphicData>
                        </a:graphic>
                      </wp:inline>
                    </w:drawing>
                  </w:r>
                </w:p>
              </w:tc>
            </w:tr>
            <w:tr w14:paraId="4356F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09" w:type="pct"/>
                  <w:vAlign w:val="center"/>
                </w:tcPr>
                <w:p w14:paraId="4B4B82C1">
                  <w:pPr>
                    <w:jc w:val="center"/>
                    <w:rPr>
                      <w:kern w:val="0"/>
                      <w:szCs w:val="21"/>
                    </w:rPr>
                  </w:pPr>
                  <w:r>
                    <w:rPr>
                      <w:kern w:val="0"/>
                      <w:szCs w:val="21"/>
                    </w:rPr>
                    <w:t>雨水排放口</w:t>
                  </w:r>
                </w:p>
              </w:tc>
              <w:tc>
                <w:tcPr>
                  <w:tcW w:w="609" w:type="pct"/>
                  <w:vAlign w:val="center"/>
                </w:tcPr>
                <w:p w14:paraId="4554EA66">
                  <w:pPr>
                    <w:pStyle w:val="40"/>
                    <w:spacing w:beforeLines="0" w:afterLines="0" w:line="240" w:lineRule="auto"/>
                    <w:rPr>
                      <w:rFonts w:ascii="Times New Roman"/>
                      <w:snapToGrid w:val="0"/>
                      <w:kern w:val="21"/>
                      <w:szCs w:val="21"/>
                    </w:rPr>
                  </w:pPr>
                  <w:r>
                    <w:rPr>
                      <w:rFonts w:hint="eastAsia" w:ascii="Times New Roman"/>
                      <w:snapToGrid w:val="0"/>
                      <w:kern w:val="21"/>
                      <w:szCs w:val="21"/>
                    </w:rPr>
                    <w:t>YS-01</w:t>
                  </w:r>
                </w:p>
              </w:tc>
              <w:tc>
                <w:tcPr>
                  <w:tcW w:w="610" w:type="pct"/>
                  <w:vAlign w:val="center"/>
                </w:tcPr>
                <w:p w14:paraId="0E6A5CEA">
                  <w:pPr>
                    <w:jc w:val="center"/>
                    <w:rPr>
                      <w:szCs w:val="21"/>
                    </w:rPr>
                  </w:pPr>
                  <w:r>
                    <w:rPr>
                      <w:kern w:val="0"/>
                      <w:szCs w:val="21"/>
                    </w:rPr>
                    <w:t>提示标志</w:t>
                  </w:r>
                </w:p>
              </w:tc>
              <w:tc>
                <w:tcPr>
                  <w:tcW w:w="610" w:type="pct"/>
                  <w:vAlign w:val="center"/>
                </w:tcPr>
                <w:p w14:paraId="0F6FC6C7">
                  <w:pPr>
                    <w:jc w:val="center"/>
                    <w:rPr>
                      <w:szCs w:val="21"/>
                    </w:rPr>
                  </w:pPr>
                  <w:r>
                    <w:rPr>
                      <w:snapToGrid w:val="0"/>
                      <w:kern w:val="21"/>
                      <w:szCs w:val="21"/>
                    </w:rPr>
                    <w:t>正方形边框</w:t>
                  </w:r>
                </w:p>
              </w:tc>
              <w:tc>
                <w:tcPr>
                  <w:tcW w:w="610" w:type="pct"/>
                  <w:vAlign w:val="center"/>
                </w:tcPr>
                <w:p w14:paraId="2DB28245">
                  <w:pPr>
                    <w:jc w:val="center"/>
                    <w:rPr>
                      <w:szCs w:val="21"/>
                    </w:rPr>
                  </w:pPr>
                  <w:r>
                    <w:rPr>
                      <w:szCs w:val="21"/>
                    </w:rPr>
                    <w:t>绿色</w:t>
                  </w:r>
                </w:p>
              </w:tc>
              <w:tc>
                <w:tcPr>
                  <w:tcW w:w="610" w:type="pct"/>
                  <w:vAlign w:val="center"/>
                </w:tcPr>
                <w:p w14:paraId="0418BC38">
                  <w:pPr>
                    <w:jc w:val="center"/>
                    <w:rPr>
                      <w:szCs w:val="21"/>
                    </w:rPr>
                  </w:pPr>
                  <w:r>
                    <w:rPr>
                      <w:szCs w:val="21"/>
                    </w:rPr>
                    <w:t>白色</w:t>
                  </w:r>
                </w:p>
              </w:tc>
              <w:tc>
                <w:tcPr>
                  <w:tcW w:w="1342" w:type="pct"/>
                  <w:vAlign w:val="center"/>
                </w:tcPr>
                <w:p w14:paraId="4C7566E8">
                  <w:pPr>
                    <w:jc w:val="center"/>
                    <w:rPr>
                      <w:szCs w:val="21"/>
                    </w:rPr>
                  </w:pPr>
                  <w:r>
                    <w:rPr>
                      <w:szCs w:val="21"/>
                    </w:rPr>
                    <w:drawing>
                      <wp:inline distT="0" distB="0" distL="0" distR="0">
                        <wp:extent cx="723900" cy="723900"/>
                        <wp:effectExtent l="19050" t="0" r="0" b="0"/>
                        <wp:docPr id="11" name="图片 26" descr="C:\Users\86166\AppData\Local\Temp\ksohtml1400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C:\Users\86166\AppData\Local\Temp\ksohtml14008\wps6.jpg"/>
                                <pic:cNvPicPr>
                                  <a:picLocks noChangeAspect="1" noChangeArrowheads="1"/>
                                </pic:cNvPicPr>
                              </pic:nvPicPr>
                              <pic:blipFill>
                                <a:blip r:embed="rId22" cstate="print"/>
                                <a:srcRect/>
                                <a:stretch>
                                  <a:fillRect/>
                                </a:stretch>
                              </pic:blipFill>
                              <pic:spPr>
                                <a:xfrm>
                                  <a:off x="0" y="0"/>
                                  <a:ext cx="723900" cy="723900"/>
                                </a:xfrm>
                                <a:prstGeom prst="rect">
                                  <a:avLst/>
                                </a:prstGeom>
                                <a:noFill/>
                                <a:ln w="9525">
                                  <a:noFill/>
                                  <a:miter lim="800000"/>
                                  <a:headEnd/>
                                  <a:tailEnd/>
                                </a:ln>
                              </pic:spPr>
                            </pic:pic>
                          </a:graphicData>
                        </a:graphic>
                      </wp:inline>
                    </w:drawing>
                  </w:r>
                </w:p>
              </w:tc>
            </w:tr>
            <w:tr w14:paraId="3C714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35157946">
                  <w:pPr>
                    <w:jc w:val="center"/>
                    <w:rPr>
                      <w:kern w:val="0"/>
                      <w:szCs w:val="21"/>
                    </w:rPr>
                  </w:pPr>
                  <w:r>
                    <w:rPr>
                      <w:kern w:val="0"/>
                      <w:szCs w:val="21"/>
                    </w:rPr>
                    <w:t>废气排放口</w:t>
                  </w:r>
                </w:p>
              </w:tc>
              <w:tc>
                <w:tcPr>
                  <w:tcW w:w="609" w:type="pct"/>
                  <w:vAlign w:val="center"/>
                </w:tcPr>
                <w:p w14:paraId="213A7B42">
                  <w:pPr>
                    <w:pStyle w:val="40"/>
                    <w:spacing w:beforeLines="0" w:afterLines="0" w:line="240" w:lineRule="auto"/>
                    <w:rPr>
                      <w:rFonts w:ascii="Times New Roman"/>
                      <w:snapToGrid w:val="0"/>
                      <w:kern w:val="21"/>
                      <w:szCs w:val="21"/>
                    </w:rPr>
                  </w:pPr>
                  <w:r>
                    <w:rPr>
                      <w:rFonts w:hint="eastAsia" w:ascii="Times New Roman"/>
                      <w:snapToGrid w:val="0"/>
                      <w:kern w:val="21"/>
                      <w:szCs w:val="21"/>
                    </w:rPr>
                    <w:t>FQ-01</w:t>
                  </w:r>
                </w:p>
              </w:tc>
              <w:tc>
                <w:tcPr>
                  <w:tcW w:w="610" w:type="pct"/>
                  <w:vAlign w:val="center"/>
                </w:tcPr>
                <w:p w14:paraId="246E8AC7">
                  <w:pPr>
                    <w:jc w:val="center"/>
                    <w:rPr>
                      <w:szCs w:val="21"/>
                    </w:rPr>
                  </w:pPr>
                  <w:r>
                    <w:rPr>
                      <w:kern w:val="0"/>
                      <w:szCs w:val="21"/>
                    </w:rPr>
                    <w:t>提示标志</w:t>
                  </w:r>
                </w:p>
              </w:tc>
              <w:tc>
                <w:tcPr>
                  <w:tcW w:w="610" w:type="pct"/>
                  <w:vAlign w:val="center"/>
                </w:tcPr>
                <w:p w14:paraId="5BD0A52C">
                  <w:pPr>
                    <w:jc w:val="center"/>
                    <w:rPr>
                      <w:szCs w:val="21"/>
                    </w:rPr>
                  </w:pPr>
                  <w:r>
                    <w:rPr>
                      <w:snapToGrid w:val="0"/>
                      <w:kern w:val="21"/>
                      <w:szCs w:val="21"/>
                    </w:rPr>
                    <w:t>正方形边框</w:t>
                  </w:r>
                </w:p>
              </w:tc>
              <w:tc>
                <w:tcPr>
                  <w:tcW w:w="610" w:type="pct"/>
                  <w:vAlign w:val="center"/>
                </w:tcPr>
                <w:p w14:paraId="78261BFA">
                  <w:pPr>
                    <w:jc w:val="center"/>
                    <w:rPr>
                      <w:szCs w:val="21"/>
                    </w:rPr>
                  </w:pPr>
                  <w:r>
                    <w:rPr>
                      <w:szCs w:val="21"/>
                    </w:rPr>
                    <w:t>绿色</w:t>
                  </w:r>
                </w:p>
              </w:tc>
              <w:tc>
                <w:tcPr>
                  <w:tcW w:w="610" w:type="pct"/>
                  <w:vAlign w:val="center"/>
                </w:tcPr>
                <w:p w14:paraId="6549EC49">
                  <w:pPr>
                    <w:jc w:val="center"/>
                    <w:rPr>
                      <w:szCs w:val="21"/>
                    </w:rPr>
                  </w:pPr>
                  <w:r>
                    <w:rPr>
                      <w:szCs w:val="21"/>
                    </w:rPr>
                    <w:t>白色</w:t>
                  </w:r>
                </w:p>
              </w:tc>
              <w:tc>
                <w:tcPr>
                  <w:tcW w:w="1342" w:type="pct"/>
                  <w:vAlign w:val="center"/>
                </w:tcPr>
                <w:p w14:paraId="3B901A8E">
                  <w:pPr>
                    <w:jc w:val="center"/>
                    <w:rPr>
                      <w:szCs w:val="21"/>
                    </w:rPr>
                  </w:pPr>
                  <w:r>
                    <w:rPr>
                      <w:szCs w:val="21"/>
                    </w:rPr>
                    <w:drawing>
                      <wp:inline distT="0" distB="0" distL="0" distR="0">
                        <wp:extent cx="714375" cy="752475"/>
                        <wp:effectExtent l="19050" t="0" r="9525" b="0"/>
                        <wp:docPr id="41" name="图片 25" descr="C:\Users\86166\AppData\Local\Temp\ksohtml1400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C:\Users\86166\AppData\Local\Temp\ksohtml14008\wps5.jpg"/>
                                <pic:cNvPicPr>
                                  <a:picLocks noChangeAspect="1" noChangeArrowheads="1"/>
                                </pic:cNvPicPr>
                              </pic:nvPicPr>
                              <pic:blipFill>
                                <a:blip r:embed="rId23" cstate="print"/>
                                <a:srcRect/>
                                <a:stretch>
                                  <a:fillRect/>
                                </a:stretch>
                              </pic:blipFill>
                              <pic:spPr>
                                <a:xfrm>
                                  <a:off x="0" y="0"/>
                                  <a:ext cx="714375" cy="752475"/>
                                </a:xfrm>
                                <a:prstGeom prst="rect">
                                  <a:avLst/>
                                </a:prstGeom>
                                <a:noFill/>
                                <a:ln w="9525">
                                  <a:noFill/>
                                  <a:miter lim="800000"/>
                                  <a:headEnd/>
                                  <a:tailEnd/>
                                </a:ln>
                              </pic:spPr>
                            </pic:pic>
                          </a:graphicData>
                        </a:graphic>
                      </wp:inline>
                    </w:drawing>
                  </w:r>
                </w:p>
              </w:tc>
            </w:tr>
            <w:tr w14:paraId="05CAC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5F46510D">
                  <w:pPr>
                    <w:jc w:val="center"/>
                    <w:rPr>
                      <w:kern w:val="0"/>
                      <w:szCs w:val="21"/>
                    </w:rPr>
                  </w:pPr>
                  <w:r>
                    <w:rPr>
                      <w:kern w:val="0"/>
                      <w:szCs w:val="21"/>
                    </w:rPr>
                    <w:t>一般固废堆场</w:t>
                  </w:r>
                </w:p>
              </w:tc>
              <w:tc>
                <w:tcPr>
                  <w:tcW w:w="609" w:type="pct"/>
                  <w:vAlign w:val="center"/>
                </w:tcPr>
                <w:p w14:paraId="1A5CE488">
                  <w:pPr>
                    <w:pStyle w:val="40"/>
                    <w:spacing w:beforeLines="0" w:afterLines="0" w:line="240" w:lineRule="auto"/>
                    <w:rPr>
                      <w:rFonts w:ascii="Times New Roman"/>
                      <w:snapToGrid w:val="0"/>
                      <w:kern w:val="21"/>
                      <w:szCs w:val="21"/>
                    </w:rPr>
                  </w:pPr>
                  <w:r>
                    <w:rPr>
                      <w:rFonts w:hint="eastAsia" w:ascii="Times New Roman"/>
                      <w:snapToGrid w:val="0"/>
                      <w:kern w:val="21"/>
                      <w:szCs w:val="21"/>
                    </w:rPr>
                    <w:t>GF-01</w:t>
                  </w:r>
                </w:p>
              </w:tc>
              <w:tc>
                <w:tcPr>
                  <w:tcW w:w="610" w:type="pct"/>
                  <w:vAlign w:val="center"/>
                </w:tcPr>
                <w:p w14:paraId="7C7C7FC2">
                  <w:pPr>
                    <w:jc w:val="center"/>
                    <w:rPr>
                      <w:szCs w:val="21"/>
                    </w:rPr>
                  </w:pPr>
                  <w:r>
                    <w:rPr>
                      <w:kern w:val="0"/>
                      <w:szCs w:val="21"/>
                    </w:rPr>
                    <w:t>提示标志</w:t>
                  </w:r>
                </w:p>
              </w:tc>
              <w:tc>
                <w:tcPr>
                  <w:tcW w:w="610" w:type="pct"/>
                  <w:vAlign w:val="center"/>
                </w:tcPr>
                <w:p w14:paraId="335638AB">
                  <w:pPr>
                    <w:jc w:val="center"/>
                    <w:rPr>
                      <w:szCs w:val="21"/>
                    </w:rPr>
                  </w:pPr>
                  <w:r>
                    <w:rPr>
                      <w:snapToGrid w:val="0"/>
                      <w:kern w:val="21"/>
                      <w:szCs w:val="21"/>
                    </w:rPr>
                    <w:t>正方形边框</w:t>
                  </w:r>
                </w:p>
              </w:tc>
              <w:tc>
                <w:tcPr>
                  <w:tcW w:w="610" w:type="pct"/>
                  <w:vAlign w:val="center"/>
                </w:tcPr>
                <w:p w14:paraId="2FC52C24">
                  <w:pPr>
                    <w:jc w:val="center"/>
                    <w:rPr>
                      <w:szCs w:val="21"/>
                    </w:rPr>
                  </w:pPr>
                  <w:r>
                    <w:rPr>
                      <w:szCs w:val="21"/>
                    </w:rPr>
                    <w:t>绿色</w:t>
                  </w:r>
                </w:p>
              </w:tc>
              <w:tc>
                <w:tcPr>
                  <w:tcW w:w="610" w:type="pct"/>
                  <w:vAlign w:val="center"/>
                </w:tcPr>
                <w:p w14:paraId="73A4A822">
                  <w:pPr>
                    <w:jc w:val="center"/>
                    <w:rPr>
                      <w:szCs w:val="21"/>
                    </w:rPr>
                  </w:pPr>
                  <w:r>
                    <w:rPr>
                      <w:szCs w:val="21"/>
                    </w:rPr>
                    <w:t>白色</w:t>
                  </w:r>
                </w:p>
              </w:tc>
              <w:tc>
                <w:tcPr>
                  <w:tcW w:w="1342" w:type="pct"/>
                  <w:vAlign w:val="center"/>
                </w:tcPr>
                <w:p w14:paraId="446AACB2">
                  <w:pPr>
                    <w:jc w:val="center"/>
                    <w:rPr>
                      <w:szCs w:val="21"/>
                    </w:rPr>
                  </w:pPr>
                  <w:r>
                    <w:rPr>
                      <w:szCs w:val="21"/>
                    </w:rPr>
                    <w:drawing>
                      <wp:inline distT="0" distB="0" distL="0" distR="0">
                        <wp:extent cx="714375" cy="723900"/>
                        <wp:effectExtent l="19050" t="0" r="9525" b="0"/>
                        <wp:docPr id="38" name="图片 28" descr="C:\Users\86166\AppData\Local\Temp\ksohtml1400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C:\Users\86166\AppData\Local\Temp\ksohtml14008\wps8.jpg"/>
                                <pic:cNvPicPr>
                                  <a:picLocks noChangeAspect="1" noChangeArrowheads="1"/>
                                </pic:cNvPicPr>
                              </pic:nvPicPr>
                              <pic:blipFill>
                                <a:blip r:embed="rId24" cstate="print"/>
                                <a:srcRect/>
                                <a:stretch>
                                  <a:fillRect/>
                                </a:stretch>
                              </pic:blipFill>
                              <pic:spPr>
                                <a:xfrm>
                                  <a:off x="0" y="0"/>
                                  <a:ext cx="714375" cy="723900"/>
                                </a:xfrm>
                                <a:prstGeom prst="rect">
                                  <a:avLst/>
                                </a:prstGeom>
                                <a:noFill/>
                                <a:ln w="9525">
                                  <a:noFill/>
                                  <a:miter lim="800000"/>
                                  <a:headEnd/>
                                  <a:tailEnd/>
                                </a:ln>
                              </pic:spPr>
                            </pic:pic>
                          </a:graphicData>
                        </a:graphic>
                      </wp:inline>
                    </w:drawing>
                  </w:r>
                </w:p>
              </w:tc>
            </w:tr>
            <w:tr w14:paraId="45A3C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38EC4629">
                  <w:pPr>
                    <w:jc w:val="center"/>
                    <w:rPr>
                      <w:kern w:val="0"/>
                      <w:szCs w:val="21"/>
                    </w:rPr>
                  </w:pPr>
                  <w:r>
                    <w:rPr>
                      <w:kern w:val="0"/>
                      <w:szCs w:val="21"/>
                    </w:rPr>
                    <w:t>危废暂存间</w:t>
                  </w:r>
                </w:p>
              </w:tc>
              <w:tc>
                <w:tcPr>
                  <w:tcW w:w="609" w:type="pct"/>
                  <w:vAlign w:val="center"/>
                </w:tcPr>
                <w:p w14:paraId="3C797326">
                  <w:pPr>
                    <w:pStyle w:val="40"/>
                    <w:spacing w:beforeLines="0" w:afterLines="0" w:line="240" w:lineRule="auto"/>
                    <w:rPr>
                      <w:rFonts w:ascii="Times New Roman"/>
                      <w:snapToGrid w:val="0"/>
                      <w:kern w:val="21"/>
                      <w:szCs w:val="21"/>
                    </w:rPr>
                  </w:pPr>
                  <w:r>
                    <w:rPr>
                      <w:rFonts w:hint="eastAsia" w:ascii="Times New Roman"/>
                      <w:snapToGrid w:val="0"/>
                      <w:kern w:val="21"/>
                      <w:szCs w:val="21"/>
                    </w:rPr>
                    <w:t>GF-02</w:t>
                  </w:r>
                </w:p>
              </w:tc>
              <w:tc>
                <w:tcPr>
                  <w:tcW w:w="610" w:type="pct"/>
                  <w:vAlign w:val="center"/>
                </w:tcPr>
                <w:p w14:paraId="1A127711">
                  <w:pPr>
                    <w:jc w:val="center"/>
                    <w:rPr>
                      <w:szCs w:val="21"/>
                    </w:rPr>
                  </w:pPr>
                  <w:r>
                    <w:rPr>
                      <w:kern w:val="0"/>
                      <w:szCs w:val="21"/>
                    </w:rPr>
                    <w:t>警告标志</w:t>
                  </w:r>
                </w:p>
              </w:tc>
              <w:tc>
                <w:tcPr>
                  <w:tcW w:w="610" w:type="pct"/>
                  <w:vAlign w:val="center"/>
                </w:tcPr>
                <w:p w14:paraId="39462C37">
                  <w:pPr>
                    <w:jc w:val="center"/>
                    <w:rPr>
                      <w:szCs w:val="21"/>
                    </w:rPr>
                  </w:pPr>
                  <w:r>
                    <w:rPr>
                      <w:snapToGrid w:val="0"/>
                      <w:kern w:val="21"/>
                      <w:szCs w:val="21"/>
                    </w:rPr>
                    <w:t>三角形边框</w:t>
                  </w:r>
                </w:p>
              </w:tc>
              <w:tc>
                <w:tcPr>
                  <w:tcW w:w="610" w:type="pct"/>
                  <w:vAlign w:val="center"/>
                </w:tcPr>
                <w:p w14:paraId="17883D34">
                  <w:pPr>
                    <w:jc w:val="center"/>
                    <w:rPr>
                      <w:szCs w:val="21"/>
                    </w:rPr>
                  </w:pPr>
                  <w:r>
                    <w:rPr>
                      <w:szCs w:val="21"/>
                    </w:rPr>
                    <w:t>黄色</w:t>
                  </w:r>
                </w:p>
              </w:tc>
              <w:tc>
                <w:tcPr>
                  <w:tcW w:w="610" w:type="pct"/>
                  <w:vAlign w:val="center"/>
                </w:tcPr>
                <w:p w14:paraId="0A3E4C74">
                  <w:pPr>
                    <w:jc w:val="center"/>
                    <w:rPr>
                      <w:szCs w:val="21"/>
                    </w:rPr>
                  </w:pPr>
                  <w:r>
                    <w:rPr>
                      <w:szCs w:val="21"/>
                    </w:rPr>
                    <w:t>黑色</w:t>
                  </w:r>
                </w:p>
              </w:tc>
              <w:tc>
                <w:tcPr>
                  <w:tcW w:w="1342" w:type="pct"/>
                  <w:vAlign w:val="center"/>
                </w:tcPr>
                <w:p w14:paraId="5AA62A02">
                  <w:pPr>
                    <w:jc w:val="center"/>
                    <w:rPr>
                      <w:szCs w:val="21"/>
                    </w:rPr>
                  </w:pPr>
                  <w:r>
                    <w:drawing>
                      <wp:inline distT="0" distB="0" distL="0" distR="0">
                        <wp:extent cx="1463040" cy="914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1462857" cy="914286"/>
                                </a:xfrm>
                                <a:prstGeom prst="rect">
                                  <a:avLst/>
                                </a:prstGeom>
                              </pic:spPr>
                            </pic:pic>
                          </a:graphicData>
                        </a:graphic>
                      </wp:inline>
                    </w:drawing>
                  </w:r>
                </w:p>
              </w:tc>
            </w:tr>
            <w:tr w14:paraId="364088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9" w:type="pct"/>
                  <w:vAlign w:val="center"/>
                </w:tcPr>
                <w:p w14:paraId="5AABE219">
                  <w:pPr>
                    <w:jc w:val="center"/>
                    <w:rPr>
                      <w:kern w:val="0"/>
                      <w:szCs w:val="21"/>
                    </w:rPr>
                  </w:pPr>
                  <w:r>
                    <w:rPr>
                      <w:kern w:val="0"/>
                      <w:szCs w:val="21"/>
                    </w:rPr>
                    <w:t>噪声</w:t>
                  </w:r>
                </w:p>
              </w:tc>
              <w:tc>
                <w:tcPr>
                  <w:tcW w:w="609" w:type="pct"/>
                  <w:vAlign w:val="center"/>
                </w:tcPr>
                <w:p w14:paraId="40202F3E">
                  <w:pPr>
                    <w:pStyle w:val="40"/>
                    <w:spacing w:beforeLines="0" w:afterLines="0" w:line="240" w:lineRule="auto"/>
                    <w:rPr>
                      <w:rFonts w:ascii="Times New Roman"/>
                      <w:snapToGrid w:val="0"/>
                      <w:kern w:val="21"/>
                      <w:szCs w:val="21"/>
                    </w:rPr>
                  </w:pPr>
                  <w:r>
                    <w:rPr>
                      <w:rFonts w:hint="eastAsia" w:ascii="Times New Roman"/>
                      <w:snapToGrid w:val="0"/>
                      <w:kern w:val="21"/>
                      <w:szCs w:val="21"/>
                    </w:rPr>
                    <w:t>ZS-01</w:t>
                  </w:r>
                </w:p>
              </w:tc>
              <w:tc>
                <w:tcPr>
                  <w:tcW w:w="610" w:type="pct"/>
                  <w:vAlign w:val="center"/>
                </w:tcPr>
                <w:p w14:paraId="1753D74F">
                  <w:pPr>
                    <w:jc w:val="center"/>
                    <w:rPr>
                      <w:szCs w:val="21"/>
                    </w:rPr>
                  </w:pPr>
                  <w:r>
                    <w:rPr>
                      <w:kern w:val="0"/>
                      <w:szCs w:val="21"/>
                    </w:rPr>
                    <w:t>提示标志</w:t>
                  </w:r>
                </w:p>
              </w:tc>
              <w:tc>
                <w:tcPr>
                  <w:tcW w:w="610" w:type="pct"/>
                  <w:vAlign w:val="center"/>
                </w:tcPr>
                <w:p w14:paraId="752FE090">
                  <w:pPr>
                    <w:jc w:val="center"/>
                    <w:rPr>
                      <w:szCs w:val="21"/>
                    </w:rPr>
                  </w:pPr>
                  <w:r>
                    <w:rPr>
                      <w:snapToGrid w:val="0"/>
                      <w:kern w:val="21"/>
                      <w:szCs w:val="21"/>
                    </w:rPr>
                    <w:t>正方形边框</w:t>
                  </w:r>
                </w:p>
              </w:tc>
              <w:tc>
                <w:tcPr>
                  <w:tcW w:w="610" w:type="pct"/>
                  <w:vAlign w:val="center"/>
                </w:tcPr>
                <w:p w14:paraId="17974D77">
                  <w:pPr>
                    <w:jc w:val="center"/>
                    <w:rPr>
                      <w:szCs w:val="21"/>
                    </w:rPr>
                  </w:pPr>
                  <w:r>
                    <w:rPr>
                      <w:szCs w:val="21"/>
                    </w:rPr>
                    <w:t>绿色</w:t>
                  </w:r>
                </w:p>
              </w:tc>
              <w:tc>
                <w:tcPr>
                  <w:tcW w:w="610" w:type="pct"/>
                  <w:vAlign w:val="center"/>
                </w:tcPr>
                <w:p w14:paraId="57A9FFFD">
                  <w:pPr>
                    <w:jc w:val="center"/>
                    <w:rPr>
                      <w:szCs w:val="21"/>
                    </w:rPr>
                  </w:pPr>
                  <w:r>
                    <w:rPr>
                      <w:szCs w:val="21"/>
                    </w:rPr>
                    <w:t>白色</w:t>
                  </w:r>
                </w:p>
              </w:tc>
              <w:tc>
                <w:tcPr>
                  <w:tcW w:w="1342" w:type="pct"/>
                  <w:vAlign w:val="center"/>
                </w:tcPr>
                <w:p w14:paraId="1E59FC62">
                  <w:pPr>
                    <w:jc w:val="center"/>
                  </w:pPr>
                  <w:r>
                    <w:rPr>
                      <w:szCs w:val="21"/>
                    </w:rPr>
                    <w:drawing>
                      <wp:inline distT="0" distB="0" distL="0" distR="0">
                        <wp:extent cx="723900" cy="733425"/>
                        <wp:effectExtent l="19050" t="0" r="0" b="0"/>
                        <wp:docPr id="39" name="图片 27" descr="C:\Users\86166\AppData\Local\Temp\ksohtml1400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C:\Users\86166\AppData\Local\Temp\ksohtml14008\wps7.jpg"/>
                                <pic:cNvPicPr>
                                  <a:picLocks noChangeAspect="1" noChangeArrowheads="1"/>
                                </pic:cNvPicPr>
                              </pic:nvPicPr>
                              <pic:blipFill>
                                <a:blip r:embed="rId26" cstate="print"/>
                                <a:srcRect/>
                                <a:stretch>
                                  <a:fillRect/>
                                </a:stretch>
                              </pic:blipFill>
                              <pic:spPr>
                                <a:xfrm>
                                  <a:off x="0" y="0"/>
                                  <a:ext cx="723900" cy="733425"/>
                                </a:xfrm>
                                <a:prstGeom prst="rect">
                                  <a:avLst/>
                                </a:prstGeom>
                                <a:noFill/>
                                <a:ln w="9525">
                                  <a:noFill/>
                                  <a:miter lim="800000"/>
                                  <a:headEnd/>
                                  <a:tailEnd/>
                                </a:ln>
                              </pic:spPr>
                            </pic:pic>
                          </a:graphicData>
                        </a:graphic>
                      </wp:inline>
                    </w:drawing>
                  </w:r>
                </w:p>
              </w:tc>
            </w:tr>
          </w:tbl>
          <w:p w14:paraId="2A2BDD6B">
            <w:pPr>
              <w:pStyle w:val="4"/>
            </w:pPr>
          </w:p>
          <w:p w14:paraId="7B9997BD"/>
          <w:p w14:paraId="09C5BBC6">
            <w:pPr>
              <w:pStyle w:val="2"/>
              <w:rPr>
                <w:color w:val="auto"/>
              </w:rPr>
            </w:pPr>
          </w:p>
          <w:p w14:paraId="25C581F9">
            <w:pPr>
              <w:pStyle w:val="4"/>
            </w:pPr>
          </w:p>
          <w:p w14:paraId="65CA3EEA"/>
          <w:p w14:paraId="0E261EFE">
            <w:pPr>
              <w:pStyle w:val="2"/>
              <w:rPr>
                <w:color w:val="auto"/>
              </w:rPr>
            </w:pPr>
          </w:p>
          <w:p w14:paraId="50D14A9E">
            <w:pPr>
              <w:pStyle w:val="4"/>
            </w:pPr>
          </w:p>
          <w:p w14:paraId="5AE0FD0F"/>
          <w:p w14:paraId="77C47A11">
            <w:pPr>
              <w:pStyle w:val="2"/>
              <w:rPr>
                <w:color w:val="auto"/>
              </w:rPr>
            </w:pPr>
          </w:p>
          <w:p w14:paraId="74FF97E4">
            <w:pPr>
              <w:pStyle w:val="4"/>
            </w:pPr>
          </w:p>
          <w:p w14:paraId="221DB900"/>
          <w:p w14:paraId="3544814B">
            <w:pPr>
              <w:pStyle w:val="2"/>
              <w:rPr>
                <w:color w:val="auto"/>
              </w:rPr>
            </w:pPr>
          </w:p>
          <w:p w14:paraId="37FD932B">
            <w:pPr>
              <w:pStyle w:val="4"/>
            </w:pPr>
          </w:p>
          <w:p w14:paraId="414C4069"/>
          <w:p w14:paraId="6D76FCBE">
            <w:pPr>
              <w:pStyle w:val="2"/>
              <w:rPr>
                <w:color w:val="auto"/>
              </w:rPr>
            </w:pPr>
          </w:p>
          <w:p w14:paraId="6379A5A7">
            <w:pPr>
              <w:pStyle w:val="4"/>
            </w:pPr>
          </w:p>
          <w:p w14:paraId="7DD8D9AA"/>
          <w:p w14:paraId="3B38202B">
            <w:pPr>
              <w:pStyle w:val="2"/>
              <w:rPr>
                <w:color w:val="auto"/>
              </w:rPr>
            </w:pPr>
          </w:p>
          <w:p w14:paraId="2C78E312">
            <w:pPr>
              <w:pStyle w:val="4"/>
            </w:pPr>
          </w:p>
          <w:p w14:paraId="44C6768F">
            <w:pPr>
              <w:pStyle w:val="2"/>
              <w:rPr>
                <w:color w:val="auto"/>
              </w:rPr>
            </w:pPr>
          </w:p>
          <w:p w14:paraId="5114E812">
            <w:pPr>
              <w:pStyle w:val="2"/>
              <w:rPr>
                <w:color w:val="auto"/>
              </w:rPr>
            </w:pPr>
          </w:p>
          <w:p w14:paraId="4D94025A">
            <w:pPr>
              <w:pStyle w:val="4"/>
            </w:pPr>
          </w:p>
          <w:p w14:paraId="0F87E768">
            <w:pPr>
              <w:pStyle w:val="2"/>
              <w:rPr>
                <w:color w:val="auto"/>
              </w:rPr>
            </w:pPr>
          </w:p>
          <w:p w14:paraId="396C8120">
            <w:pPr>
              <w:pStyle w:val="4"/>
            </w:pPr>
          </w:p>
        </w:tc>
      </w:tr>
    </w:tbl>
    <w:p w14:paraId="1A2136E9">
      <w:pPr>
        <w:spacing w:before="120" w:beforeLines="50"/>
        <w:jc w:val="center"/>
        <w:rPr>
          <w:b/>
        </w:rPr>
        <w:sectPr>
          <w:pgSz w:w="11907" w:h="16840"/>
          <w:pgMar w:top="1701" w:right="1531" w:bottom="2126" w:left="1531" w:header="851" w:footer="851" w:gutter="0"/>
          <w:cols w:space="720" w:num="1"/>
          <w:docGrid w:linePitch="312" w:charSpace="0"/>
        </w:sectPr>
      </w:pPr>
    </w:p>
    <w:p w14:paraId="3A1B4538">
      <w:pPr>
        <w:pStyle w:val="25"/>
        <w:jc w:val="center"/>
        <w:outlineLvl w:val="0"/>
        <w:rPr>
          <w:rFonts w:ascii="黑体" w:hAnsi="黑体" w:eastAsia="黑体"/>
          <w:snapToGrid w:val="0"/>
          <w:sz w:val="30"/>
          <w:szCs w:val="30"/>
        </w:rPr>
      </w:pPr>
      <w:bookmarkStart w:id="142" w:name="_Toc111712330"/>
      <w:r>
        <w:rPr>
          <w:rFonts w:hint="eastAsia" w:ascii="黑体" w:hAnsi="黑体" w:eastAsia="黑体"/>
          <w:snapToGrid w:val="0"/>
          <w:sz w:val="30"/>
          <w:szCs w:val="30"/>
        </w:rPr>
        <w:t>五、</w:t>
      </w:r>
      <w:bookmarkStart w:id="143" w:name="_Hlk54167917"/>
      <w:r>
        <w:rPr>
          <w:rFonts w:hint="eastAsia" w:ascii="黑体" w:hAnsi="黑体" w:eastAsia="黑体"/>
          <w:snapToGrid w:val="0"/>
          <w:sz w:val="30"/>
          <w:szCs w:val="30"/>
        </w:rPr>
        <w:t>环境保护措施监督检查清单</w:t>
      </w:r>
      <w:bookmarkEnd w:id="142"/>
      <w:bookmarkEnd w:id="143"/>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2"/>
        <w:gridCol w:w="1764"/>
        <w:gridCol w:w="1638"/>
        <w:gridCol w:w="2277"/>
        <w:gridCol w:w="2995"/>
      </w:tblGrid>
      <w:tr w14:paraId="7F55A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tcBorders>
              <w:tl2br w:val="single" w:color="auto" w:sz="12" w:space="0"/>
            </w:tcBorders>
            <w:vAlign w:val="center"/>
          </w:tcPr>
          <w:p w14:paraId="318F037B">
            <w:pPr>
              <w:adjustRightInd w:val="0"/>
              <w:snapToGrid w:val="0"/>
              <w:ind w:firstLine="422" w:firstLineChars="200"/>
              <w:rPr>
                <w:b/>
                <w:szCs w:val="21"/>
              </w:rPr>
            </w:pPr>
            <w:r>
              <w:rPr>
                <w:b/>
                <w:szCs w:val="21"/>
              </w:rPr>
              <w:t>内容</w:t>
            </w:r>
          </w:p>
          <w:p w14:paraId="60B0CD93">
            <w:pPr>
              <w:adjustRightInd w:val="0"/>
              <w:snapToGrid w:val="0"/>
              <w:jc w:val="center"/>
              <w:rPr>
                <w:b/>
                <w:szCs w:val="21"/>
              </w:rPr>
            </w:pPr>
            <w:r>
              <w:rPr>
                <w:b/>
                <w:szCs w:val="21"/>
              </w:rPr>
              <w:t>要素</w:t>
            </w:r>
          </w:p>
        </w:tc>
        <w:tc>
          <w:tcPr>
            <w:tcW w:w="1764" w:type="dxa"/>
            <w:vAlign w:val="center"/>
          </w:tcPr>
          <w:p w14:paraId="6CE59BE1">
            <w:pPr>
              <w:adjustRightInd w:val="0"/>
              <w:snapToGrid w:val="0"/>
              <w:jc w:val="center"/>
              <w:rPr>
                <w:b/>
                <w:szCs w:val="21"/>
              </w:rPr>
            </w:pPr>
            <w:r>
              <w:rPr>
                <w:b/>
                <w:szCs w:val="21"/>
              </w:rPr>
              <w:t>排放口（编号、名称）/污染源</w:t>
            </w:r>
          </w:p>
        </w:tc>
        <w:tc>
          <w:tcPr>
            <w:tcW w:w="1638" w:type="dxa"/>
            <w:vAlign w:val="center"/>
          </w:tcPr>
          <w:p w14:paraId="19D42918">
            <w:pPr>
              <w:adjustRightInd w:val="0"/>
              <w:snapToGrid w:val="0"/>
              <w:jc w:val="center"/>
              <w:rPr>
                <w:b/>
                <w:szCs w:val="21"/>
              </w:rPr>
            </w:pPr>
            <w:r>
              <w:rPr>
                <w:b/>
                <w:szCs w:val="21"/>
              </w:rPr>
              <w:t>污染物项目</w:t>
            </w:r>
          </w:p>
        </w:tc>
        <w:tc>
          <w:tcPr>
            <w:tcW w:w="2277" w:type="dxa"/>
            <w:vAlign w:val="center"/>
          </w:tcPr>
          <w:p w14:paraId="3C0236E2">
            <w:pPr>
              <w:adjustRightInd w:val="0"/>
              <w:snapToGrid w:val="0"/>
              <w:jc w:val="center"/>
              <w:rPr>
                <w:b/>
                <w:szCs w:val="21"/>
              </w:rPr>
            </w:pPr>
            <w:r>
              <w:rPr>
                <w:b/>
                <w:szCs w:val="21"/>
              </w:rPr>
              <w:t>环境保护措施</w:t>
            </w:r>
          </w:p>
        </w:tc>
        <w:tc>
          <w:tcPr>
            <w:tcW w:w="2995" w:type="dxa"/>
            <w:vAlign w:val="center"/>
          </w:tcPr>
          <w:p w14:paraId="0B808C2B">
            <w:pPr>
              <w:adjustRightInd w:val="0"/>
              <w:snapToGrid w:val="0"/>
              <w:jc w:val="center"/>
              <w:rPr>
                <w:b/>
                <w:szCs w:val="21"/>
              </w:rPr>
            </w:pPr>
            <w:r>
              <w:rPr>
                <w:b/>
                <w:szCs w:val="21"/>
              </w:rPr>
              <w:t>执行标准</w:t>
            </w:r>
          </w:p>
        </w:tc>
      </w:tr>
      <w:tr w14:paraId="6AE69B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1532" w:type="dxa"/>
            <w:vMerge w:val="restart"/>
            <w:vAlign w:val="center"/>
          </w:tcPr>
          <w:p w14:paraId="19A76D47">
            <w:pPr>
              <w:adjustRightInd w:val="0"/>
              <w:snapToGrid w:val="0"/>
              <w:jc w:val="center"/>
              <w:rPr>
                <w:b/>
                <w:szCs w:val="21"/>
              </w:rPr>
            </w:pPr>
            <w:r>
              <w:rPr>
                <w:b/>
                <w:szCs w:val="21"/>
              </w:rPr>
              <w:t>大气环境</w:t>
            </w:r>
          </w:p>
        </w:tc>
        <w:tc>
          <w:tcPr>
            <w:tcW w:w="1764" w:type="dxa"/>
            <w:vAlign w:val="center"/>
          </w:tcPr>
          <w:p w14:paraId="69B471C7">
            <w:pPr>
              <w:adjustRightInd w:val="0"/>
              <w:snapToGrid w:val="0"/>
              <w:jc w:val="center"/>
              <w:rPr>
                <w:szCs w:val="21"/>
              </w:rPr>
            </w:pPr>
            <w:r>
              <w:rPr>
                <w:rFonts w:hint="eastAsia"/>
                <w:szCs w:val="21"/>
              </w:rPr>
              <w:t>热风炉烟气排放口（DA001）</w:t>
            </w:r>
          </w:p>
        </w:tc>
        <w:tc>
          <w:tcPr>
            <w:tcW w:w="1638" w:type="dxa"/>
            <w:vAlign w:val="center"/>
          </w:tcPr>
          <w:p w14:paraId="22E90101">
            <w:pPr>
              <w:adjustRightInd w:val="0"/>
              <w:snapToGrid w:val="0"/>
              <w:jc w:val="center"/>
              <w:rPr>
                <w:szCs w:val="21"/>
              </w:rPr>
            </w:pPr>
            <w:r>
              <w:rPr>
                <w:szCs w:val="21"/>
              </w:rPr>
              <w:t>SO</w:t>
            </w:r>
            <w:r>
              <w:rPr>
                <w:szCs w:val="21"/>
                <w:vertAlign w:val="subscript"/>
              </w:rPr>
              <w:t>2</w:t>
            </w:r>
          </w:p>
          <w:p w14:paraId="1458629A">
            <w:pPr>
              <w:adjustRightInd w:val="0"/>
              <w:snapToGrid w:val="0"/>
              <w:jc w:val="center"/>
              <w:rPr>
                <w:szCs w:val="21"/>
              </w:rPr>
            </w:pPr>
            <w:r>
              <w:rPr>
                <w:rFonts w:hint="eastAsia"/>
                <w:szCs w:val="21"/>
              </w:rPr>
              <w:t>NO</w:t>
            </w:r>
            <w:r>
              <w:rPr>
                <w:rFonts w:hint="eastAsia"/>
                <w:szCs w:val="21"/>
                <w:vertAlign w:val="subscript"/>
              </w:rPr>
              <w:t>X</w:t>
            </w:r>
          </w:p>
          <w:p w14:paraId="515D8B45">
            <w:pPr>
              <w:adjustRightInd w:val="0"/>
              <w:snapToGrid w:val="0"/>
              <w:jc w:val="center"/>
              <w:rPr>
                <w:bCs/>
                <w:spacing w:val="-10"/>
                <w:szCs w:val="21"/>
              </w:rPr>
            </w:pPr>
            <w:r>
              <w:rPr>
                <w:szCs w:val="21"/>
              </w:rPr>
              <w:t>烟尘</w:t>
            </w:r>
          </w:p>
        </w:tc>
        <w:tc>
          <w:tcPr>
            <w:tcW w:w="2277" w:type="dxa"/>
            <w:vAlign w:val="center"/>
          </w:tcPr>
          <w:p w14:paraId="571F7798">
            <w:pPr>
              <w:autoSpaceDE w:val="0"/>
              <w:autoSpaceDN w:val="0"/>
              <w:adjustRightInd w:val="0"/>
              <w:jc w:val="center"/>
              <w:rPr>
                <w:szCs w:val="21"/>
              </w:rPr>
            </w:pPr>
            <w:r>
              <w:rPr>
                <w:kern w:val="0"/>
                <w:szCs w:val="21"/>
              </w:rPr>
              <w:t>经各自的旋风</w:t>
            </w:r>
            <w:r>
              <w:rPr>
                <w:rFonts w:hint="eastAsia"/>
                <w:kern w:val="0"/>
                <w:szCs w:val="21"/>
              </w:rPr>
              <w:t>+</w:t>
            </w:r>
            <w:r>
              <w:rPr>
                <w:rFonts w:hint="eastAsia" w:asciiTheme="majorEastAsia" w:hAnsiTheme="majorEastAsia" w:eastAsiaTheme="majorEastAsia"/>
              </w:rPr>
              <w:t>布袋除尘器</w:t>
            </w:r>
            <w:r>
              <w:rPr>
                <w:rFonts w:hint="eastAsia"/>
              </w:rPr>
              <w:t>处理后通过一根20m排气筒</w:t>
            </w:r>
            <w:r>
              <w:rPr>
                <w:rFonts w:hint="eastAsia"/>
                <w:kern w:val="0"/>
                <w:szCs w:val="21"/>
              </w:rPr>
              <w:t>排放</w:t>
            </w:r>
          </w:p>
        </w:tc>
        <w:tc>
          <w:tcPr>
            <w:tcW w:w="2995" w:type="dxa"/>
            <w:vAlign w:val="center"/>
          </w:tcPr>
          <w:p w14:paraId="22B1A903">
            <w:pPr>
              <w:autoSpaceDE w:val="0"/>
              <w:autoSpaceDN w:val="0"/>
              <w:adjustRightInd w:val="0"/>
              <w:jc w:val="center"/>
              <w:rPr>
                <w:szCs w:val="21"/>
              </w:rPr>
            </w:pPr>
            <w:r>
              <w:rPr>
                <w:rFonts w:hint="eastAsia"/>
                <w:szCs w:val="21"/>
              </w:rPr>
              <w:t>《湖南省工业炉窑大气污染综合治理实施方案》附件1中相关排放限值</w:t>
            </w:r>
          </w:p>
        </w:tc>
      </w:tr>
      <w:tr w14:paraId="3017D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5407C708">
            <w:pPr>
              <w:adjustRightInd w:val="0"/>
              <w:snapToGrid w:val="0"/>
              <w:jc w:val="center"/>
              <w:rPr>
                <w:b/>
                <w:szCs w:val="21"/>
              </w:rPr>
            </w:pPr>
          </w:p>
        </w:tc>
        <w:tc>
          <w:tcPr>
            <w:tcW w:w="1764" w:type="dxa"/>
            <w:vAlign w:val="center"/>
          </w:tcPr>
          <w:p w14:paraId="3E563378">
            <w:pPr>
              <w:adjustRightInd w:val="0"/>
              <w:snapToGrid w:val="0"/>
              <w:jc w:val="center"/>
              <w:rPr>
                <w:szCs w:val="21"/>
              </w:rPr>
            </w:pPr>
            <w:r>
              <w:rPr>
                <w:szCs w:val="21"/>
              </w:rPr>
              <w:t>烘干废气</w:t>
            </w:r>
          </w:p>
        </w:tc>
        <w:tc>
          <w:tcPr>
            <w:tcW w:w="1638" w:type="dxa"/>
            <w:vAlign w:val="center"/>
          </w:tcPr>
          <w:p w14:paraId="7C8AD51D">
            <w:pPr>
              <w:adjustRightInd w:val="0"/>
              <w:snapToGrid w:val="0"/>
              <w:jc w:val="center"/>
              <w:rPr>
                <w:bCs/>
                <w:spacing w:val="-10"/>
                <w:szCs w:val="21"/>
              </w:rPr>
            </w:pPr>
            <w:r>
              <w:rPr>
                <w:bCs/>
                <w:spacing w:val="-10"/>
                <w:szCs w:val="21"/>
              </w:rPr>
              <w:t>颗粒物</w:t>
            </w:r>
          </w:p>
        </w:tc>
        <w:tc>
          <w:tcPr>
            <w:tcW w:w="2277" w:type="dxa"/>
            <w:vAlign w:val="center"/>
          </w:tcPr>
          <w:p w14:paraId="63323B1B">
            <w:pPr>
              <w:autoSpaceDE w:val="0"/>
              <w:autoSpaceDN w:val="0"/>
              <w:adjustRightInd w:val="0"/>
              <w:jc w:val="center"/>
              <w:rPr>
                <w:szCs w:val="21"/>
              </w:rPr>
            </w:pPr>
            <w:r>
              <w:rPr>
                <w:rFonts w:hint="eastAsia"/>
                <w:kern w:val="0"/>
                <w:szCs w:val="21"/>
              </w:rPr>
              <w:t>沉降室+布袋除尘器</w:t>
            </w:r>
          </w:p>
        </w:tc>
        <w:tc>
          <w:tcPr>
            <w:tcW w:w="2995" w:type="dxa"/>
            <w:vMerge w:val="restart"/>
            <w:vAlign w:val="center"/>
          </w:tcPr>
          <w:p w14:paraId="55A45E9E">
            <w:pPr>
              <w:autoSpaceDE w:val="0"/>
              <w:autoSpaceDN w:val="0"/>
              <w:adjustRightInd w:val="0"/>
              <w:jc w:val="center"/>
              <w:rPr>
                <w:szCs w:val="21"/>
              </w:rPr>
            </w:pPr>
            <w:r>
              <w:rPr>
                <w:rFonts w:hint="eastAsia"/>
                <w:szCs w:val="21"/>
              </w:rPr>
              <w:t>《大气污染物综合排放标准》（GB16297-1996）表2中无组织监控浓度限值</w:t>
            </w:r>
          </w:p>
        </w:tc>
      </w:tr>
      <w:tr w14:paraId="371CF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1729CA81">
            <w:pPr>
              <w:adjustRightInd w:val="0"/>
              <w:snapToGrid w:val="0"/>
              <w:jc w:val="center"/>
              <w:rPr>
                <w:b/>
                <w:szCs w:val="21"/>
              </w:rPr>
            </w:pPr>
          </w:p>
        </w:tc>
        <w:tc>
          <w:tcPr>
            <w:tcW w:w="1764" w:type="dxa"/>
            <w:vAlign w:val="center"/>
          </w:tcPr>
          <w:p w14:paraId="58327FC4">
            <w:pPr>
              <w:adjustRightInd w:val="0"/>
              <w:snapToGrid w:val="0"/>
              <w:jc w:val="center"/>
              <w:rPr>
                <w:szCs w:val="21"/>
              </w:rPr>
            </w:pPr>
            <w:r>
              <w:rPr>
                <w:rFonts w:hint="eastAsia"/>
                <w:szCs w:val="21"/>
              </w:rPr>
              <w:t>装卸、输送及清筛粉尘</w:t>
            </w:r>
          </w:p>
        </w:tc>
        <w:tc>
          <w:tcPr>
            <w:tcW w:w="1638" w:type="dxa"/>
            <w:vAlign w:val="center"/>
          </w:tcPr>
          <w:p w14:paraId="752D4446">
            <w:pPr>
              <w:adjustRightInd w:val="0"/>
              <w:snapToGrid w:val="0"/>
              <w:jc w:val="center"/>
              <w:rPr>
                <w:bCs/>
                <w:spacing w:val="-10"/>
                <w:szCs w:val="21"/>
              </w:rPr>
            </w:pPr>
            <w:r>
              <w:rPr>
                <w:bCs/>
                <w:spacing w:val="-10"/>
                <w:szCs w:val="21"/>
              </w:rPr>
              <w:t>颗粒物</w:t>
            </w:r>
          </w:p>
        </w:tc>
        <w:tc>
          <w:tcPr>
            <w:tcW w:w="2277" w:type="dxa"/>
            <w:vAlign w:val="center"/>
          </w:tcPr>
          <w:p w14:paraId="3EF9A712">
            <w:pPr>
              <w:autoSpaceDE w:val="0"/>
              <w:autoSpaceDN w:val="0"/>
              <w:adjustRightInd w:val="0"/>
              <w:jc w:val="center"/>
              <w:rPr>
                <w:kern w:val="0"/>
                <w:szCs w:val="21"/>
              </w:rPr>
            </w:pPr>
            <w:r>
              <w:rPr>
                <w:rFonts w:hint="eastAsia"/>
                <w:kern w:val="0"/>
                <w:szCs w:val="21"/>
              </w:rPr>
              <w:t>封闭式库房，及时清扫、降低装卸落差、控制输送速度、密闭输送、封闭式清筛设备</w:t>
            </w:r>
          </w:p>
        </w:tc>
        <w:tc>
          <w:tcPr>
            <w:tcW w:w="2995" w:type="dxa"/>
            <w:vMerge w:val="continue"/>
            <w:vAlign w:val="center"/>
          </w:tcPr>
          <w:p w14:paraId="09DFFC31">
            <w:pPr>
              <w:autoSpaceDE w:val="0"/>
              <w:autoSpaceDN w:val="0"/>
              <w:adjustRightInd w:val="0"/>
              <w:jc w:val="center"/>
              <w:rPr>
                <w:szCs w:val="21"/>
              </w:rPr>
            </w:pPr>
          </w:p>
        </w:tc>
      </w:tr>
      <w:tr w14:paraId="61394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3B4176FD">
            <w:pPr>
              <w:adjustRightInd w:val="0"/>
              <w:snapToGrid w:val="0"/>
              <w:jc w:val="center"/>
              <w:rPr>
                <w:b/>
                <w:szCs w:val="21"/>
              </w:rPr>
            </w:pPr>
          </w:p>
        </w:tc>
        <w:tc>
          <w:tcPr>
            <w:tcW w:w="1764" w:type="dxa"/>
            <w:vAlign w:val="center"/>
          </w:tcPr>
          <w:p w14:paraId="78107FA0">
            <w:pPr>
              <w:adjustRightInd w:val="0"/>
              <w:snapToGrid w:val="0"/>
              <w:jc w:val="center"/>
              <w:rPr>
                <w:szCs w:val="21"/>
              </w:rPr>
            </w:pPr>
            <w:r>
              <w:rPr>
                <w:szCs w:val="21"/>
              </w:rPr>
              <w:t>道路扬尘</w:t>
            </w:r>
          </w:p>
        </w:tc>
        <w:tc>
          <w:tcPr>
            <w:tcW w:w="1638" w:type="dxa"/>
            <w:vAlign w:val="center"/>
          </w:tcPr>
          <w:p w14:paraId="3F6B68CA">
            <w:pPr>
              <w:adjustRightInd w:val="0"/>
              <w:snapToGrid w:val="0"/>
              <w:jc w:val="center"/>
              <w:rPr>
                <w:bCs/>
                <w:spacing w:val="-10"/>
                <w:szCs w:val="21"/>
              </w:rPr>
            </w:pPr>
            <w:r>
              <w:rPr>
                <w:bCs/>
                <w:spacing w:val="-10"/>
                <w:szCs w:val="21"/>
              </w:rPr>
              <w:t>颗粒物</w:t>
            </w:r>
          </w:p>
        </w:tc>
        <w:tc>
          <w:tcPr>
            <w:tcW w:w="2277" w:type="dxa"/>
            <w:vAlign w:val="center"/>
          </w:tcPr>
          <w:p w14:paraId="3F0AB221">
            <w:pPr>
              <w:autoSpaceDE w:val="0"/>
              <w:autoSpaceDN w:val="0"/>
              <w:adjustRightInd w:val="0"/>
              <w:jc w:val="center"/>
              <w:rPr>
                <w:kern w:val="0"/>
                <w:szCs w:val="21"/>
              </w:rPr>
            </w:pPr>
            <w:r>
              <w:rPr>
                <w:rFonts w:hint="eastAsia"/>
              </w:rPr>
              <w:t>地面硬化、控制车速、及时清扫、定期洒水</w:t>
            </w:r>
          </w:p>
        </w:tc>
        <w:tc>
          <w:tcPr>
            <w:tcW w:w="2995" w:type="dxa"/>
            <w:vMerge w:val="continue"/>
            <w:vAlign w:val="center"/>
          </w:tcPr>
          <w:p w14:paraId="6E4EF020">
            <w:pPr>
              <w:autoSpaceDE w:val="0"/>
              <w:autoSpaceDN w:val="0"/>
              <w:adjustRightInd w:val="0"/>
              <w:jc w:val="center"/>
              <w:rPr>
                <w:szCs w:val="21"/>
              </w:rPr>
            </w:pPr>
          </w:p>
        </w:tc>
      </w:tr>
      <w:tr w14:paraId="6DB53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0858D66E">
            <w:pPr>
              <w:adjustRightInd w:val="0"/>
              <w:snapToGrid w:val="0"/>
              <w:jc w:val="center"/>
              <w:rPr>
                <w:b/>
                <w:szCs w:val="21"/>
              </w:rPr>
            </w:pPr>
          </w:p>
        </w:tc>
        <w:tc>
          <w:tcPr>
            <w:tcW w:w="1764" w:type="dxa"/>
            <w:vAlign w:val="center"/>
          </w:tcPr>
          <w:p w14:paraId="22C03041">
            <w:pPr>
              <w:adjustRightInd w:val="0"/>
              <w:snapToGrid w:val="0"/>
              <w:jc w:val="center"/>
              <w:rPr>
                <w:szCs w:val="21"/>
              </w:rPr>
            </w:pPr>
            <w:r>
              <w:rPr>
                <w:szCs w:val="21"/>
              </w:rPr>
              <w:t>汽车尾气</w:t>
            </w:r>
          </w:p>
        </w:tc>
        <w:tc>
          <w:tcPr>
            <w:tcW w:w="1638" w:type="dxa"/>
            <w:vAlign w:val="center"/>
          </w:tcPr>
          <w:p w14:paraId="4E4316AE">
            <w:pPr>
              <w:adjustRightInd w:val="0"/>
              <w:snapToGrid w:val="0"/>
              <w:jc w:val="center"/>
              <w:rPr>
                <w:bCs/>
                <w:spacing w:val="-10"/>
                <w:szCs w:val="21"/>
              </w:rPr>
            </w:pPr>
            <w:r>
              <w:rPr>
                <w:rFonts w:hint="eastAsia"/>
                <w:bCs/>
                <w:spacing w:val="-10"/>
                <w:szCs w:val="21"/>
              </w:rPr>
              <w:t>CO、NOx、烃类</w:t>
            </w:r>
          </w:p>
        </w:tc>
        <w:tc>
          <w:tcPr>
            <w:tcW w:w="2277" w:type="dxa"/>
            <w:vAlign w:val="center"/>
          </w:tcPr>
          <w:p w14:paraId="243BDAC7">
            <w:pPr>
              <w:autoSpaceDE w:val="0"/>
              <w:autoSpaceDN w:val="0"/>
              <w:adjustRightInd w:val="0"/>
              <w:jc w:val="center"/>
            </w:pPr>
            <w:r>
              <w:rPr>
                <w:rFonts w:hint="eastAsia"/>
              </w:rPr>
              <w:t>大气扩散</w:t>
            </w:r>
          </w:p>
        </w:tc>
        <w:tc>
          <w:tcPr>
            <w:tcW w:w="2995" w:type="dxa"/>
            <w:vMerge w:val="continue"/>
            <w:vAlign w:val="center"/>
          </w:tcPr>
          <w:p w14:paraId="567A3ADA">
            <w:pPr>
              <w:autoSpaceDE w:val="0"/>
              <w:autoSpaceDN w:val="0"/>
              <w:adjustRightInd w:val="0"/>
              <w:jc w:val="center"/>
              <w:rPr>
                <w:szCs w:val="21"/>
              </w:rPr>
            </w:pPr>
          </w:p>
        </w:tc>
      </w:tr>
      <w:tr w14:paraId="2430C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Merge w:val="continue"/>
            <w:vAlign w:val="center"/>
          </w:tcPr>
          <w:p w14:paraId="4615BC53">
            <w:pPr>
              <w:adjustRightInd w:val="0"/>
              <w:snapToGrid w:val="0"/>
              <w:jc w:val="center"/>
              <w:rPr>
                <w:b/>
                <w:szCs w:val="21"/>
              </w:rPr>
            </w:pPr>
          </w:p>
        </w:tc>
        <w:tc>
          <w:tcPr>
            <w:tcW w:w="1764" w:type="dxa"/>
            <w:vAlign w:val="center"/>
          </w:tcPr>
          <w:p w14:paraId="00AB46C5">
            <w:pPr>
              <w:adjustRightInd w:val="0"/>
              <w:snapToGrid w:val="0"/>
              <w:jc w:val="center"/>
              <w:rPr>
                <w:szCs w:val="21"/>
              </w:rPr>
            </w:pPr>
            <w:r>
              <w:rPr>
                <w:szCs w:val="21"/>
              </w:rPr>
              <w:t>备用柴油发电机废气</w:t>
            </w:r>
          </w:p>
        </w:tc>
        <w:tc>
          <w:tcPr>
            <w:tcW w:w="1638" w:type="dxa"/>
            <w:vAlign w:val="center"/>
          </w:tcPr>
          <w:p w14:paraId="03AB4131">
            <w:pPr>
              <w:adjustRightInd w:val="0"/>
              <w:snapToGrid w:val="0"/>
              <w:jc w:val="center"/>
              <w:rPr>
                <w:bCs/>
                <w:spacing w:val="-10"/>
                <w:szCs w:val="21"/>
              </w:rPr>
            </w:pPr>
            <w:r>
              <w:rPr>
                <w:rFonts w:hint="eastAsia"/>
                <w:bCs/>
                <w:spacing w:val="-10"/>
                <w:szCs w:val="21"/>
              </w:rPr>
              <w:t>CO、NOx、CH</w:t>
            </w:r>
          </w:p>
        </w:tc>
        <w:tc>
          <w:tcPr>
            <w:tcW w:w="2277" w:type="dxa"/>
            <w:vAlign w:val="center"/>
          </w:tcPr>
          <w:p w14:paraId="534C7E7C">
            <w:pPr>
              <w:autoSpaceDE w:val="0"/>
              <w:autoSpaceDN w:val="0"/>
              <w:adjustRightInd w:val="0"/>
              <w:jc w:val="center"/>
              <w:rPr>
                <w:kern w:val="0"/>
                <w:szCs w:val="21"/>
              </w:rPr>
            </w:pPr>
            <w:r>
              <w:rPr>
                <w:rFonts w:hint="eastAsia"/>
                <w:kern w:val="0"/>
                <w:szCs w:val="21"/>
              </w:rPr>
              <w:t>自带的烟气净化处理装置处理后排放</w:t>
            </w:r>
          </w:p>
        </w:tc>
        <w:tc>
          <w:tcPr>
            <w:tcW w:w="2995" w:type="dxa"/>
            <w:vMerge w:val="continue"/>
            <w:vAlign w:val="center"/>
          </w:tcPr>
          <w:p w14:paraId="50779F15">
            <w:pPr>
              <w:autoSpaceDE w:val="0"/>
              <w:autoSpaceDN w:val="0"/>
              <w:adjustRightInd w:val="0"/>
              <w:jc w:val="center"/>
              <w:rPr>
                <w:szCs w:val="21"/>
              </w:rPr>
            </w:pPr>
          </w:p>
        </w:tc>
      </w:tr>
      <w:tr w14:paraId="314B7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20C92A6A">
            <w:pPr>
              <w:adjustRightInd w:val="0"/>
              <w:snapToGrid w:val="0"/>
              <w:jc w:val="center"/>
              <w:rPr>
                <w:b/>
                <w:szCs w:val="21"/>
              </w:rPr>
            </w:pPr>
            <w:r>
              <w:rPr>
                <w:b/>
                <w:szCs w:val="21"/>
              </w:rPr>
              <w:t>地表水环境</w:t>
            </w:r>
          </w:p>
        </w:tc>
        <w:tc>
          <w:tcPr>
            <w:tcW w:w="1764" w:type="dxa"/>
            <w:vAlign w:val="center"/>
          </w:tcPr>
          <w:p w14:paraId="4F97F836">
            <w:pPr>
              <w:adjustRightInd w:val="0"/>
              <w:snapToGrid w:val="0"/>
              <w:jc w:val="center"/>
              <w:rPr>
                <w:szCs w:val="21"/>
              </w:rPr>
            </w:pPr>
            <w:r>
              <w:rPr>
                <w:rFonts w:hint="eastAsia"/>
                <w:szCs w:val="21"/>
              </w:rPr>
              <w:t>生活</w:t>
            </w:r>
            <w:r>
              <w:rPr>
                <w:szCs w:val="21"/>
              </w:rPr>
              <w:t>污水</w:t>
            </w:r>
          </w:p>
        </w:tc>
        <w:tc>
          <w:tcPr>
            <w:tcW w:w="1638" w:type="dxa"/>
            <w:vAlign w:val="center"/>
          </w:tcPr>
          <w:p w14:paraId="50A9288A">
            <w:pPr>
              <w:adjustRightInd w:val="0"/>
              <w:snapToGrid w:val="0"/>
              <w:jc w:val="center"/>
              <w:rPr>
                <w:szCs w:val="21"/>
              </w:rPr>
            </w:pPr>
            <w:r>
              <w:rPr>
                <w:szCs w:val="21"/>
              </w:rPr>
              <w:t>COD</w:t>
            </w:r>
          </w:p>
          <w:p w14:paraId="4BC7D16D">
            <w:pPr>
              <w:adjustRightInd w:val="0"/>
              <w:snapToGrid w:val="0"/>
              <w:jc w:val="center"/>
              <w:rPr>
                <w:szCs w:val="21"/>
              </w:rPr>
            </w:pPr>
            <w:r>
              <w:rPr>
                <w:szCs w:val="21"/>
              </w:rPr>
              <w:t>BOD</w:t>
            </w:r>
            <w:r>
              <w:rPr>
                <w:szCs w:val="21"/>
                <w:vertAlign w:val="subscript"/>
              </w:rPr>
              <w:t>5</w:t>
            </w:r>
          </w:p>
          <w:p w14:paraId="49158848">
            <w:pPr>
              <w:adjustRightInd w:val="0"/>
              <w:snapToGrid w:val="0"/>
              <w:jc w:val="center"/>
              <w:rPr>
                <w:szCs w:val="21"/>
              </w:rPr>
            </w:pPr>
            <w:r>
              <w:rPr>
                <w:szCs w:val="21"/>
              </w:rPr>
              <w:t>SS</w:t>
            </w:r>
          </w:p>
          <w:p w14:paraId="6FCA1129">
            <w:pPr>
              <w:adjustRightInd w:val="0"/>
              <w:snapToGrid w:val="0"/>
              <w:jc w:val="center"/>
              <w:rPr>
                <w:szCs w:val="21"/>
              </w:rPr>
            </w:pPr>
            <w:r>
              <w:rPr>
                <w:szCs w:val="21"/>
              </w:rPr>
              <w:t>氨氮</w:t>
            </w:r>
          </w:p>
        </w:tc>
        <w:tc>
          <w:tcPr>
            <w:tcW w:w="2277" w:type="dxa"/>
            <w:vAlign w:val="center"/>
          </w:tcPr>
          <w:p w14:paraId="5702B9CC">
            <w:pPr>
              <w:adjustRightInd w:val="0"/>
              <w:snapToGrid w:val="0"/>
              <w:jc w:val="center"/>
              <w:rPr>
                <w:szCs w:val="21"/>
              </w:rPr>
            </w:pPr>
            <w:r>
              <w:rPr>
                <w:rFonts w:hint="eastAsia"/>
                <w:kern w:val="0"/>
                <w:szCs w:val="21"/>
              </w:rPr>
              <w:t>经化粪池处理后排入市政污水管网，纳入白果镇污水处理厂深度处理后排入涓水</w:t>
            </w:r>
          </w:p>
        </w:tc>
        <w:tc>
          <w:tcPr>
            <w:tcW w:w="2995" w:type="dxa"/>
            <w:vAlign w:val="center"/>
          </w:tcPr>
          <w:p w14:paraId="05A8782A">
            <w:pPr>
              <w:adjustRightInd w:val="0"/>
              <w:snapToGrid w:val="0"/>
              <w:jc w:val="center"/>
              <w:rPr>
                <w:szCs w:val="21"/>
              </w:rPr>
            </w:pPr>
            <w:r>
              <w:rPr>
                <w:rFonts w:hint="eastAsia"/>
                <w:szCs w:val="21"/>
              </w:rPr>
              <w:t>不外排</w:t>
            </w:r>
          </w:p>
        </w:tc>
      </w:tr>
      <w:tr w14:paraId="147B3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711D1F39">
            <w:pPr>
              <w:adjustRightInd w:val="0"/>
              <w:snapToGrid w:val="0"/>
              <w:jc w:val="center"/>
              <w:rPr>
                <w:b/>
                <w:szCs w:val="21"/>
              </w:rPr>
            </w:pPr>
            <w:r>
              <w:rPr>
                <w:b/>
                <w:szCs w:val="21"/>
              </w:rPr>
              <w:t>声环境</w:t>
            </w:r>
          </w:p>
        </w:tc>
        <w:tc>
          <w:tcPr>
            <w:tcW w:w="1764" w:type="dxa"/>
            <w:vAlign w:val="center"/>
          </w:tcPr>
          <w:p w14:paraId="6259C086">
            <w:pPr>
              <w:adjustRightInd w:val="0"/>
              <w:snapToGrid w:val="0"/>
              <w:jc w:val="center"/>
              <w:rPr>
                <w:szCs w:val="21"/>
              </w:rPr>
            </w:pPr>
            <w:r>
              <w:rPr>
                <w:szCs w:val="21"/>
              </w:rPr>
              <w:t>噪声</w:t>
            </w:r>
          </w:p>
        </w:tc>
        <w:tc>
          <w:tcPr>
            <w:tcW w:w="3915" w:type="dxa"/>
            <w:gridSpan w:val="2"/>
            <w:vAlign w:val="center"/>
          </w:tcPr>
          <w:p w14:paraId="48380B96">
            <w:pPr>
              <w:pStyle w:val="2"/>
              <w:jc w:val="center"/>
              <w:rPr>
                <w:rFonts w:ascii="Times New Roman" w:cs="Times New Roman"/>
                <w:color w:val="auto"/>
                <w:sz w:val="21"/>
                <w:szCs w:val="21"/>
              </w:rPr>
            </w:pPr>
            <w:r>
              <w:rPr>
                <w:rFonts w:ascii="Times New Roman" w:cs="Times New Roman"/>
                <w:color w:val="auto"/>
                <w:sz w:val="21"/>
                <w:szCs w:val="21"/>
              </w:rPr>
              <w:t>选用低噪声设备、基础减振，建筑隔声</w:t>
            </w:r>
          </w:p>
        </w:tc>
        <w:tc>
          <w:tcPr>
            <w:tcW w:w="2995" w:type="dxa"/>
            <w:vAlign w:val="center"/>
          </w:tcPr>
          <w:p w14:paraId="037E2EC5">
            <w:pPr>
              <w:adjustRightInd w:val="0"/>
              <w:snapToGrid w:val="0"/>
              <w:jc w:val="center"/>
              <w:rPr>
                <w:szCs w:val="21"/>
              </w:rPr>
            </w:pPr>
            <w:r>
              <w:rPr>
                <w:szCs w:val="21"/>
              </w:rPr>
              <w:t>《工业企业厂界环境噪声排放标准》（GB12348-2008）</w:t>
            </w:r>
            <w:r>
              <w:rPr>
                <w:rFonts w:hint="eastAsia"/>
                <w:szCs w:val="21"/>
              </w:rPr>
              <w:t>2</w:t>
            </w:r>
            <w:r>
              <w:rPr>
                <w:szCs w:val="21"/>
              </w:rPr>
              <w:t>类</w:t>
            </w:r>
          </w:p>
        </w:tc>
      </w:tr>
      <w:tr w14:paraId="461B5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060F0455">
            <w:pPr>
              <w:adjustRightInd w:val="0"/>
              <w:snapToGrid w:val="0"/>
              <w:jc w:val="center"/>
              <w:rPr>
                <w:b/>
                <w:szCs w:val="21"/>
              </w:rPr>
            </w:pPr>
            <w:r>
              <w:rPr>
                <w:b/>
                <w:szCs w:val="21"/>
              </w:rPr>
              <w:t>电磁辐射</w:t>
            </w:r>
          </w:p>
        </w:tc>
        <w:tc>
          <w:tcPr>
            <w:tcW w:w="1764" w:type="dxa"/>
            <w:vAlign w:val="center"/>
          </w:tcPr>
          <w:p w14:paraId="0155C3E4">
            <w:pPr>
              <w:adjustRightInd w:val="0"/>
              <w:snapToGrid w:val="0"/>
              <w:jc w:val="center"/>
              <w:rPr>
                <w:szCs w:val="21"/>
              </w:rPr>
            </w:pPr>
            <w:r>
              <w:rPr>
                <w:szCs w:val="21"/>
              </w:rPr>
              <w:t>无</w:t>
            </w:r>
          </w:p>
        </w:tc>
        <w:tc>
          <w:tcPr>
            <w:tcW w:w="1638" w:type="dxa"/>
            <w:vAlign w:val="center"/>
          </w:tcPr>
          <w:p w14:paraId="23DB20F9">
            <w:pPr>
              <w:adjustRightInd w:val="0"/>
              <w:snapToGrid w:val="0"/>
              <w:jc w:val="center"/>
              <w:rPr>
                <w:szCs w:val="21"/>
              </w:rPr>
            </w:pPr>
            <w:r>
              <w:rPr>
                <w:szCs w:val="21"/>
              </w:rPr>
              <w:t>无</w:t>
            </w:r>
          </w:p>
        </w:tc>
        <w:tc>
          <w:tcPr>
            <w:tcW w:w="2277" w:type="dxa"/>
            <w:vAlign w:val="center"/>
          </w:tcPr>
          <w:p w14:paraId="3B70A5FF">
            <w:pPr>
              <w:adjustRightInd w:val="0"/>
              <w:snapToGrid w:val="0"/>
              <w:jc w:val="center"/>
              <w:rPr>
                <w:szCs w:val="21"/>
              </w:rPr>
            </w:pPr>
            <w:r>
              <w:rPr>
                <w:szCs w:val="21"/>
              </w:rPr>
              <w:t>无</w:t>
            </w:r>
          </w:p>
        </w:tc>
        <w:tc>
          <w:tcPr>
            <w:tcW w:w="2995" w:type="dxa"/>
            <w:vAlign w:val="center"/>
          </w:tcPr>
          <w:p w14:paraId="3FF2006F">
            <w:pPr>
              <w:adjustRightInd w:val="0"/>
              <w:snapToGrid w:val="0"/>
              <w:jc w:val="center"/>
              <w:rPr>
                <w:szCs w:val="21"/>
              </w:rPr>
            </w:pPr>
            <w:r>
              <w:rPr>
                <w:szCs w:val="21"/>
              </w:rPr>
              <w:t>无</w:t>
            </w:r>
          </w:p>
        </w:tc>
      </w:tr>
      <w:tr w14:paraId="73D73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11076762">
            <w:pPr>
              <w:adjustRightInd w:val="0"/>
              <w:snapToGrid w:val="0"/>
              <w:jc w:val="center"/>
              <w:rPr>
                <w:b/>
                <w:szCs w:val="21"/>
              </w:rPr>
            </w:pPr>
            <w:r>
              <w:rPr>
                <w:b/>
                <w:szCs w:val="21"/>
              </w:rPr>
              <w:t>固体废物</w:t>
            </w:r>
          </w:p>
        </w:tc>
        <w:tc>
          <w:tcPr>
            <w:tcW w:w="8674" w:type="dxa"/>
            <w:gridSpan w:val="4"/>
            <w:vAlign w:val="center"/>
          </w:tcPr>
          <w:p w14:paraId="4C65A0CB">
            <w:pPr>
              <w:pStyle w:val="2"/>
              <w:rPr>
                <w:rFonts w:ascii="Times New Roman" w:cs="Times New Roman"/>
                <w:color w:val="auto"/>
                <w:sz w:val="21"/>
                <w:szCs w:val="21"/>
              </w:rPr>
            </w:pPr>
            <w:r>
              <w:rPr>
                <w:rFonts w:ascii="Times New Roman" w:hAnsi="宋体" w:cs="Times New Roman"/>
                <w:color w:val="auto"/>
                <w:sz w:val="21"/>
                <w:szCs w:val="21"/>
              </w:rPr>
              <w:t>①</w:t>
            </w:r>
            <w:r>
              <w:rPr>
                <w:rFonts w:ascii="Times New Roman" w:cs="Times New Roman"/>
                <w:color w:val="auto"/>
                <w:sz w:val="21"/>
                <w:szCs w:val="21"/>
              </w:rPr>
              <w:t>生活垃圾：收集后交由当地环卫部门统一清运；</w:t>
            </w:r>
          </w:p>
          <w:p w14:paraId="4C00FB66">
            <w:pPr>
              <w:pStyle w:val="2"/>
              <w:rPr>
                <w:rFonts w:ascii="Times New Roman" w:cs="Times New Roman"/>
                <w:color w:val="auto"/>
                <w:sz w:val="21"/>
                <w:szCs w:val="21"/>
              </w:rPr>
            </w:pPr>
            <w:r>
              <w:rPr>
                <w:rFonts w:ascii="Times New Roman" w:hAnsi="宋体" w:cs="Times New Roman"/>
                <w:color w:val="auto"/>
                <w:sz w:val="21"/>
                <w:szCs w:val="21"/>
              </w:rPr>
              <w:t>②</w:t>
            </w:r>
            <w:r>
              <w:rPr>
                <w:rFonts w:ascii="Times New Roman" w:cs="Times New Roman"/>
                <w:color w:val="auto"/>
                <w:sz w:val="21"/>
                <w:szCs w:val="21"/>
              </w:rPr>
              <w:t>一般固废：</w:t>
            </w:r>
            <w:r>
              <w:rPr>
                <w:rFonts w:hint="eastAsia" w:ascii="Times New Roman" w:cs="Times New Roman"/>
                <w:color w:val="auto"/>
                <w:kern w:val="0"/>
                <w:sz w:val="21"/>
                <w:szCs w:val="21"/>
              </w:rPr>
              <w:t>除尘器收集尘、沉降尘外售综合利用；清筛杂质收集后交环卫部门统一清运处理；炉渣收集后由周边农户拉走用作农肥；废旧布袋交由厂家回收处理</w:t>
            </w:r>
            <w:r>
              <w:rPr>
                <w:rFonts w:ascii="Times New Roman" w:cs="Times New Roman"/>
                <w:color w:val="auto"/>
                <w:sz w:val="21"/>
                <w:szCs w:val="21"/>
              </w:rPr>
              <w:t>。</w:t>
            </w:r>
          </w:p>
          <w:p w14:paraId="6D3B2EBE">
            <w:pPr>
              <w:pStyle w:val="2"/>
              <w:rPr>
                <w:rFonts w:ascii="Times New Roman" w:cs="Times New Roman"/>
                <w:color w:val="auto"/>
                <w:sz w:val="21"/>
                <w:szCs w:val="21"/>
              </w:rPr>
            </w:pPr>
            <w:r>
              <w:rPr>
                <w:rFonts w:ascii="Times New Roman" w:hAnsi="宋体" w:cs="Times New Roman"/>
                <w:color w:val="auto"/>
                <w:sz w:val="21"/>
                <w:szCs w:val="21"/>
              </w:rPr>
              <w:t>③</w:t>
            </w:r>
            <w:r>
              <w:rPr>
                <w:rFonts w:ascii="Times New Roman" w:cs="Times New Roman"/>
                <w:color w:val="auto"/>
                <w:sz w:val="21"/>
                <w:szCs w:val="21"/>
              </w:rPr>
              <w:t>危险废物：</w:t>
            </w:r>
            <w:r>
              <w:rPr>
                <w:rFonts w:hint="eastAsia" w:ascii="Times New Roman" w:cs="Times New Roman"/>
                <w:color w:val="auto"/>
                <w:sz w:val="21"/>
                <w:szCs w:val="21"/>
              </w:rPr>
              <w:t>废试剂瓶等实验用品、实验废液、熏蒸药剂使用后的残渣、废矿物油和废油桶、废含油抹布手套及抹布等危险废物</w:t>
            </w:r>
            <w:r>
              <w:rPr>
                <w:rFonts w:ascii="Times New Roman" w:cs="Times New Roman"/>
                <w:color w:val="auto"/>
                <w:sz w:val="21"/>
                <w:szCs w:val="21"/>
              </w:rPr>
              <w:t>经收集后暂存于危废暂存间</w:t>
            </w:r>
            <w:r>
              <w:rPr>
                <w:rFonts w:hint="eastAsia" w:ascii="Times New Roman" w:cs="Times New Roman"/>
                <w:color w:val="auto"/>
                <w:sz w:val="21"/>
                <w:szCs w:val="21"/>
              </w:rPr>
              <w:t>，</w:t>
            </w:r>
            <w:r>
              <w:rPr>
                <w:rFonts w:ascii="Times New Roman" w:cs="Times New Roman"/>
                <w:color w:val="auto"/>
                <w:sz w:val="21"/>
                <w:szCs w:val="21"/>
              </w:rPr>
              <w:t>交由有</w:t>
            </w:r>
            <w:r>
              <w:rPr>
                <w:rFonts w:hint="eastAsia" w:ascii="Times New Roman" w:cs="Times New Roman"/>
                <w:color w:val="auto"/>
                <w:sz w:val="21"/>
                <w:szCs w:val="21"/>
              </w:rPr>
              <w:t>危废</w:t>
            </w:r>
            <w:r>
              <w:rPr>
                <w:rFonts w:ascii="Times New Roman" w:cs="Times New Roman"/>
                <w:color w:val="auto"/>
                <w:sz w:val="21"/>
                <w:szCs w:val="21"/>
              </w:rPr>
              <w:t>资质的单位</w:t>
            </w:r>
            <w:r>
              <w:rPr>
                <w:rFonts w:hint="eastAsia" w:ascii="Times New Roman" w:cs="Times New Roman"/>
                <w:color w:val="auto"/>
                <w:sz w:val="21"/>
                <w:szCs w:val="21"/>
              </w:rPr>
              <w:t>代为</w:t>
            </w:r>
            <w:r>
              <w:rPr>
                <w:rFonts w:ascii="Times New Roman" w:cs="Times New Roman"/>
                <w:color w:val="auto"/>
                <w:sz w:val="21"/>
                <w:szCs w:val="21"/>
              </w:rPr>
              <w:t>处置。</w:t>
            </w:r>
          </w:p>
        </w:tc>
      </w:tr>
      <w:tr w14:paraId="4620F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1016B5F8">
            <w:pPr>
              <w:adjustRightInd w:val="0"/>
              <w:snapToGrid w:val="0"/>
              <w:jc w:val="center"/>
              <w:rPr>
                <w:b/>
                <w:szCs w:val="21"/>
              </w:rPr>
            </w:pPr>
            <w:r>
              <w:rPr>
                <w:b/>
                <w:szCs w:val="21"/>
              </w:rPr>
              <w:t>土壤及地下水污染防治措施</w:t>
            </w:r>
          </w:p>
        </w:tc>
        <w:tc>
          <w:tcPr>
            <w:tcW w:w="8674" w:type="dxa"/>
            <w:gridSpan w:val="4"/>
            <w:vAlign w:val="center"/>
          </w:tcPr>
          <w:p w14:paraId="282E504E">
            <w:pPr>
              <w:pStyle w:val="2"/>
              <w:rPr>
                <w:rFonts w:ascii="Times New Roman" w:cs="Times New Roman"/>
                <w:color w:val="auto"/>
                <w:sz w:val="21"/>
                <w:szCs w:val="21"/>
              </w:rPr>
            </w:pPr>
            <w:r>
              <w:rPr>
                <w:rFonts w:hint="eastAsia" w:ascii="Times New Roman" w:cs="Times New Roman"/>
                <w:color w:val="auto"/>
                <w:sz w:val="21"/>
                <w:szCs w:val="21"/>
              </w:rPr>
              <w:t>项目无废水外排，生活废水经化粪池处理后排入市政污水管网，纳入白果镇污水处理厂深度处理后排入涓水，化粪池采用防渗处理，一般不会外溢导致地表水的污染；项目所用到的原料及产品均不属于风险物质，但生产过程中机械维护保养产生的废润滑油等危废属于风险物质。因此，危废暂存间采取重点防渗措施，防渗层采用2mm厚高密度聚乙烯，渗透系数≤10</w:t>
            </w:r>
            <w:r>
              <w:rPr>
                <w:rFonts w:hint="eastAsia" w:ascii="Times New Roman" w:cs="Times New Roman"/>
                <w:color w:val="auto"/>
                <w:sz w:val="21"/>
                <w:szCs w:val="21"/>
                <w:vertAlign w:val="superscript"/>
              </w:rPr>
              <w:t>-10</w:t>
            </w:r>
            <w:r>
              <w:rPr>
                <w:rFonts w:hint="eastAsia" w:ascii="Times New Roman" w:cs="Times New Roman"/>
                <w:color w:val="auto"/>
                <w:sz w:val="21"/>
                <w:szCs w:val="21"/>
              </w:rPr>
              <w:t>cm/s；并设置托盘，一旦发生泄漏，废油类物质可进入托盘内收集，不会对周边的地下水、土壤产生影响</w:t>
            </w:r>
          </w:p>
        </w:tc>
      </w:tr>
      <w:tr w14:paraId="62643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1BF7E48C">
            <w:pPr>
              <w:adjustRightInd w:val="0"/>
              <w:snapToGrid w:val="0"/>
              <w:jc w:val="center"/>
              <w:rPr>
                <w:b/>
                <w:szCs w:val="21"/>
              </w:rPr>
            </w:pPr>
            <w:r>
              <w:rPr>
                <w:b/>
                <w:szCs w:val="21"/>
              </w:rPr>
              <w:t>生态保护措施</w:t>
            </w:r>
          </w:p>
        </w:tc>
        <w:tc>
          <w:tcPr>
            <w:tcW w:w="8674" w:type="dxa"/>
            <w:gridSpan w:val="4"/>
            <w:vAlign w:val="center"/>
          </w:tcPr>
          <w:p w14:paraId="19CABBB1">
            <w:pPr>
              <w:adjustRightInd w:val="0"/>
              <w:snapToGrid w:val="0"/>
              <w:jc w:val="center"/>
              <w:rPr>
                <w:szCs w:val="21"/>
              </w:rPr>
            </w:pPr>
            <w:r>
              <w:rPr>
                <w:szCs w:val="21"/>
              </w:rPr>
              <w:t>无</w:t>
            </w:r>
          </w:p>
        </w:tc>
      </w:tr>
      <w:tr w14:paraId="124D4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099D38B5">
            <w:pPr>
              <w:adjustRightInd w:val="0"/>
              <w:snapToGrid w:val="0"/>
              <w:jc w:val="center"/>
              <w:rPr>
                <w:b/>
                <w:spacing w:val="-8"/>
                <w:szCs w:val="21"/>
              </w:rPr>
            </w:pPr>
            <w:r>
              <w:rPr>
                <w:b/>
                <w:spacing w:val="-8"/>
                <w:szCs w:val="21"/>
              </w:rPr>
              <w:t>环境风险</w:t>
            </w:r>
          </w:p>
          <w:p w14:paraId="162914DE">
            <w:pPr>
              <w:adjustRightInd w:val="0"/>
              <w:snapToGrid w:val="0"/>
              <w:jc w:val="center"/>
              <w:rPr>
                <w:b/>
                <w:spacing w:val="-8"/>
                <w:szCs w:val="21"/>
              </w:rPr>
            </w:pPr>
            <w:r>
              <w:rPr>
                <w:b/>
                <w:spacing w:val="-8"/>
                <w:szCs w:val="21"/>
              </w:rPr>
              <w:t>防范措施</w:t>
            </w:r>
          </w:p>
        </w:tc>
        <w:tc>
          <w:tcPr>
            <w:tcW w:w="8674" w:type="dxa"/>
            <w:gridSpan w:val="4"/>
            <w:vAlign w:val="center"/>
          </w:tcPr>
          <w:p w14:paraId="45D7975A">
            <w:pPr>
              <w:pStyle w:val="2"/>
              <w:rPr>
                <w:rFonts w:ascii="Times New Roman" w:cs="Times New Roman"/>
                <w:color w:val="auto"/>
                <w:sz w:val="21"/>
                <w:szCs w:val="21"/>
              </w:rPr>
            </w:pPr>
            <w:r>
              <w:rPr>
                <w:rFonts w:hint="eastAsia" w:ascii="Times New Roman" w:cs="Times New Roman"/>
                <w:color w:val="auto"/>
                <w:sz w:val="21"/>
                <w:szCs w:val="21"/>
              </w:rPr>
              <w:t>（1）火灾爆炸及次生消防废水泄漏风险应急防范措施</w:t>
            </w:r>
          </w:p>
          <w:p w14:paraId="159DDD5D">
            <w:pPr>
              <w:pStyle w:val="2"/>
              <w:rPr>
                <w:rFonts w:ascii="Times New Roman" w:cs="Times New Roman"/>
                <w:color w:val="auto"/>
                <w:sz w:val="21"/>
                <w:szCs w:val="21"/>
              </w:rPr>
            </w:pPr>
            <w:r>
              <w:rPr>
                <w:rFonts w:hint="eastAsia" w:ascii="Times New Roman" w:cs="Times New Roman"/>
                <w:color w:val="auto"/>
                <w:sz w:val="21"/>
                <w:szCs w:val="21"/>
              </w:rPr>
              <w:t>本项目在运营过程中有火灾风险，火灾爆炸引发的次生消防废水如不处理会对环境造成一定的影响。本环评要求企业：</w:t>
            </w:r>
          </w:p>
          <w:p w14:paraId="54470CCC">
            <w:pPr>
              <w:pStyle w:val="2"/>
              <w:rPr>
                <w:rFonts w:ascii="Times New Roman" w:cs="Times New Roman"/>
                <w:color w:val="auto"/>
                <w:sz w:val="21"/>
                <w:szCs w:val="21"/>
              </w:rPr>
            </w:pPr>
            <w:r>
              <w:rPr>
                <w:rFonts w:hint="eastAsia" w:ascii="Times New Roman" w:cs="Times New Roman"/>
                <w:color w:val="auto"/>
                <w:sz w:val="21"/>
                <w:szCs w:val="21"/>
              </w:rPr>
              <w:t>①利用厂区内消防水池，收集全部的消防水，确保事故消防水全部收集后交由有处理资质的单位处置。</w:t>
            </w:r>
          </w:p>
          <w:p w14:paraId="3B1CC44E">
            <w:pPr>
              <w:pStyle w:val="2"/>
              <w:rPr>
                <w:rFonts w:ascii="Times New Roman" w:cs="Times New Roman"/>
                <w:color w:val="auto"/>
                <w:sz w:val="21"/>
                <w:szCs w:val="21"/>
              </w:rPr>
            </w:pPr>
            <w:r>
              <w:rPr>
                <w:rFonts w:hint="eastAsia" w:ascii="Times New Roman" w:cs="Times New Roman"/>
                <w:color w:val="auto"/>
                <w:sz w:val="21"/>
                <w:szCs w:val="21"/>
              </w:rPr>
              <w:t>②如遇火灾，采取移动式消防器材及固定式消防设施进行灭火。小火灾时用干粉或二氧化碳灭火器，大火灾时用水幕、雾状水或常规泡沫灭火。隔离、疏散、转移遇险人员到安全区域，按消防专业的要求警戒区，并在通往事故现场的主要干道上实行交通管制，除消防及应急处理人员外，其他人员禁止进入警戒区，并迅速撤离无关人员。</w:t>
            </w:r>
          </w:p>
          <w:p w14:paraId="4BC31A8A">
            <w:pPr>
              <w:pStyle w:val="2"/>
              <w:rPr>
                <w:rFonts w:ascii="Times New Roman" w:cs="Times New Roman"/>
                <w:color w:val="auto"/>
                <w:sz w:val="21"/>
                <w:szCs w:val="21"/>
              </w:rPr>
            </w:pPr>
            <w:r>
              <w:rPr>
                <w:rFonts w:hint="eastAsia" w:ascii="Times New Roman" w:cs="Times New Roman"/>
                <w:color w:val="auto"/>
                <w:sz w:val="21"/>
                <w:szCs w:val="21"/>
              </w:rPr>
              <w:t>（2）废气治理设施事故排放应急防范措施</w:t>
            </w:r>
          </w:p>
          <w:p w14:paraId="412FD7D1">
            <w:pPr>
              <w:pStyle w:val="2"/>
              <w:rPr>
                <w:rFonts w:ascii="Times New Roman" w:cs="Times New Roman"/>
                <w:color w:val="auto"/>
                <w:sz w:val="21"/>
                <w:szCs w:val="21"/>
              </w:rPr>
            </w:pPr>
            <w:r>
              <w:rPr>
                <w:rFonts w:hint="eastAsia" w:ascii="Times New Roman" w:cs="Times New Roman"/>
                <w:color w:val="auto"/>
                <w:sz w:val="21"/>
                <w:szCs w:val="21"/>
              </w:rPr>
              <w:t>本项目生物质热风炉废气采用布袋除尘器处理，在生物质热风炉使用的过程中，会有一定概率存在废气处理设施出现故障导致废气浓度超标，本环评要求：</w:t>
            </w:r>
          </w:p>
          <w:p w14:paraId="4435C549">
            <w:pPr>
              <w:pStyle w:val="2"/>
              <w:rPr>
                <w:rFonts w:ascii="Times New Roman" w:cs="Times New Roman"/>
                <w:color w:val="auto"/>
                <w:sz w:val="21"/>
                <w:szCs w:val="21"/>
              </w:rPr>
            </w:pPr>
            <w:r>
              <w:rPr>
                <w:rFonts w:hint="eastAsia" w:ascii="Times New Roman" w:cs="Times New Roman"/>
                <w:color w:val="auto"/>
                <w:sz w:val="21"/>
                <w:szCs w:val="21"/>
              </w:rPr>
              <w:t>①加强废气治理设施日常运行管理，建立台账管理制度。</w:t>
            </w:r>
          </w:p>
          <w:p w14:paraId="6A1A0C3E">
            <w:pPr>
              <w:pStyle w:val="2"/>
              <w:rPr>
                <w:rFonts w:ascii="Times New Roman" w:cs="Times New Roman"/>
                <w:color w:val="auto"/>
                <w:sz w:val="21"/>
                <w:szCs w:val="21"/>
              </w:rPr>
            </w:pPr>
            <w:r>
              <w:rPr>
                <w:rFonts w:hint="eastAsia" w:ascii="Times New Roman" w:cs="Times New Roman"/>
                <w:color w:val="auto"/>
                <w:sz w:val="21"/>
                <w:szCs w:val="21"/>
              </w:rPr>
              <w:t>②安排专职或兼职人员负责废气治理设施的日常管理。</w:t>
            </w:r>
          </w:p>
          <w:p w14:paraId="49B1259D">
            <w:pPr>
              <w:pStyle w:val="2"/>
              <w:rPr>
                <w:rFonts w:ascii="Times New Roman" w:cs="Times New Roman"/>
                <w:color w:val="auto"/>
                <w:sz w:val="21"/>
                <w:szCs w:val="21"/>
              </w:rPr>
            </w:pPr>
            <w:r>
              <w:rPr>
                <w:rFonts w:hint="eastAsia" w:ascii="Times New Roman" w:cs="Times New Roman"/>
                <w:color w:val="auto"/>
                <w:sz w:val="21"/>
                <w:szCs w:val="21"/>
              </w:rPr>
              <w:t>③加强风机的日常维护保养，防止风机故障停运。</w:t>
            </w:r>
          </w:p>
          <w:p w14:paraId="664E3EB5">
            <w:pPr>
              <w:pStyle w:val="2"/>
              <w:rPr>
                <w:rFonts w:ascii="Times New Roman" w:cs="Times New Roman"/>
                <w:color w:val="auto"/>
                <w:sz w:val="21"/>
                <w:szCs w:val="21"/>
              </w:rPr>
            </w:pPr>
            <w:r>
              <w:rPr>
                <w:rFonts w:hint="eastAsia" w:ascii="Times New Roman" w:cs="Times New Roman"/>
                <w:color w:val="auto"/>
                <w:sz w:val="21"/>
                <w:szCs w:val="21"/>
              </w:rPr>
              <w:t>④发现废气治理设施事故排放时，应在确保安全的情况下立即停止作业，从源头切断废气来源；然后对废气治理系统进行全面的排查检修，找到故障原因，及时恢复治理系统的正常运行。在确保废气治理系统正常运转后，方可投入生产作业。</w:t>
            </w:r>
          </w:p>
          <w:p w14:paraId="5DA174AC">
            <w:pPr>
              <w:pStyle w:val="2"/>
              <w:rPr>
                <w:rFonts w:ascii="Times New Roman" w:cs="Times New Roman"/>
                <w:color w:val="auto"/>
                <w:sz w:val="21"/>
                <w:szCs w:val="21"/>
              </w:rPr>
            </w:pPr>
            <w:r>
              <w:rPr>
                <w:rFonts w:hint="eastAsia" w:ascii="Times New Roman" w:cs="Times New Roman"/>
                <w:color w:val="auto"/>
                <w:sz w:val="21"/>
                <w:szCs w:val="21"/>
              </w:rPr>
              <w:t>（3）危险化学品及副产物泄漏风险应急防范措施</w:t>
            </w:r>
          </w:p>
          <w:p w14:paraId="1D63199A">
            <w:pPr>
              <w:pStyle w:val="2"/>
              <w:rPr>
                <w:rFonts w:ascii="Times New Roman" w:cs="Times New Roman"/>
                <w:color w:val="auto"/>
                <w:sz w:val="21"/>
                <w:szCs w:val="21"/>
              </w:rPr>
            </w:pPr>
            <w:r>
              <w:rPr>
                <w:rFonts w:hint="eastAsia" w:ascii="Times New Roman" w:cs="Times New Roman"/>
                <w:color w:val="auto"/>
                <w:sz w:val="21"/>
                <w:szCs w:val="21"/>
              </w:rPr>
              <w:t>①立即启动应急响应，触发气体检测报警系统，划定泄漏点周围至少 500 米为警戒区。疏散下风向1公里内所有人员（静风条件下扩大至2公里）。</w:t>
            </w:r>
          </w:p>
          <w:p w14:paraId="15F0E87B">
            <w:pPr>
              <w:pStyle w:val="2"/>
              <w:rPr>
                <w:rFonts w:ascii="Times New Roman" w:cs="Times New Roman"/>
                <w:color w:val="auto"/>
                <w:sz w:val="21"/>
                <w:szCs w:val="21"/>
              </w:rPr>
            </w:pPr>
            <w:r>
              <w:rPr>
                <w:rFonts w:hint="eastAsia" w:ascii="Times New Roman" w:cs="Times New Roman"/>
                <w:color w:val="auto"/>
                <w:sz w:val="21"/>
                <w:szCs w:val="21"/>
              </w:rPr>
              <w:t>②若磷化铝固体泄漏，使用干燥防爆工具收集泄漏物，装入密闭防渗容器，严禁接触水或潮湿环境。污染区域用惰性吸附材料（如干燥砂土）覆盖，防止PH3生成。</w:t>
            </w:r>
          </w:p>
          <w:p w14:paraId="69B745F5">
            <w:pPr>
              <w:pStyle w:val="2"/>
              <w:rPr>
                <w:rFonts w:ascii="Times New Roman" w:cs="Times New Roman"/>
                <w:color w:val="auto"/>
                <w:sz w:val="21"/>
                <w:szCs w:val="21"/>
              </w:rPr>
            </w:pPr>
            <w:r>
              <w:rPr>
                <w:rFonts w:hint="eastAsia" w:ascii="Times New Roman" w:cs="Times New Roman"/>
                <w:color w:val="auto"/>
                <w:sz w:val="21"/>
                <w:szCs w:val="21"/>
              </w:rPr>
              <w:t>③若产生了磷化氢气态泄漏，若管道泄漏，立即关闭上游阀门，用氮气吹扫置换残余气体。室外泄漏时，采用雾状水喷淋。残余PH3通入次氯酸钠溶液（10%）吸收（反应生成磷酸盐）。</w:t>
            </w:r>
          </w:p>
        </w:tc>
      </w:tr>
      <w:tr w14:paraId="65E5E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32" w:type="dxa"/>
            <w:vAlign w:val="center"/>
          </w:tcPr>
          <w:p w14:paraId="55C8CB31">
            <w:pPr>
              <w:adjustRightInd w:val="0"/>
              <w:snapToGrid w:val="0"/>
              <w:jc w:val="center"/>
              <w:rPr>
                <w:b/>
                <w:spacing w:val="-8"/>
                <w:szCs w:val="21"/>
              </w:rPr>
            </w:pPr>
            <w:r>
              <w:rPr>
                <w:b/>
                <w:spacing w:val="-8"/>
                <w:szCs w:val="21"/>
              </w:rPr>
              <w:t>其他环境</w:t>
            </w:r>
          </w:p>
          <w:p w14:paraId="68975ABA">
            <w:pPr>
              <w:adjustRightInd w:val="0"/>
              <w:snapToGrid w:val="0"/>
              <w:jc w:val="center"/>
              <w:rPr>
                <w:b/>
                <w:spacing w:val="-8"/>
                <w:szCs w:val="21"/>
              </w:rPr>
            </w:pPr>
            <w:r>
              <w:rPr>
                <w:b/>
                <w:spacing w:val="-8"/>
                <w:szCs w:val="21"/>
              </w:rPr>
              <w:t>管理要求</w:t>
            </w:r>
          </w:p>
        </w:tc>
        <w:tc>
          <w:tcPr>
            <w:tcW w:w="8674" w:type="dxa"/>
            <w:gridSpan w:val="4"/>
            <w:vAlign w:val="center"/>
          </w:tcPr>
          <w:p w14:paraId="0CBA24B5">
            <w:pPr>
              <w:pStyle w:val="2"/>
              <w:rPr>
                <w:rFonts w:ascii="Times New Roman" w:cs="Times New Roman"/>
                <w:color w:val="auto"/>
                <w:sz w:val="21"/>
                <w:szCs w:val="21"/>
              </w:rPr>
            </w:pPr>
            <w:r>
              <w:rPr>
                <w:rFonts w:hint="eastAsia" w:ascii="Times New Roman" w:cs="Times New Roman"/>
                <w:color w:val="auto"/>
                <w:sz w:val="21"/>
                <w:szCs w:val="21"/>
              </w:rPr>
              <w:t>（1）排污许可</w:t>
            </w:r>
          </w:p>
          <w:p w14:paraId="4CA64269">
            <w:pPr>
              <w:pStyle w:val="2"/>
              <w:rPr>
                <w:rFonts w:ascii="Times New Roman" w:cs="Times New Roman"/>
                <w:color w:val="auto"/>
                <w:sz w:val="21"/>
                <w:szCs w:val="21"/>
              </w:rPr>
            </w:pPr>
            <w:r>
              <w:rPr>
                <w:rFonts w:hint="eastAsia" w:ascii="Times New Roman" w:cs="Times New Roman"/>
                <w:color w:val="auto"/>
                <w:sz w:val="21"/>
                <w:szCs w:val="21"/>
              </w:rPr>
              <w:t>根据《关于做好环境影响评价制度与排污许可制度衔接相关工作的通知》（环办环评〔2017〕84号）提出：建设项目发生实际排污行为之前，排污单位应当按照国家环境保护相关法律法规以及相关排污许可证申请与核发技术规范要求申请排污许可证，不得无证排污或不按证排污。排污许可证执行报告、台账记录以及自行监测执行情况等应作为开展建设项目环境影响后评价的重要依据。根据《固定污染源排污许可分类管理名录（2019年版）》（部令第11号）规定，本项目属于登记管理类别，应在全国排污许可证管理信息平台填报排污登记表。本项目取得环评批复后，企业正式生产前，需对已申领的排污许可证进行变更。</w:t>
            </w:r>
          </w:p>
          <w:p w14:paraId="3896454C">
            <w:pPr>
              <w:pStyle w:val="2"/>
              <w:rPr>
                <w:rFonts w:ascii="Times New Roman" w:cs="Times New Roman"/>
                <w:color w:val="auto"/>
                <w:sz w:val="21"/>
                <w:szCs w:val="21"/>
              </w:rPr>
            </w:pPr>
            <w:r>
              <w:rPr>
                <w:rFonts w:hint="eastAsia" w:ascii="Times New Roman" w:cs="Times New Roman"/>
                <w:color w:val="auto"/>
                <w:sz w:val="21"/>
                <w:szCs w:val="21"/>
              </w:rPr>
              <w:t>（2）项目竣工环境保护验收</w:t>
            </w:r>
          </w:p>
          <w:p w14:paraId="136C308A">
            <w:pPr>
              <w:pStyle w:val="2"/>
              <w:rPr>
                <w:rFonts w:ascii="Times New Roman" w:cs="Times New Roman"/>
                <w:color w:val="auto"/>
                <w:sz w:val="21"/>
                <w:szCs w:val="21"/>
              </w:rPr>
            </w:pPr>
            <w:r>
              <w:rPr>
                <w:rFonts w:hint="eastAsia" w:ascii="Times New Roman" w:cs="Times New Roman"/>
                <w:color w:val="auto"/>
                <w:sz w:val="21"/>
                <w:szCs w:val="21"/>
              </w:rPr>
              <w:t>项目建设必须严格执行环境保护的制度，各项环保措施必须与主体工程同时设计、同时施工、同时投入运行，建设单位应按照《建设项目竣工环境保护验收暂行办法》（国环规环评[2017]4号）规定的程序和标准，组织对配套建设的环境保护设施进行验收，编制验收报告，并对验收内容、结论和所公开信息的真实性、准确性和完整性负责，不得在验收过程中弄虚作假，验收合格后依法向社会公开验收报告。建设项目配套建设的环境保护设施经验收合格，方可投入生产或者使用；未经验收或者验收不合格的，不得投入生产或者使用。</w:t>
            </w:r>
          </w:p>
          <w:p w14:paraId="32A42E5E">
            <w:pPr>
              <w:pStyle w:val="2"/>
              <w:rPr>
                <w:rFonts w:ascii="Times New Roman" w:cs="Times New Roman"/>
                <w:color w:val="auto"/>
                <w:sz w:val="21"/>
                <w:szCs w:val="21"/>
              </w:rPr>
            </w:pPr>
            <w:r>
              <w:rPr>
                <w:rFonts w:hint="eastAsia" w:ascii="Times New Roman" w:cs="Times New Roman"/>
                <w:color w:val="auto"/>
                <w:sz w:val="21"/>
                <w:szCs w:val="21"/>
              </w:rPr>
              <w:t>（3）排放口规范设置</w:t>
            </w:r>
          </w:p>
          <w:p w14:paraId="29A33525">
            <w:pPr>
              <w:pStyle w:val="2"/>
              <w:rPr>
                <w:rFonts w:ascii="Times New Roman" w:cs="Times New Roman"/>
                <w:color w:val="auto"/>
                <w:sz w:val="21"/>
                <w:szCs w:val="21"/>
              </w:rPr>
            </w:pPr>
            <w:r>
              <w:rPr>
                <w:rFonts w:hint="eastAsia" w:ascii="Times New Roman" w:cs="Times New Roman"/>
                <w:color w:val="auto"/>
                <w:sz w:val="21"/>
                <w:szCs w:val="21"/>
              </w:rPr>
              <w:t>固定噪声源、固体废物贮存和排气筒必须按照国家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0324F045">
            <w:pPr>
              <w:pStyle w:val="2"/>
              <w:rPr>
                <w:rFonts w:ascii="Times New Roman" w:cs="Times New Roman"/>
                <w:color w:val="auto"/>
                <w:sz w:val="21"/>
                <w:szCs w:val="21"/>
              </w:rPr>
            </w:pPr>
            <w:r>
              <w:rPr>
                <w:rFonts w:hint="eastAsia" w:ascii="Times New Roman" w:cs="Times New Roman"/>
                <w:color w:val="auto"/>
                <w:sz w:val="21"/>
                <w:szCs w:val="21"/>
              </w:rPr>
              <w:t>1）排放口设置取样口，并具备采样检测条件，开口需要满足“上三下六”的采样规范。</w:t>
            </w:r>
          </w:p>
          <w:p w14:paraId="6D744943">
            <w:pPr>
              <w:pStyle w:val="2"/>
              <w:rPr>
                <w:rFonts w:ascii="Times New Roman" w:cs="Times New Roman"/>
                <w:color w:val="auto"/>
                <w:sz w:val="21"/>
                <w:szCs w:val="21"/>
              </w:rPr>
            </w:pPr>
            <w:r>
              <w:rPr>
                <w:rFonts w:hint="eastAsia" w:ascii="Times New Roman" w:cs="Times New Roman"/>
                <w:color w:val="auto"/>
                <w:sz w:val="21"/>
                <w:szCs w:val="21"/>
              </w:rPr>
              <w:t>2）排污口管理。建设单位应在各个排污口处树立标志牌，并如实填写《中华人民共和国规范化排污口标记登记证》，由环保部门签发。环保主管部门和建设单位分别按以下内容建立排污口管理的专门档案：排污口性质和编号；位置；排放主要污染物种类、数量、浓度；排放去向；达标情况；治理设施运行情况及整改意见。</w:t>
            </w:r>
          </w:p>
          <w:p w14:paraId="10B6DDA1">
            <w:pPr>
              <w:pStyle w:val="2"/>
              <w:rPr>
                <w:rFonts w:ascii="Times New Roman" w:cs="Times New Roman"/>
                <w:color w:val="auto"/>
                <w:sz w:val="21"/>
                <w:szCs w:val="21"/>
              </w:rPr>
            </w:pPr>
            <w:r>
              <w:rPr>
                <w:rFonts w:hint="eastAsia" w:ascii="Times New Roman" w:cs="Times New Roman"/>
                <w:color w:val="auto"/>
                <w:sz w:val="21"/>
                <w:szCs w:val="21"/>
              </w:rPr>
              <w:t>3）环境保护图形标志</w:t>
            </w:r>
          </w:p>
          <w:p w14:paraId="60A19515">
            <w:pPr>
              <w:pStyle w:val="2"/>
              <w:rPr>
                <w:rFonts w:ascii="Times New Roman" w:cs="Times New Roman"/>
                <w:color w:val="auto"/>
                <w:sz w:val="21"/>
                <w:szCs w:val="21"/>
              </w:rPr>
            </w:pPr>
            <w:r>
              <w:rPr>
                <w:rFonts w:hint="eastAsia" w:ascii="Times New Roman" w:cs="Times New Roman"/>
                <w:color w:val="auto"/>
                <w:sz w:val="21"/>
                <w:szCs w:val="21"/>
              </w:rPr>
              <w:t>废气排放源、固体废物贮存处置场应设置环境保护图形标志，图形符号分为提示图形和警告图形符号两种，分别按GB15562.1-1995、HJ1276-2022执行</w:t>
            </w:r>
            <w:r>
              <w:rPr>
                <w:rFonts w:ascii="Times New Roman" w:cs="Times New Roman"/>
                <w:color w:val="auto"/>
                <w:sz w:val="21"/>
                <w:szCs w:val="21"/>
              </w:rPr>
              <w:t>。</w:t>
            </w:r>
          </w:p>
          <w:p w14:paraId="7361CC53">
            <w:pPr>
              <w:pStyle w:val="2"/>
              <w:rPr>
                <w:color w:val="auto"/>
              </w:rPr>
            </w:pPr>
          </w:p>
        </w:tc>
      </w:tr>
    </w:tbl>
    <w:p w14:paraId="119018A7">
      <w:pPr>
        <w:pStyle w:val="25"/>
        <w:jc w:val="center"/>
        <w:outlineLvl w:val="0"/>
        <w:rPr>
          <w:rFonts w:ascii="黑体" w:hAnsi="黑体" w:eastAsia="黑体"/>
          <w:snapToGrid w:val="0"/>
          <w:sz w:val="30"/>
          <w:szCs w:val="30"/>
        </w:rPr>
      </w:pPr>
      <w:r>
        <w:rPr>
          <w:snapToGrid w:val="0"/>
        </w:rPr>
        <w:br w:type="page"/>
      </w:r>
      <w:bookmarkStart w:id="144" w:name="_Toc111712331"/>
      <w:r>
        <w:rPr>
          <w:rFonts w:hint="eastAsia" w:ascii="黑体" w:hAnsi="黑体" w:eastAsia="黑体"/>
          <w:snapToGrid w:val="0"/>
          <w:sz w:val="30"/>
          <w:szCs w:val="30"/>
        </w:rPr>
        <w:t>六、结论</w:t>
      </w:r>
      <w:bookmarkEnd w:id="144"/>
    </w:p>
    <w:tbl>
      <w:tblPr>
        <w:tblStyle w:val="28"/>
        <w:tblW w:w="10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06"/>
      </w:tblGrid>
      <w:tr w14:paraId="5D6B9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91" w:hRule="atLeast"/>
          <w:jc w:val="center"/>
        </w:trPr>
        <w:tc>
          <w:tcPr>
            <w:tcW w:w="8865" w:type="dxa"/>
            <w:vAlign w:val="center"/>
          </w:tcPr>
          <w:p w14:paraId="79328459">
            <w:pPr>
              <w:autoSpaceDE w:val="0"/>
              <w:autoSpaceDN w:val="0"/>
              <w:adjustRightInd w:val="0"/>
              <w:spacing w:line="360" w:lineRule="auto"/>
              <w:ind w:firstLine="480" w:firstLineChars="200"/>
              <w:rPr>
                <w:kern w:val="0"/>
                <w:sz w:val="24"/>
              </w:rPr>
            </w:pPr>
            <w:r>
              <w:rPr>
                <w:kern w:val="0"/>
                <w:sz w:val="24"/>
              </w:rPr>
              <w:t>本项目建设符合国家产业政策和区域环境功能区划，用地性质符合区域土地利用规划，项目选址合理。项目建设符</w:t>
            </w:r>
            <w:r>
              <w:rPr>
                <w:rFonts w:ascii="宋体" w:hAnsi="宋体"/>
                <w:kern w:val="0"/>
                <w:sz w:val="24"/>
              </w:rPr>
              <w:t>合</w:t>
            </w:r>
            <w:r>
              <w:rPr>
                <w:rFonts w:hint="eastAsia" w:ascii="宋体" w:hAnsi="宋体"/>
                <w:kern w:val="0"/>
                <w:sz w:val="24"/>
              </w:rPr>
              <w:t>分区</w:t>
            </w:r>
            <w:r>
              <w:rPr>
                <w:rFonts w:ascii="宋体" w:hAnsi="宋体"/>
                <w:kern w:val="0"/>
                <w:sz w:val="24"/>
              </w:rPr>
              <w:t>管控</w:t>
            </w:r>
            <w:r>
              <w:rPr>
                <w:kern w:val="0"/>
                <w:sz w:val="24"/>
              </w:rPr>
              <w:t>要求，项目不属于《产业结构调整指导目录（</w:t>
            </w:r>
            <w:r>
              <w:rPr>
                <w:rFonts w:eastAsia="TimesNewRomanPSMT"/>
                <w:kern w:val="0"/>
                <w:sz w:val="24"/>
              </w:rPr>
              <w:t>20</w:t>
            </w:r>
            <w:r>
              <w:rPr>
                <w:rFonts w:hint="eastAsia" w:eastAsia="TimesNewRomanPSMT"/>
                <w:kern w:val="0"/>
                <w:sz w:val="24"/>
              </w:rPr>
              <w:t>24</w:t>
            </w:r>
            <w:r>
              <w:rPr>
                <w:kern w:val="0"/>
                <w:sz w:val="24"/>
              </w:rPr>
              <w:t>年本）》淘汰类和限制类项目，不属于《市场准入负面清单》（</w:t>
            </w:r>
            <w:r>
              <w:rPr>
                <w:rFonts w:eastAsia="TimesNewRomanPSMT"/>
                <w:kern w:val="0"/>
                <w:sz w:val="24"/>
              </w:rPr>
              <w:t>2020</w:t>
            </w:r>
            <w:r>
              <w:rPr>
                <w:kern w:val="0"/>
                <w:sz w:val="24"/>
              </w:rPr>
              <w:t>年版）的负面清单禁止准入类项目。</w:t>
            </w:r>
          </w:p>
          <w:p w14:paraId="332B1370">
            <w:pPr>
              <w:autoSpaceDE w:val="0"/>
              <w:autoSpaceDN w:val="0"/>
              <w:adjustRightInd w:val="0"/>
              <w:spacing w:line="360" w:lineRule="auto"/>
              <w:ind w:firstLine="480" w:firstLineChars="200"/>
              <w:rPr>
                <w:kern w:val="0"/>
                <w:sz w:val="24"/>
              </w:rPr>
            </w:pPr>
            <w:r>
              <w:rPr>
                <w:kern w:val="0"/>
                <w:sz w:val="24"/>
              </w:rPr>
              <w:t>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14:paraId="72465809">
            <w:pPr>
              <w:autoSpaceDE w:val="0"/>
              <w:autoSpaceDN w:val="0"/>
              <w:adjustRightInd w:val="0"/>
              <w:spacing w:line="360" w:lineRule="auto"/>
              <w:ind w:firstLine="480" w:firstLineChars="200"/>
              <w:rPr>
                <w:rFonts w:ascii="宋体" w:cs="宋体"/>
                <w:sz w:val="24"/>
              </w:rPr>
            </w:pPr>
            <w:r>
              <w:rPr>
                <w:kern w:val="0"/>
                <w:sz w:val="24"/>
              </w:rPr>
              <w:t>从环境保护的角度分析，本项目建设可行。</w:t>
            </w:r>
          </w:p>
        </w:tc>
      </w:tr>
    </w:tbl>
    <w:p w14:paraId="1D916EB9">
      <w:pPr>
        <w:rPr>
          <w:rFonts w:ascii="宋体"/>
        </w:rPr>
        <w:sectPr>
          <w:pgSz w:w="11906" w:h="16838"/>
          <w:pgMar w:top="1701" w:right="1531" w:bottom="1701" w:left="1531" w:header="851" w:footer="851" w:gutter="0"/>
          <w:cols w:space="720" w:num="1"/>
          <w:docGrid w:linePitch="312" w:charSpace="0"/>
        </w:sectPr>
      </w:pPr>
    </w:p>
    <w:p w14:paraId="7CA54E8F">
      <w:pPr>
        <w:pStyle w:val="25"/>
        <w:spacing w:before="0" w:beforeAutospacing="0" w:after="0" w:afterAutospacing="0"/>
        <w:outlineLvl w:val="0"/>
        <w:rPr>
          <w:rFonts w:ascii="黑体" w:hAnsi="黑体" w:eastAsia="黑体"/>
          <w:snapToGrid w:val="0"/>
          <w:sz w:val="30"/>
          <w:szCs w:val="30"/>
        </w:rPr>
      </w:pPr>
      <w:bookmarkStart w:id="145" w:name="_Toc111712332"/>
      <w:r>
        <w:rPr>
          <w:rFonts w:hint="eastAsia" w:ascii="黑体" w:hAnsi="黑体" w:eastAsia="黑体"/>
          <w:snapToGrid w:val="0"/>
          <w:sz w:val="32"/>
          <w:szCs w:val="32"/>
        </w:rPr>
        <w:t>附表</w:t>
      </w:r>
      <w:bookmarkEnd w:id="145"/>
    </w:p>
    <w:p w14:paraId="67FD8A7B">
      <w:pPr>
        <w:pStyle w:val="25"/>
        <w:spacing w:before="0" w:beforeAutospacing="0" w:after="0" w:afterAutospacing="0"/>
        <w:jc w:val="center"/>
        <w:outlineLvl w:val="0"/>
        <w:rPr>
          <w:rFonts w:ascii="黑体" w:hAnsi="黑体" w:eastAsia="黑体"/>
          <w:snapToGrid w:val="0"/>
          <w:sz w:val="30"/>
          <w:szCs w:val="30"/>
        </w:rPr>
      </w:pPr>
      <w:bookmarkStart w:id="146" w:name="_Toc111712333"/>
      <w:r>
        <w:rPr>
          <w:rFonts w:hint="eastAsia" w:ascii="黑体" w:hAnsi="黑体" w:eastAsia="黑体"/>
          <w:snapToGrid w:val="0"/>
          <w:sz w:val="30"/>
          <w:szCs w:val="30"/>
        </w:rPr>
        <w:t>建设项目污染物排放量汇总表</w:t>
      </w:r>
      <w:bookmarkEnd w:id="146"/>
    </w:p>
    <w:tbl>
      <w:tblPr>
        <w:tblStyle w:val="28"/>
        <w:tblW w:w="137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1559"/>
        <w:gridCol w:w="1843"/>
        <w:gridCol w:w="1276"/>
        <w:gridCol w:w="1701"/>
        <w:gridCol w:w="1559"/>
        <w:gridCol w:w="1418"/>
        <w:gridCol w:w="1701"/>
        <w:gridCol w:w="1427"/>
      </w:tblGrid>
      <w:tr w14:paraId="33010F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tcMar>
              <w:left w:w="28" w:type="dxa"/>
              <w:right w:w="28" w:type="dxa"/>
            </w:tcMar>
            <w:vAlign w:val="center"/>
          </w:tcPr>
          <w:p w14:paraId="4CAE1551">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项目</w:t>
            </w:r>
          </w:p>
          <w:p w14:paraId="44CE5111">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分类</w:t>
            </w:r>
          </w:p>
        </w:tc>
        <w:tc>
          <w:tcPr>
            <w:tcW w:w="1559" w:type="dxa"/>
            <w:tcMar>
              <w:left w:w="28" w:type="dxa"/>
              <w:right w:w="28" w:type="dxa"/>
            </w:tcMar>
            <w:vAlign w:val="center"/>
          </w:tcPr>
          <w:p w14:paraId="2FAB8615">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污染物名称</w:t>
            </w:r>
          </w:p>
        </w:tc>
        <w:tc>
          <w:tcPr>
            <w:tcW w:w="1843" w:type="dxa"/>
            <w:tcMar>
              <w:left w:w="28" w:type="dxa"/>
              <w:right w:w="28" w:type="dxa"/>
            </w:tcMar>
            <w:vAlign w:val="center"/>
          </w:tcPr>
          <w:p w14:paraId="2CD5D05B">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6E4DD6BD">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1 \* GB3 \* MERGEFORMAT </w:instrText>
            </w:r>
            <w:r>
              <w:rPr>
                <w:rFonts w:ascii="Times New Roman"/>
                <w:b/>
                <w:snapToGrid w:val="0"/>
                <w:spacing w:val="-6"/>
                <w:kern w:val="21"/>
                <w:szCs w:val="21"/>
              </w:rPr>
              <w:fldChar w:fldCharType="separate"/>
            </w:r>
            <w:r>
              <w:rPr>
                <w:rFonts w:ascii="Times New Roman" w:hAnsi="宋体"/>
                <w:b/>
                <w:kern w:val="2"/>
                <w:szCs w:val="21"/>
              </w:rPr>
              <w:t>①</w:t>
            </w:r>
            <w:r>
              <w:rPr>
                <w:rFonts w:ascii="Times New Roman"/>
                <w:b/>
                <w:snapToGrid w:val="0"/>
                <w:spacing w:val="-6"/>
                <w:kern w:val="21"/>
                <w:szCs w:val="21"/>
              </w:rPr>
              <w:fldChar w:fldCharType="end"/>
            </w:r>
          </w:p>
        </w:tc>
        <w:tc>
          <w:tcPr>
            <w:tcW w:w="1276" w:type="dxa"/>
            <w:tcMar>
              <w:left w:w="28" w:type="dxa"/>
              <w:right w:w="28" w:type="dxa"/>
            </w:tcMar>
            <w:vAlign w:val="center"/>
          </w:tcPr>
          <w:p w14:paraId="1240B48D">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现有工程</w:t>
            </w:r>
          </w:p>
          <w:p w14:paraId="2E7CE24B">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许可排放量</w:t>
            </w:r>
          </w:p>
          <w:p w14:paraId="0A0F27F8">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2 \* GB3 \* MERGEFORMAT </w:instrText>
            </w:r>
            <w:r>
              <w:rPr>
                <w:rFonts w:ascii="Times New Roman"/>
                <w:b/>
                <w:snapToGrid w:val="0"/>
                <w:spacing w:val="-6"/>
                <w:kern w:val="21"/>
                <w:szCs w:val="21"/>
              </w:rPr>
              <w:fldChar w:fldCharType="separate"/>
            </w:r>
            <w:r>
              <w:rPr>
                <w:rFonts w:ascii="Times New Roman" w:hAnsi="宋体"/>
                <w:b/>
                <w:snapToGrid w:val="0"/>
                <w:spacing w:val="-6"/>
                <w:kern w:val="21"/>
                <w:szCs w:val="21"/>
              </w:rPr>
              <w:t>②</w:t>
            </w:r>
            <w:r>
              <w:rPr>
                <w:rFonts w:ascii="Times New Roman"/>
                <w:b/>
                <w:snapToGrid w:val="0"/>
                <w:spacing w:val="-6"/>
                <w:kern w:val="21"/>
                <w:szCs w:val="21"/>
              </w:rPr>
              <w:fldChar w:fldCharType="end"/>
            </w:r>
          </w:p>
        </w:tc>
        <w:tc>
          <w:tcPr>
            <w:tcW w:w="1701" w:type="dxa"/>
            <w:tcMar>
              <w:left w:w="28" w:type="dxa"/>
              <w:right w:w="28" w:type="dxa"/>
            </w:tcMar>
            <w:vAlign w:val="center"/>
          </w:tcPr>
          <w:p w14:paraId="4C9D28DA">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在建工程</w:t>
            </w:r>
          </w:p>
          <w:p w14:paraId="63408713">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3 \* GB3 \* MERGEFORMAT </w:instrText>
            </w:r>
            <w:r>
              <w:rPr>
                <w:rFonts w:ascii="Times New Roman"/>
                <w:b/>
                <w:snapToGrid w:val="0"/>
                <w:spacing w:val="-6"/>
                <w:kern w:val="21"/>
                <w:szCs w:val="21"/>
              </w:rPr>
              <w:fldChar w:fldCharType="separate"/>
            </w:r>
            <w:r>
              <w:rPr>
                <w:rFonts w:ascii="Times New Roman" w:hAnsi="宋体"/>
                <w:b/>
                <w:kern w:val="2"/>
                <w:szCs w:val="21"/>
              </w:rPr>
              <w:t>③</w:t>
            </w:r>
            <w:r>
              <w:rPr>
                <w:rFonts w:ascii="Times New Roman"/>
                <w:b/>
                <w:snapToGrid w:val="0"/>
                <w:spacing w:val="-6"/>
                <w:kern w:val="21"/>
                <w:szCs w:val="21"/>
              </w:rPr>
              <w:fldChar w:fldCharType="end"/>
            </w:r>
          </w:p>
        </w:tc>
        <w:tc>
          <w:tcPr>
            <w:tcW w:w="1559" w:type="dxa"/>
            <w:tcMar>
              <w:left w:w="28" w:type="dxa"/>
              <w:right w:w="28" w:type="dxa"/>
            </w:tcMar>
            <w:vAlign w:val="center"/>
          </w:tcPr>
          <w:p w14:paraId="2454E5C5">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本项目</w:t>
            </w:r>
          </w:p>
          <w:p w14:paraId="0FD7674F">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排放量（固体废物产生量）</w:t>
            </w:r>
            <w:r>
              <w:rPr>
                <w:rFonts w:ascii="Times New Roman"/>
                <w:b/>
                <w:snapToGrid w:val="0"/>
                <w:spacing w:val="-6"/>
                <w:kern w:val="21"/>
                <w:szCs w:val="21"/>
              </w:rPr>
              <w:fldChar w:fldCharType="begin"/>
            </w:r>
            <w:r>
              <w:rPr>
                <w:rFonts w:ascii="Times New Roman"/>
                <w:b/>
                <w:snapToGrid w:val="0"/>
                <w:spacing w:val="-6"/>
                <w:kern w:val="21"/>
                <w:szCs w:val="21"/>
              </w:rPr>
              <w:instrText xml:space="preserve"> = 4 \* GB3 \* MERGEFORMAT </w:instrText>
            </w:r>
            <w:r>
              <w:rPr>
                <w:rFonts w:ascii="Times New Roman"/>
                <w:b/>
                <w:snapToGrid w:val="0"/>
                <w:spacing w:val="-6"/>
                <w:kern w:val="21"/>
                <w:szCs w:val="21"/>
              </w:rPr>
              <w:fldChar w:fldCharType="separate"/>
            </w:r>
            <w:r>
              <w:rPr>
                <w:rFonts w:ascii="Times New Roman" w:hAnsi="宋体"/>
                <w:b/>
                <w:kern w:val="2"/>
                <w:szCs w:val="21"/>
              </w:rPr>
              <w:t>④</w:t>
            </w:r>
            <w:r>
              <w:rPr>
                <w:rFonts w:ascii="Times New Roman"/>
                <w:b/>
                <w:snapToGrid w:val="0"/>
                <w:spacing w:val="-6"/>
                <w:kern w:val="21"/>
                <w:szCs w:val="21"/>
              </w:rPr>
              <w:fldChar w:fldCharType="end"/>
            </w:r>
          </w:p>
        </w:tc>
        <w:tc>
          <w:tcPr>
            <w:tcW w:w="1418" w:type="dxa"/>
            <w:tcMar>
              <w:left w:w="28" w:type="dxa"/>
              <w:right w:w="28" w:type="dxa"/>
            </w:tcMar>
            <w:vAlign w:val="center"/>
          </w:tcPr>
          <w:p w14:paraId="213FF38F">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以新带老削减量</w:t>
            </w:r>
          </w:p>
          <w:p w14:paraId="3B1CAEEB">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（新建项目不填）</w:t>
            </w:r>
            <w:r>
              <w:rPr>
                <w:rFonts w:ascii="Times New Roman"/>
                <w:b/>
                <w:snapToGrid w:val="0"/>
                <w:spacing w:val="-16"/>
                <w:kern w:val="21"/>
                <w:szCs w:val="21"/>
              </w:rPr>
              <w:fldChar w:fldCharType="begin"/>
            </w:r>
            <w:r>
              <w:rPr>
                <w:rFonts w:ascii="Times New Roman"/>
                <w:b/>
                <w:snapToGrid w:val="0"/>
                <w:spacing w:val="-16"/>
                <w:kern w:val="21"/>
                <w:szCs w:val="21"/>
              </w:rPr>
              <w:instrText xml:space="preserve"> = 5 \* GB3 \* MERGEFORMAT </w:instrText>
            </w:r>
            <w:r>
              <w:rPr>
                <w:rFonts w:ascii="Times New Roman"/>
                <w:b/>
                <w:snapToGrid w:val="0"/>
                <w:spacing w:val="-16"/>
                <w:kern w:val="21"/>
                <w:szCs w:val="21"/>
              </w:rPr>
              <w:fldChar w:fldCharType="separate"/>
            </w:r>
            <w:r>
              <w:rPr>
                <w:rFonts w:ascii="Times New Roman" w:hAnsi="宋体"/>
                <w:b/>
                <w:kern w:val="2"/>
                <w:szCs w:val="21"/>
              </w:rPr>
              <w:t>⑤</w:t>
            </w:r>
            <w:r>
              <w:rPr>
                <w:rFonts w:ascii="Times New Roman"/>
                <w:b/>
                <w:snapToGrid w:val="0"/>
                <w:spacing w:val="-16"/>
                <w:kern w:val="21"/>
                <w:szCs w:val="21"/>
              </w:rPr>
              <w:fldChar w:fldCharType="end"/>
            </w:r>
          </w:p>
        </w:tc>
        <w:tc>
          <w:tcPr>
            <w:tcW w:w="1701" w:type="dxa"/>
            <w:tcMar>
              <w:left w:w="28" w:type="dxa"/>
              <w:right w:w="28" w:type="dxa"/>
            </w:tcMar>
            <w:vAlign w:val="center"/>
          </w:tcPr>
          <w:p w14:paraId="286E3C57">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本项目建成后</w:t>
            </w:r>
          </w:p>
          <w:p w14:paraId="0FF114F1">
            <w:pPr>
              <w:pStyle w:val="40"/>
              <w:spacing w:beforeLines="0" w:afterLines="0" w:line="240" w:lineRule="auto"/>
              <w:rPr>
                <w:rFonts w:ascii="Times New Roman"/>
                <w:b/>
                <w:snapToGrid w:val="0"/>
                <w:spacing w:val="-16"/>
                <w:kern w:val="21"/>
                <w:szCs w:val="21"/>
              </w:rPr>
            </w:pPr>
            <w:r>
              <w:rPr>
                <w:rFonts w:ascii="Times New Roman"/>
                <w:b/>
                <w:snapToGrid w:val="0"/>
                <w:spacing w:val="-16"/>
                <w:kern w:val="21"/>
                <w:szCs w:val="21"/>
              </w:rPr>
              <w:t>全厂排放量（固体废物产生量）</w:t>
            </w:r>
            <w:r>
              <w:rPr>
                <w:rFonts w:ascii="Times New Roman"/>
                <w:b/>
                <w:snapToGrid w:val="0"/>
                <w:spacing w:val="-16"/>
                <w:kern w:val="21"/>
                <w:szCs w:val="21"/>
              </w:rPr>
              <w:fldChar w:fldCharType="begin"/>
            </w:r>
            <w:r>
              <w:rPr>
                <w:rFonts w:ascii="Times New Roman"/>
                <w:b/>
                <w:snapToGrid w:val="0"/>
                <w:spacing w:val="-16"/>
                <w:kern w:val="21"/>
                <w:szCs w:val="21"/>
              </w:rPr>
              <w:instrText xml:space="preserve"> = 6 \* GB3 \* MERGEFORMAT </w:instrText>
            </w:r>
            <w:r>
              <w:rPr>
                <w:rFonts w:ascii="Times New Roman"/>
                <w:b/>
                <w:snapToGrid w:val="0"/>
                <w:spacing w:val="-16"/>
                <w:kern w:val="21"/>
                <w:szCs w:val="21"/>
              </w:rPr>
              <w:fldChar w:fldCharType="separate"/>
            </w:r>
            <w:r>
              <w:rPr>
                <w:rFonts w:ascii="Times New Roman" w:hAnsi="宋体"/>
                <w:b/>
                <w:kern w:val="2"/>
                <w:szCs w:val="21"/>
              </w:rPr>
              <w:t>⑥</w:t>
            </w:r>
            <w:r>
              <w:rPr>
                <w:rFonts w:ascii="Times New Roman"/>
                <w:b/>
                <w:snapToGrid w:val="0"/>
                <w:spacing w:val="-16"/>
                <w:kern w:val="21"/>
                <w:szCs w:val="21"/>
              </w:rPr>
              <w:fldChar w:fldCharType="end"/>
            </w:r>
          </w:p>
        </w:tc>
        <w:tc>
          <w:tcPr>
            <w:tcW w:w="1427" w:type="dxa"/>
            <w:tcMar>
              <w:left w:w="28" w:type="dxa"/>
              <w:right w:w="28" w:type="dxa"/>
            </w:tcMar>
            <w:vAlign w:val="center"/>
          </w:tcPr>
          <w:p w14:paraId="2AB99577">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t>变化量</w:t>
            </w:r>
          </w:p>
          <w:p w14:paraId="052C9DB3">
            <w:pPr>
              <w:pStyle w:val="40"/>
              <w:spacing w:beforeLines="0" w:afterLines="0" w:line="240" w:lineRule="auto"/>
              <w:rPr>
                <w:rFonts w:ascii="Times New Roman"/>
                <w:b/>
                <w:snapToGrid w:val="0"/>
                <w:spacing w:val="-6"/>
                <w:kern w:val="21"/>
                <w:szCs w:val="21"/>
              </w:rPr>
            </w:pPr>
            <w:r>
              <w:rPr>
                <w:rFonts w:ascii="Times New Roman"/>
                <w:b/>
                <w:snapToGrid w:val="0"/>
                <w:spacing w:val="-6"/>
                <w:kern w:val="21"/>
                <w:szCs w:val="21"/>
              </w:rPr>
              <w:fldChar w:fldCharType="begin"/>
            </w:r>
            <w:r>
              <w:rPr>
                <w:rFonts w:ascii="Times New Roman"/>
                <w:b/>
                <w:snapToGrid w:val="0"/>
                <w:spacing w:val="-6"/>
                <w:kern w:val="21"/>
                <w:szCs w:val="21"/>
              </w:rPr>
              <w:instrText xml:space="preserve"> = 7 \* GB3 \* MERGEFORMAT </w:instrText>
            </w:r>
            <w:r>
              <w:rPr>
                <w:rFonts w:ascii="Times New Roman"/>
                <w:b/>
                <w:snapToGrid w:val="0"/>
                <w:spacing w:val="-6"/>
                <w:kern w:val="21"/>
                <w:szCs w:val="21"/>
              </w:rPr>
              <w:fldChar w:fldCharType="separate"/>
            </w:r>
            <w:r>
              <w:rPr>
                <w:rFonts w:ascii="Times New Roman" w:hAnsi="宋体"/>
                <w:b/>
                <w:kern w:val="2"/>
                <w:szCs w:val="21"/>
              </w:rPr>
              <w:t>⑦</w:t>
            </w:r>
            <w:r>
              <w:rPr>
                <w:rFonts w:ascii="Times New Roman"/>
                <w:b/>
                <w:snapToGrid w:val="0"/>
                <w:spacing w:val="-6"/>
                <w:kern w:val="21"/>
                <w:szCs w:val="21"/>
              </w:rPr>
              <w:fldChar w:fldCharType="end"/>
            </w:r>
          </w:p>
        </w:tc>
      </w:tr>
      <w:tr w14:paraId="19B81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77D4639F">
            <w:pPr>
              <w:pStyle w:val="40"/>
              <w:spacing w:beforeLines="0" w:afterLines="0" w:line="240" w:lineRule="auto"/>
              <w:rPr>
                <w:rFonts w:ascii="Times New Roman"/>
                <w:b/>
                <w:snapToGrid w:val="0"/>
                <w:kern w:val="21"/>
                <w:szCs w:val="21"/>
              </w:rPr>
            </w:pPr>
            <w:r>
              <w:rPr>
                <w:rFonts w:ascii="Times New Roman"/>
                <w:b/>
                <w:snapToGrid w:val="0"/>
                <w:kern w:val="21"/>
                <w:szCs w:val="21"/>
              </w:rPr>
              <w:t>废气</w:t>
            </w:r>
          </w:p>
        </w:tc>
        <w:tc>
          <w:tcPr>
            <w:tcW w:w="1559" w:type="dxa"/>
            <w:vAlign w:val="center"/>
          </w:tcPr>
          <w:p w14:paraId="47B936F9">
            <w:pPr>
              <w:adjustRightInd w:val="0"/>
              <w:snapToGrid w:val="0"/>
              <w:jc w:val="center"/>
              <w:rPr>
                <w:szCs w:val="21"/>
              </w:rPr>
            </w:pPr>
            <w:r>
              <w:rPr>
                <w:rFonts w:hint="eastAsia"/>
                <w:szCs w:val="21"/>
              </w:rPr>
              <w:t>颗粒物</w:t>
            </w:r>
          </w:p>
        </w:tc>
        <w:tc>
          <w:tcPr>
            <w:tcW w:w="1843" w:type="dxa"/>
            <w:vAlign w:val="center"/>
          </w:tcPr>
          <w:p w14:paraId="401F868A">
            <w:pPr>
              <w:pStyle w:val="40"/>
              <w:spacing w:beforeLines="0" w:afterLines="0" w:line="240" w:lineRule="auto"/>
              <w:rPr>
                <w:rFonts w:ascii="Times New Roman"/>
                <w:snapToGrid w:val="0"/>
                <w:kern w:val="21"/>
                <w:szCs w:val="21"/>
              </w:rPr>
            </w:pPr>
            <w:r>
              <w:rPr>
                <w:rFonts w:ascii="Times New Roman"/>
                <w:snapToGrid w:val="0"/>
                <w:kern w:val="21"/>
                <w:szCs w:val="21"/>
              </w:rPr>
              <w:t>0</w:t>
            </w:r>
            <w:r>
              <w:rPr>
                <w:rFonts w:hint="eastAsia" w:ascii="Times New Roman"/>
                <w:snapToGrid w:val="0"/>
                <w:kern w:val="21"/>
                <w:szCs w:val="21"/>
              </w:rPr>
              <w:t>.665</w:t>
            </w:r>
          </w:p>
        </w:tc>
        <w:tc>
          <w:tcPr>
            <w:tcW w:w="1276" w:type="dxa"/>
            <w:vAlign w:val="center"/>
          </w:tcPr>
          <w:p w14:paraId="750DB21F">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7E409302">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5F20EAF3">
            <w:pPr>
              <w:jc w:val="center"/>
              <w:rPr>
                <w:szCs w:val="21"/>
              </w:rPr>
            </w:pPr>
            <w:r>
              <w:rPr>
                <w:rFonts w:hint="eastAsia"/>
                <w:szCs w:val="21"/>
              </w:rPr>
              <w:t>4.3396</w:t>
            </w:r>
          </w:p>
        </w:tc>
        <w:tc>
          <w:tcPr>
            <w:tcW w:w="1418" w:type="dxa"/>
            <w:vAlign w:val="center"/>
          </w:tcPr>
          <w:p w14:paraId="7C1925F7">
            <w:pPr>
              <w:jc w:val="center"/>
              <w:rPr>
                <w:szCs w:val="21"/>
              </w:rPr>
            </w:pPr>
            <w:r>
              <w:rPr>
                <w:rFonts w:hint="eastAsia"/>
                <w:szCs w:val="21"/>
              </w:rPr>
              <w:t>0</w:t>
            </w:r>
          </w:p>
        </w:tc>
        <w:tc>
          <w:tcPr>
            <w:tcW w:w="1701" w:type="dxa"/>
            <w:vAlign w:val="center"/>
          </w:tcPr>
          <w:p w14:paraId="56869CD5">
            <w:pPr>
              <w:jc w:val="center"/>
              <w:rPr>
                <w:szCs w:val="21"/>
              </w:rPr>
            </w:pPr>
            <w:r>
              <w:rPr>
                <w:rFonts w:hint="eastAsia"/>
                <w:szCs w:val="21"/>
              </w:rPr>
              <w:t>5.0046</w:t>
            </w:r>
          </w:p>
        </w:tc>
        <w:tc>
          <w:tcPr>
            <w:tcW w:w="1427" w:type="dxa"/>
            <w:vAlign w:val="center"/>
          </w:tcPr>
          <w:p w14:paraId="10F0C083">
            <w:pPr>
              <w:jc w:val="center"/>
              <w:rPr>
                <w:szCs w:val="21"/>
              </w:rPr>
            </w:pPr>
            <w:r>
              <w:rPr>
                <w:rFonts w:hint="eastAsia"/>
                <w:szCs w:val="21"/>
              </w:rPr>
              <w:t>+</w:t>
            </w:r>
            <w:bookmarkStart w:id="147" w:name="OLE_LINK9"/>
            <w:r>
              <w:rPr>
                <w:rFonts w:hint="eastAsia"/>
                <w:szCs w:val="21"/>
              </w:rPr>
              <w:t>4.3396</w:t>
            </w:r>
            <w:bookmarkEnd w:id="147"/>
          </w:p>
        </w:tc>
      </w:tr>
      <w:tr w14:paraId="1866F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384E3166">
            <w:pPr>
              <w:pStyle w:val="40"/>
              <w:spacing w:beforeLines="0" w:afterLines="0" w:line="240" w:lineRule="auto"/>
              <w:rPr>
                <w:rFonts w:ascii="Times New Roman"/>
                <w:b/>
                <w:snapToGrid w:val="0"/>
                <w:kern w:val="21"/>
                <w:szCs w:val="21"/>
              </w:rPr>
            </w:pPr>
          </w:p>
        </w:tc>
        <w:tc>
          <w:tcPr>
            <w:tcW w:w="1559" w:type="dxa"/>
            <w:vAlign w:val="center"/>
          </w:tcPr>
          <w:p w14:paraId="1BD33EC7">
            <w:pPr>
              <w:adjustRightInd w:val="0"/>
              <w:snapToGrid w:val="0"/>
              <w:jc w:val="center"/>
              <w:rPr>
                <w:szCs w:val="21"/>
              </w:rPr>
            </w:pPr>
            <w:r>
              <w:rPr>
                <w:rFonts w:hint="eastAsia"/>
                <w:szCs w:val="21"/>
              </w:rPr>
              <w:t>SO</w:t>
            </w:r>
            <w:r>
              <w:rPr>
                <w:rFonts w:hint="eastAsia"/>
                <w:szCs w:val="21"/>
                <w:vertAlign w:val="subscript"/>
              </w:rPr>
              <w:t>2</w:t>
            </w:r>
          </w:p>
        </w:tc>
        <w:tc>
          <w:tcPr>
            <w:tcW w:w="1843" w:type="dxa"/>
            <w:vAlign w:val="center"/>
          </w:tcPr>
          <w:p w14:paraId="66ADD123">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647A40C6">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35618011">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62BAA153">
            <w:pPr>
              <w:jc w:val="center"/>
              <w:rPr>
                <w:szCs w:val="21"/>
              </w:rPr>
            </w:pPr>
            <w:r>
              <w:rPr>
                <w:rFonts w:hint="eastAsia"/>
                <w:szCs w:val="21"/>
              </w:rPr>
              <w:t>0.653</w:t>
            </w:r>
          </w:p>
        </w:tc>
        <w:tc>
          <w:tcPr>
            <w:tcW w:w="1418" w:type="dxa"/>
            <w:vAlign w:val="center"/>
          </w:tcPr>
          <w:p w14:paraId="3C772553">
            <w:pPr>
              <w:jc w:val="center"/>
              <w:rPr>
                <w:szCs w:val="21"/>
              </w:rPr>
            </w:pPr>
            <w:r>
              <w:rPr>
                <w:rFonts w:hint="eastAsia"/>
                <w:szCs w:val="21"/>
              </w:rPr>
              <w:t>0</w:t>
            </w:r>
          </w:p>
        </w:tc>
        <w:tc>
          <w:tcPr>
            <w:tcW w:w="1701" w:type="dxa"/>
            <w:vAlign w:val="center"/>
          </w:tcPr>
          <w:p w14:paraId="02D2800B">
            <w:pPr>
              <w:jc w:val="center"/>
              <w:rPr>
                <w:szCs w:val="21"/>
              </w:rPr>
            </w:pPr>
            <w:r>
              <w:rPr>
                <w:rFonts w:hint="eastAsia"/>
                <w:szCs w:val="21"/>
              </w:rPr>
              <w:t>0.653</w:t>
            </w:r>
          </w:p>
        </w:tc>
        <w:tc>
          <w:tcPr>
            <w:tcW w:w="1427" w:type="dxa"/>
            <w:vAlign w:val="center"/>
          </w:tcPr>
          <w:p w14:paraId="6C24936F">
            <w:pPr>
              <w:jc w:val="center"/>
              <w:rPr>
                <w:szCs w:val="21"/>
              </w:rPr>
            </w:pPr>
            <w:r>
              <w:rPr>
                <w:rFonts w:hint="eastAsia"/>
                <w:szCs w:val="21"/>
              </w:rPr>
              <w:t>+0.653</w:t>
            </w:r>
          </w:p>
        </w:tc>
      </w:tr>
      <w:tr w14:paraId="6FEE2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5CD606A">
            <w:pPr>
              <w:pStyle w:val="40"/>
              <w:spacing w:beforeLines="0" w:afterLines="0" w:line="240" w:lineRule="auto"/>
              <w:rPr>
                <w:rFonts w:ascii="Times New Roman"/>
                <w:b/>
                <w:snapToGrid w:val="0"/>
                <w:kern w:val="21"/>
                <w:szCs w:val="21"/>
              </w:rPr>
            </w:pPr>
          </w:p>
        </w:tc>
        <w:tc>
          <w:tcPr>
            <w:tcW w:w="1559" w:type="dxa"/>
            <w:vAlign w:val="center"/>
          </w:tcPr>
          <w:p w14:paraId="366D901D">
            <w:pPr>
              <w:adjustRightInd w:val="0"/>
              <w:snapToGrid w:val="0"/>
              <w:jc w:val="center"/>
              <w:rPr>
                <w:szCs w:val="21"/>
              </w:rPr>
            </w:pPr>
            <w:r>
              <w:rPr>
                <w:rFonts w:hint="eastAsia"/>
                <w:szCs w:val="21"/>
              </w:rPr>
              <w:t>NO</w:t>
            </w:r>
            <w:r>
              <w:rPr>
                <w:rFonts w:hint="eastAsia"/>
                <w:szCs w:val="21"/>
                <w:vertAlign w:val="subscript"/>
              </w:rPr>
              <w:t>X</w:t>
            </w:r>
          </w:p>
        </w:tc>
        <w:tc>
          <w:tcPr>
            <w:tcW w:w="1843" w:type="dxa"/>
            <w:vAlign w:val="center"/>
          </w:tcPr>
          <w:p w14:paraId="4B1AD805">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276" w:type="dxa"/>
            <w:vAlign w:val="center"/>
          </w:tcPr>
          <w:p w14:paraId="0CBDCEB3">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7E67F5EB">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70A04412">
            <w:pPr>
              <w:jc w:val="center"/>
              <w:rPr>
                <w:szCs w:val="21"/>
              </w:rPr>
            </w:pPr>
            <w:bookmarkStart w:id="148" w:name="OLE_LINK10"/>
            <w:r>
              <w:rPr>
                <w:rFonts w:hint="eastAsia"/>
                <w:szCs w:val="21"/>
              </w:rPr>
              <w:t>1.187</w:t>
            </w:r>
            <w:bookmarkEnd w:id="148"/>
          </w:p>
        </w:tc>
        <w:tc>
          <w:tcPr>
            <w:tcW w:w="1418" w:type="dxa"/>
            <w:vAlign w:val="center"/>
          </w:tcPr>
          <w:p w14:paraId="60E31D8E">
            <w:pPr>
              <w:jc w:val="center"/>
              <w:rPr>
                <w:szCs w:val="21"/>
              </w:rPr>
            </w:pPr>
            <w:r>
              <w:rPr>
                <w:rFonts w:hint="eastAsia"/>
                <w:szCs w:val="21"/>
              </w:rPr>
              <w:t>0</w:t>
            </w:r>
          </w:p>
        </w:tc>
        <w:tc>
          <w:tcPr>
            <w:tcW w:w="1701" w:type="dxa"/>
            <w:vAlign w:val="center"/>
          </w:tcPr>
          <w:p w14:paraId="4B56AA25">
            <w:pPr>
              <w:jc w:val="center"/>
              <w:rPr>
                <w:szCs w:val="21"/>
              </w:rPr>
            </w:pPr>
            <w:r>
              <w:rPr>
                <w:rFonts w:hint="eastAsia"/>
                <w:szCs w:val="21"/>
              </w:rPr>
              <w:t>1.187</w:t>
            </w:r>
          </w:p>
        </w:tc>
        <w:tc>
          <w:tcPr>
            <w:tcW w:w="1427" w:type="dxa"/>
            <w:vAlign w:val="center"/>
          </w:tcPr>
          <w:p w14:paraId="667CAB6F">
            <w:pPr>
              <w:jc w:val="center"/>
              <w:rPr>
                <w:szCs w:val="21"/>
              </w:rPr>
            </w:pPr>
            <w:r>
              <w:rPr>
                <w:rFonts w:hint="eastAsia"/>
                <w:szCs w:val="21"/>
              </w:rPr>
              <w:t>+1.187</w:t>
            </w:r>
          </w:p>
        </w:tc>
      </w:tr>
      <w:tr w14:paraId="6C7C6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00A5A2A4">
            <w:pPr>
              <w:pStyle w:val="40"/>
              <w:spacing w:beforeLines="0" w:afterLines="0" w:line="240" w:lineRule="auto"/>
              <w:rPr>
                <w:rFonts w:ascii="Times New Roman"/>
                <w:b/>
                <w:snapToGrid w:val="0"/>
                <w:kern w:val="21"/>
                <w:szCs w:val="21"/>
              </w:rPr>
            </w:pPr>
            <w:r>
              <w:rPr>
                <w:rFonts w:ascii="Times New Roman"/>
                <w:b/>
                <w:snapToGrid w:val="0"/>
                <w:kern w:val="21"/>
                <w:szCs w:val="21"/>
              </w:rPr>
              <w:t>废水</w:t>
            </w:r>
          </w:p>
        </w:tc>
        <w:tc>
          <w:tcPr>
            <w:tcW w:w="1559" w:type="dxa"/>
            <w:vAlign w:val="center"/>
          </w:tcPr>
          <w:p w14:paraId="34130ED7">
            <w:pPr>
              <w:adjustRightInd w:val="0"/>
              <w:snapToGrid w:val="0"/>
              <w:jc w:val="center"/>
              <w:rPr>
                <w:bCs/>
                <w:spacing w:val="-10"/>
                <w:szCs w:val="21"/>
              </w:rPr>
            </w:pPr>
            <w:r>
              <w:rPr>
                <w:bCs/>
                <w:spacing w:val="-10"/>
                <w:szCs w:val="21"/>
              </w:rPr>
              <w:t>排放量m</w:t>
            </w:r>
            <w:r>
              <w:rPr>
                <w:bCs/>
                <w:spacing w:val="-10"/>
                <w:szCs w:val="21"/>
                <w:vertAlign w:val="superscript"/>
              </w:rPr>
              <w:t>3</w:t>
            </w:r>
            <w:r>
              <w:rPr>
                <w:bCs/>
                <w:spacing w:val="-10"/>
                <w:szCs w:val="21"/>
              </w:rPr>
              <w:t>/a</w:t>
            </w:r>
          </w:p>
        </w:tc>
        <w:tc>
          <w:tcPr>
            <w:tcW w:w="1843" w:type="dxa"/>
            <w:vAlign w:val="center"/>
          </w:tcPr>
          <w:p w14:paraId="326B0E3F">
            <w:pPr>
              <w:pStyle w:val="40"/>
              <w:spacing w:beforeLines="0" w:afterLines="0" w:line="240" w:lineRule="auto"/>
              <w:rPr>
                <w:rFonts w:ascii="Times New Roman"/>
                <w:snapToGrid w:val="0"/>
                <w:kern w:val="21"/>
                <w:szCs w:val="21"/>
              </w:rPr>
            </w:pPr>
            <w:r>
              <w:rPr>
                <w:rFonts w:hint="eastAsia" w:ascii="Times New Roman"/>
                <w:snapToGrid w:val="0"/>
                <w:kern w:val="21"/>
                <w:szCs w:val="21"/>
              </w:rPr>
              <w:t>345.6</w:t>
            </w:r>
          </w:p>
        </w:tc>
        <w:tc>
          <w:tcPr>
            <w:tcW w:w="1276" w:type="dxa"/>
            <w:vAlign w:val="center"/>
          </w:tcPr>
          <w:p w14:paraId="33E9616C">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701" w:type="dxa"/>
            <w:vAlign w:val="center"/>
          </w:tcPr>
          <w:p w14:paraId="61DFD8AD">
            <w:pPr>
              <w:pStyle w:val="40"/>
              <w:spacing w:beforeLines="0" w:afterLines="0" w:line="240" w:lineRule="auto"/>
              <w:rPr>
                <w:rFonts w:ascii="Times New Roman"/>
                <w:snapToGrid w:val="0"/>
                <w:kern w:val="21"/>
                <w:szCs w:val="21"/>
              </w:rPr>
            </w:pPr>
            <w:r>
              <w:rPr>
                <w:rFonts w:ascii="Times New Roman"/>
                <w:snapToGrid w:val="0"/>
                <w:kern w:val="21"/>
                <w:szCs w:val="21"/>
              </w:rPr>
              <w:t>0</w:t>
            </w:r>
          </w:p>
        </w:tc>
        <w:tc>
          <w:tcPr>
            <w:tcW w:w="1559" w:type="dxa"/>
            <w:vAlign w:val="center"/>
          </w:tcPr>
          <w:p w14:paraId="7A5D028E">
            <w:pPr>
              <w:jc w:val="center"/>
              <w:rPr>
                <w:szCs w:val="21"/>
              </w:rPr>
            </w:pPr>
            <w:r>
              <w:rPr>
                <w:rFonts w:hint="eastAsia"/>
                <w:szCs w:val="21"/>
              </w:rPr>
              <w:t>432</w:t>
            </w:r>
          </w:p>
        </w:tc>
        <w:tc>
          <w:tcPr>
            <w:tcW w:w="1418" w:type="dxa"/>
            <w:vAlign w:val="center"/>
          </w:tcPr>
          <w:p w14:paraId="37A3A914">
            <w:pPr>
              <w:jc w:val="center"/>
              <w:rPr>
                <w:szCs w:val="21"/>
              </w:rPr>
            </w:pPr>
            <w:r>
              <w:rPr>
                <w:szCs w:val="21"/>
              </w:rPr>
              <w:t>0</w:t>
            </w:r>
          </w:p>
        </w:tc>
        <w:tc>
          <w:tcPr>
            <w:tcW w:w="1701" w:type="dxa"/>
            <w:vAlign w:val="center"/>
          </w:tcPr>
          <w:p w14:paraId="7D6FB045">
            <w:pPr>
              <w:jc w:val="center"/>
              <w:rPr>
                <w:szCs w:val="21"/>
              </w:rPr>
            </w:pPr>
            <w:r>
              <w:rPr>
                <w:rFonts w:hint="eastAsia"/>
                <w:szCs w:val="21"/>
              </w:rPr>
              <w:t>432</w:t>
            </w:r>
          </w:p>
        </w:tc>
        <w:tc>
          <w:tcPr>
            <w:tcW w:w="1427" w:type="dxa"/>
            <w:vAlign w:val="center"/>
          </w:tcPr>
          <w:p w14:paraId="640FCBCE">
            <w:pPr>
              <w:jc w:val="center"/>
              <w:rPr>
                <w:caps/>
                <w:szCs w:val="21"/>
              </w:rPr>
            </w:pPr>
            <w:r>
              <w:rPr>
                <w:rFonts w:hint="eastAsia"/>
                <w:caps/>
                <w:szCs w:val="21"/>
              </w:rPr>
              <w:t>+86.4</w:t>
            </w:r>
          </w:p>
        </w:tc>
      </w:tr>
      <w:tr w14:paraId="260E00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36A35BC4">
            <w:pPr>
              <w:pStyle w:val="40"/>
              <w:spacing w:beforeLines="0" w:afterLines="0" w:line="240" w:lineRule="auto"/>
              <w:rPr>
                <w:rFonts w:ascii="Times New Roman"/>
                <w:b/>
                <w:snapToGrid w:val="0"/>
                <w:kern w:val="21"/>
                <w:szCs w:val="21"/>
              </w:rPr>
            </w:pPr>
          </w:p>
        </w:tc>
        <w:tc>
          <w:tcPr>
            <w:tcW w:w="1559" w:type="dxa"/>
            <w:vAlign w:val="center"/>
          </w:tcPr>
          <w:p w14:paraId="575BD5EF">
            <w:pPr>
              <w:adjustRightInd w:val="0"/>
              <w:snapToGrid w:val="0"/>
              <w:jc w:val="center"/>
              <w:rPr>
                <w:bCs/>
                <w:spacing w:val="-10"/>
                <w:szCs w:val="21"/>
              </w:rPr>
            </w:pPr>
            <w:r>
              <w:rPr>
                <w:rFonts w:hint="eastAsia"/>
                <w:bCs/>
                <w:spacing w:val="-10"/>
                <w:szCs w:val="21"/>
              </w:rPr>
              <w:t>COD</w:t>
            </w:r>
          </w:p>
        </w:tc>
        <w:tc>
          <w:tcPr>
            <w:tcW w:w="1843" w:type="dxa"/>
            <w:vAlign w:val="center"/>
          </w:tcPr>
          <w:p w14:paraId="7F1B254E">
            <w:pPr>
              <w:pStyle w:val="40"/>
              <w:spacing w:beforeLines="0" w:afterLines="0" w:line="240" w:lineRule="auto"/>
              <w:rPr>
                <w:rFonts w:ascii="Times New Roman"/>
                <w:snapToGrid w:val="0"/>
                <w:kern w:val="21"/>
                <w:szCs w:val="21"/>
              </w:rPr>
            </w:pPr>
            <w:r>
              <w:rPr>
                <w:rFonts w:hint="eastAsia" w:ascii="Times New Roman"/>
                <w:snapToGrid w:val="0"/>
                <w:kern w:val="21"/>
                <w:szCs w:val="21"/>
              </w:rPr>
              <w:t>0.021</w:t>
            </w:r>
          </w:p>
        </w:tc>
        <w:tc>
          <w:tcPr>
            <w:tcW w:w="1276" w:type="dxa"/>
            <w:vAlign w:val="center"/>
          </w:tcPr>
          <w:p w14:paraId="640309F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FDC8FF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2D5979A">
            <w:pPr>
              <w:jc w:val="center"/>
              <w:rPr>
                <w:szCs w:val="21"/>
              </w:rPr>
            </w:pPr>
            <w:r>
              <w:rPr>
                <w:rFonts w:hint="eastAsia"/>
                <w:szCs w:val="21"/>
              </w:rPr>
              <w:t>0.026</w:t>
            </w:r>
          </w:p>
        </w:tc>
        <w:tc>
          <w:tcPr>
            <w:tcW w:w="1418" w:type="dxa"/>
            <w:vAlign w:val="center"/>
          </w:tcPr>
          <w:p w14:paraId="41476AF9">
            <w:pPr>
              <w:jc w:val="center"/>
              <w:rPr>
                <w:szCs w:val="21"/>
              </w:rPr>
            </w:pPr>
            <w:r>
              <w:rPr>
                <w:rFonts w:hint="eastAsia"/>
                <w:szCs w:val="21"/>
              </w:rPr>
              <w:t>0</w:t>
            </w:r>
          </w:p>
        </w:tc>
        <w:tc>
          <w:tcPr>
            <w:tcW w:w="1701" w:type="dxa"/>
            <w:vAlign w:val="center"/>
          </w:tcPr>
          <w:p w14:paraId="47B674A5">
            <w:pPr>
              <w:jc w:val="center"/>
              <w:rPr>
                <w:szCs w:val="21"/>
              </w:rPr>
            </w:pPr>
            <w:r>
              <w:rPr>
                <w:rFonts w:hint="eastAsia"/>
                <w:szCs w:val="21"/>
              </w:rPr>
              <w:t>0.026</w:t>
            </w:r>
          </w:p>
        </w:tc>
        <w:tc>
          <w:tcPr>
            <w:tcW w:w="1427" w:type="dxa"/>
            <w:vAlign w:val="center"/>
          </w:tcPr>
          <w:p w14:paraId="69D3D6D8">
            <w:pPr>
              <w:jc w:val="center"/>
              <w:rPr>
                <w:caps/>
                <w:szCs w:val="21"/>
              </w:rPr>
            </w:pPr>
            <w:r>
              <w:rPr>
                <w:rFonts w:hint="eastAsia"/>
                <w:caps/>
                <w:szCs w:val="21"/>
              </w:rPr>
              <w:t>+0.005</w:t>
            </w:r>
          </w:p>
        </w:tc>
      </w:tr>
      <w:tr w14:paraId="04654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60D8033B">
            <w:pPr>
              <w:pStyle w:val="40"/>
              <w:spacing w:beforeLines="0" w:afterLines="0" w:line="240" w:lineRule="auto"/>
              <w:rPr>
                <w:rFonts w:ascii="Times New Roman"/>
                <w:b/>
                <w:snapToGrid w:val="0"/>
                <w:kern w:val="21"/>
                <w:szCs w:val="21"/>
              </w:rPr>
            </w:pPr>
          </w:p>
        </w:tc>
        <w:tc>
          <w:tcPr>
            <w:tcW w:w="1559" w:type="dxa"/>
            <w:vAlign w:val="center"/>
          </w:tcPr>
          <w:p w14:paraId="4BBDE529">
            <w:pPr>
              <w:adjustRightInd w:val="0"/>
              <w:snapToGrid w:val="0"/>
              <w:jc w:val="center"/>
              <w:rPr>
                <w:bCs/>
                <w:spacing w:val="-10"/>
                <w:szCs w:val="21"/>
              </w:rPr>
            </w:pPr>
            <w:r>
              <w:rPr>
                <w:bCs/>
                <w:spacing w:val="-10"/>
                <w:szCs w:val="21"/>
              </w:rPr>
              <w:t>氨氮</w:t>
            </w:r>
          </w:p>
        </w:tc>
        <w:tc>
          <w:tcPr>
            <w:tcW w:w="1843" w:type="dxa"/>
            <w:vAlign w:val="center"/>
          </w:tcPr>
          <w:p w14:paraId="1260884C">
            <w:pPr>
              <w:pStyle w:val="40"/>
              <w:spacing w:beforeLines="0" w:afterLines="0" w:line="240" w:lineRule="auto"/>
              <w:rPr>
                <w:rFonts w:ascii="Times New Roman"/>
                <w:snapToGrid w:val="0"/>
                <w:kern w:val="21"/>
                <w:szCs w:val="21"/>
              </w:rPr>
            </w:pPr>
            <w:r>
              <w:rPr>
                <w:rFonts w:hint="eastAsia" w:ascii="Times New Roman"/>
                <w:snapToGrid w:val="0"/>
                <w:kern w:val="21"/>
                <w:szCs w:val="21"/>
              </w:rPr>
              <w:t>0.0028</w:t>
            </w:r>
          </w:p>
        </w:tc>
        <w:tc>
          <w:tcPr>
            <w:tcW w:w="1276" w:type="dxa"/>
            <w:vAlign w:val="center"/>
          </w:tcPr>
          <w:p w14:paraId="6D298BA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8E86CC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7C2AF2A">
            <w:pPr>
              <w:jc w:val="center"/>
              <w:rPr>
                <w:szCs w:val="21"/>
              </w:rPr>
            </w:pPr>
            <w:r>
              <w:rPr>
                <w:rFonts w:hint="eastAsia"/>
                <w:szCs w:val="21"/>
              </w:rPr>
              <w:t>0.003</w:t>
            </w:r>
          </w:p>
        </w:tc>
        <w:tc>
          <w:tcPr>
            <w:tcW w:w="1418" w:type="dxa"/>
            <w:vAlign w:val="center"/>
          </w:tcPr>
          <w:p w14:paraId="4143793D">
            <w:pPr>
              <w:jc w:val="center"/>
              <w:rPr>
                <w:szCs w:val="21"/>
              </w:rPr>
            </w:pPr>
            <w:r>
              <w:rPr>
                <w:rFonts w:hint="eastAsia"/>
                <w:szCs w:val="21"/>
              </w:rPr>
              <w:t>0</w:t>
            </w:r>
          </w:p>
        </w:tc>
        <w:tc>
          <w:tcPr>
            <w:tcW w:w="1701" w:type="dxa"/>
            <w:vAlign w:val="center"/>
          </w:tcPr>
          <w:p w14:paraId="5727AC86">
            <w:pPr>
              <w:jc w:val="center"/>
              <w:rPr>
                <w:szCs w:val="21"/>
              </w:rPr>
            </w:pPr>
            <w:r>
              <w:rPr>
                <w:rFonts w:hint="eastAsia"/>
                <w:szCs w:val="21"/>
              </w:rPr>
              <w:t>0.003</w:t>
            </w:r>
          </w:p>
        </w:tc>
        <w:tc>
          <w:tcPr>
            <w:tcW w:w="1427" w:type="dxa"/>
            <w:vAlign w:val="center"/>
          </w:tcPr>
          <w:p w14:paraId="410C079D">
            <w:pPr>
              <w:jc w:val="center"/>
              <w:rPr>
                <w:caps/>
                <w:szCs w:val="21"/>
              </w:rPr>
            </w:pPr>
            <w:r>
              <w:rPr>
                <w:rFonts w:hint="eastAsia"/>
                <w:caps/>
                <w:szCs w:val="21"/>
              </w:rPr>
              <w:t>+0.0002</w:t>
            </w:r>
          </w:p>
        </w:tc>
      </w:tr>
      <w:tr w14:paraId="2FD58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restart"/>
            <w:vAlign w:val="center"/>
          </w:tcPr>
          <w:p w14:paraId="51BEB53B">
            <w:pPr>
              <w:pStyle w:val="40"/>
              <w:spacing w:beforeLines="0" w:afterLines="0" w:line="240" w:lineRule="auto"/>
              <w:rPr>
                <w:rFonts w:ascii="Times New Roman"/>
                <w:b/>
                <w:snapToGrid w:val="0"/>
                <w:kern w:val="21"/>
                <w:szCs w:val="21"/>
              </w:rPr>
            </w:pPr>
            <w:r>
              <w:rPr>
                <w:rFonts w:ascii="Times New Roman"/>
                <w:b/>
                <w:snapToGrid w:val="0"/>
                <w:kern w:val="21"/>
                <w:szCs w:val="21"/>
              </w:rPr>
              <w:t>一般工业</w:t>
            </w:r>
          </w:p>
          <w:p w14:paraId="172ADDDA">
            <w:pPr>
              <w:pStyle w:val="40"/>
              <w:spacing w:beforeLines="0" w:afterLines="0" w:line="240" w:lineRule="auto"/>
              <w:rPr>
                <w:rFonts w:ascii="Times New Roman"/>
                <w:b/>
                <w:snapToGrid w:val="0"/>
                <w:kern w:val="21"/>
                <w:szCs w:val="21"/>
              </w:rPr>
            </w:pPr>
            <w:r>
              <w:rPr>
                <w:rFonts w:ascii="Times New Roman"/>
                <w:b/>
                <w:snapToGrid w:val="0"/>
                <w:kern w:val="21"/>
                <w:szCs w:val="21"/>
              </w:rPr>
              <w:t>固体废物</w:t>
            </w:r>
          </w:p>
        </w:tc>
        <w:tc>
          <w:tcPr>
            <w:tcW w:w="1559" w:type="dxa"/>
            <w:vAlign w:val="center"/>
          </w:tcPr>
          <w:p w14:paraId="26AFB237">
            <w:pPr>
              <w:jc w:val="center"/>
              <w:rPr>
                <w:szCs w:val="21"/>
              </w:rPr>
            </w:pPr>
            <w:r>
              <w:rPr>
                <w:szCs w:val="21"/>
              </w:rPr>
              <w:t>除尘器收集尘</w:t>
            </w:r>
          </w:p>
        </w:tc>
        <w:tc>
          <w:tcPr>
            <w:tcW w:w="1843" w:type="dxa"/>
            <w:vAlign w:val="center"/>
          </w:tcPr>
          <w:p w14:paraId="0A6355D6">
            <w:pPr>
              <w:pStyle w:val="40"/>
              <w:spacing w:beforeLines="0" w:afterLines="0" w:line="240" w:lineRule="auto"/>
              <w:rPr>
                <w:rFonts w:ascii="Times New Roman"/>
                <w:snapToGrid w:val="0"/>
                <w:kern w:val="21"/>
                <w:szCs w:val="21"/>
              </w:rPr>
            </w:pPr>
            <w:r>
              <w:rPr>
                <w:rFonts w:hint="eastAsia" w:ascii="Times New Roman"/>
                <w:snapToGrid w:val="0"/>
                <w:kern w:val="21"/>
                <w:szCs w:val="21"/>
              </w:rPr>
              <w:t>1.458</w:t>
            </w:r>
          </w:p>
        </w:tc>
        <w:tc>
          <w:tcPr>
            <w:tcW w:w="1276" w:type="dxa"/>
            <w:vAlign w:val="center"/>
          </w:tcPr>
          <w:p w14:paraId="2B4143E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F4C9117">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461D490">
            <w:pPr>
              <w:jc w:val="center"/>
              <w:rPr>
                <w:szCs w:val="21"/>
              </w:rPr>
            </w:pPr>
            <w:r>
              <w:rPr>
                <w:rFonts w:hint="eastAsia"/>
                <w:szCs w:val="21"/>
              </w:rPr>
              <w:t>27.52</w:t>
            </w:r>
          </w:p>
        </w:tc>
        <w:tc>
          <w:tcPr>
            <w:tcW w:w="1418" w:type="dxa"/>
            <w:vAlign w:val="center"/>
          </w:tcPr>
          <w:p w14:paraId="0AC12F4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269BC34">
            <w:pPr>
              <w:jc w:val="center"/>
              <w:rPr>
                <w:szCs w:val="21"/>
              </w:rPr>
            </w:pPr>
            <w:r>
              <w:rPr>
                <w:rFonts w:hint="eastAsia"/>
                <w:szCs w:val="21"/>
              </w:rPr>
              <w:t>27.52</w:t>
            </w:r>
          </w:p>
        </w:tc>
        <w:tc>
          <w:tcPr>
            <w:tcW w:w="1427" w:type="dxa"/>
            <w:vAlign w:val="center"/>
          </w:tcPr>
          <w:p w14:paraId="23F29E27">
            <w:pPr>
              <w:jc w:val="center"/>
              <w:rPr>
                <w:szCs w:val="21"/>
              </w:rPr>
            </w:pPr>
            <w:r>
              <w:rPr>
                <w:rFonts w:hint="eastAsia"/>
                <w:szCs w:val="21"/>
              </w:rPr>
              <w:t>+26.062</w:t>
            </w:r>
          </w:p>
        </w:tc>
      </w:tr>
      <w:tr w14:paraId="3465FC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2382879A">
            <w:pPr>
              <w:pStyle w:val="40"/>
              <w:spacing w:beforeLines="0" w:afterLines="0" w:line="240" w:lineRule="auto"/>
              <w:rPr>
                <w:rFonts w:ascii="Times New Roman"/>
                <w:b/>
                <w:snapToGrid w:val="0"/>
                <w:kern w:val="21"/>
                <w:szCs w:val="21"/>
              </w:rPr>
            </w:pPr>
          </w:p>
        </w:tc>
        <w:tc>
          <w:tcPr>
            <w:tcW w:w="1559" w:type="dxa"/>
            <w:vAlign w:val="center"/>
          </w:tcPr>
          <w:p w14:paraId="419D9FF3">
            <w:pPr>
              <w:jc w:val="center"/>
              <w:rPr>
                <w:szCs w:val="21"/>
              </w:rPr>
            </w:pPr>
            <w:r>
              <w:rPr>
                <w:rFonts w:hint="eastAsia"/>
                <w:szCs w:val="21"/>
              </w:rPr>
              <w:t>沉降尘</w:t>
            </w:r>
          </w:p>
        </w:tc>
        <w:tc>
          <w:tcPr>
            <w:tcW w:w="1843" w:type="dxa"/>
            <w:vAlign w:val="center"/>
          </w:tcPr>
          <w:p w14:paraId="4F465A9C">
            <w:pPr>
              <w:pStyle w:val="40"/>
              <w:spacing w:beforeLines="0" w:afterLines="0" w:line="240" w:lineRule="auto"/>
              <w:rPr>
                <w:rFonts w:ascii="Times New Roman"/>
                <w:snapToGrid w:val="0"/>
                <w:kern w:val="21"/>
                <w:szCs w:val="21"/>
              </w:rPr>
            </w:pPr>
            <w:r>
              <w:rPr>
                <w:rFonts w:hint="eastAsia" w:ascii="Times New Roman"/>
                <w:snapToGrid w:val="0"/>
                <w:kern w:val="21"/>
                <w:szCs w:val="21"/>
              </w:rPr>
              <w:t>4.6</w:t>
            </w:r>
          </w:p>
        </w:tc>
        <w:tc>
          <w:tcPr>
            <w:tcW w:w="1276" w:type="dxa"/>
            <w:vAlign w:val="center"/>
          </w:tcPr>
          <w:p w14:paraId="27A305E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552BEEC">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16C87648">
            <w:pPr>
              <w:jc w:val="center"/>
              <w:rPr>
                <w:szCs w:val="21"/>
              </w:rPr>
            </w:pPr>
            <w:r>
              <w:rPr>
                <w:rFonts w:hint="eastAsia"/>
                <w:szCs w:val="21"/>
              </w:rPr>
              <w:t>25.61</w:t>
            </w:r>
          </w:p>
        </w:tc>
        <w:tc>
          <w:tcPr>
            <w:tcW w:w="1418" w:type="dxa"/>
            <w:vAlign w:val="center"/>
          </w:tcPr>
          <w:p w14:paraId="78970E7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B7479BF">
            <w:pPr>
              <w:jc w:val="center"/>
              <w:rPr>
                <w:szCs w:val="21"/>
              </w:rPr>
            </w:pPr>
            <w:r>
              <w:rPr>
                <w:rFonts w:hint="eastAsia"/>
                <w:szCs w:val="21"/>
              </w:rPr>
              <w:t>21.01</w:t>
            </w:r>
          </w:p>
        </w:tc>
        <w:tc>
          <w:tcPr>
            <w:tcW w:w="1427" w:type="dxa"/>
            <w:vAlign w:val="center"/>
          </w:tcPr>
          <w:p w14:paraId="1CFF89C5">
            <w:pPr>
              <w:jc w:val="center"/>
              <w:rPr>
                <w:szCs w:val="21"/>
              </w:rPr>
            </w:pPr>
            <w:r>
              <w:rPr>
                <w:rFonts w:hint="eastAsia"/>
                <w:szCs w:val="21"/>
              </w:rPr>
              <w:t>+21.01</w:t>
            </w:r>
          </w:p>
        </w:tc>
      </w:tr>
      <w:tr w14:paraId="75CD3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01B8EF2C">
            <w:pPr>
              <w:pStyle w:val="40"/>
              <w:spacing w:beforeLines="0" w:afterLines="0" w:line="240" w:lineRule="auto"/>
              <w:rPr>
                <w:rFonts w:ascii="Times New Roman"/>
                <w:b/>
                <w:snapToGrid w:val="0"/>
                <w:kern w:val="21"/>
                <w:szCs w:val="21"/>
              </w:rPr>
            </w:pPr>
          </w:p>
        </w:tc>
        <w:tc>
          <w:tcPr>
            <w:tcW w:w="1559" w:type="dxa"/>
            <w:vAlign w:val="center"/>
          </w:tcPr>
          <w:p w14:paraId="49F31262">
            <w:pPr>
              <w:jc w:val="center"/>
              <w:rPr>
                <w:szCs w:val="21"/>
              </w:rPr>
            </w:pPr>
            <w:r>
              <w:rPr>
                <w:rFonts w:hint="eastAsia"/>
                <w:szCs w:val="21"/>
              </w:rPr>
              <w:t>清筛杂质</w:t>
            </w:r>
          </w:p>
        </w:tc>
        <w:tc>
          <w:tcPr>
            <w:tcW w:w="1843" w:type="dxa"/>
            <w:vAlign w:val="center"/>
          </w:tcPr>
          <w:p w14:paraId="110E7A33">
            <w:pPr>
              <w:pStyle w:val="40"/>
              <w:spacing w:beforeLines="0" w:afterLines="0" w:line="240" w:lineRule="auto"/>
              <w:rPr>
                <w:rFonts w:ascii="Times New Roman"/>
                <w:snapToGrid w:val="0"/>
                <w:kern w:val="21"/>
                <w:szCs w:val="21"/>
              </w:rPr>
            </w:pPr>
            <w:r>
              <w:rPr>
                <w:rFonts w:hint="eastAsia" w:ascii="Times New Roman"/>
                <w:snapToGrid w:val="0"/>
                <w:kern w:val="21"/>
                <w:szCs w:val="21"/>
              </w:rPr>
              <w:t>165</w:t>
            </w:r>
          </w:p>
        </w:tc>
        <w:tc>
          <w:tcPr>
            <w:tcW w:w="1276" w:type="dxa"/>
            <w:vAlign w:val="center"/>
          </w:tcPr>
          <w:p w14:paraId="15DBDA8D">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47C35D62">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0933E811">
            <w:pPr>
              <w:jc w:val="center"/>
              <w:rPr>
                <w:szCs w:val="21"/>
              </w:rPr>
            </w:pPr>
            <w:r>
              <w:rPr>
                <w:rFonts w:hint="eastAsia"/>
                <w:szCs w:val="21"/>
              </w:rPr>
              <w:t>918</w:t>
            </w:r>
          </w:p>
        </w:tc>
        <w:tc>
          <w:tcPr>
            <w:tcW w:w="1418" w:type="dxa"/>
            <w:vAlign w:val="center"/>
          </w:tcPr>
          <w:p w14:paraId="5550038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7D8A644C">
            <w:pPr>
              <w:jc w:val="center"/>
              <w:rPr>
                <w:szCs w:val="21"/>
              </w:rPr>
            </w:pPr>
            <w:r>
              <w:rPr>
                <w:rFonts w:hint="eastAsia"/>
                <w:szCs w:val="21"/>
              </w:rPr>
              <w:t>918</w:t>
            </w:r>
          </w:p>
        </w:tc>
        <w:tc>
          <w:tcPr>
            <w:tcW w:w="1427" w:type="dxa"/>
            <w:vAlign w:val="center"/>
          </w:tcPr>
          <w:p w14:paraId="70C53322">
            <w:pPr>
              <w:jc w:val="center"/>
              <w:rPr>
                <w:szCs w:val="21"/>
              </w:rPr>
            </w:pPr>
            <w:r>
              <w:rPr>
                <w:rFonts w:hint="eastAsia"/>
                <w:szCs w:val="21"/>
              </w:rPr>
              <w:t>+753</w:t>
            </w:r>
          </w:p>
        </w:tc>
      </w:tr>
      <w:tr w14:paraId="07A01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31F958A4">
            <w:pPr>
              <w:pStyle w:val="40"/>
              <w:spacing w:beforeLines="0" w:afterLines="0" w:line="240" w:lineRule="auto"/>
              <w:rPr>
                <w:rFonts w:ascii="Times New Roman"/>
                <w:b/>
                <w:snapToGrid w:val="0"/>
                <w:kern w:val="21"/>
                <w:szCs w:val="21"/>
              </w:rPr>
            </w:pPr>
          </w:p>
        </w:tc>
        <w:tc>
          <w:tcPr>
            <w:tcW w:w="1559" w:type="dxa"/>
            <w:vAlign w:val="center"/>
          </w:tcPr>
          <w:p w14:paraId="3DF0777B">
            <w:pPr>
              <w:jc w:val="center"/>
              <w:rPr>
                <w:szCs w:val="21"/>
              </w:rPr>
            </w:pPr>
            <w:r>
              <w:rPr>
                <w:szCs w:val="21"/>
              </w:rPr>
              <w:t>炉渣</w:t>
            </w:r>
          </w:p>
        </w:tc>
        <w:tc>
          <w:tcPr>
            <w:tcW w:w="1843" w:type="dxa"/>
            <w:vAlign w:val="center"/>
          </w:tcPr>
          <w:p w14:paraId="707AAF0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276" w:type="dxa"/>
            <w:vAlign w:val="center"/>
          </w:tcPr>
          <w:p w14:paraId="47BEDFA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C1C45B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6AF017FA">
            <w:pPr>
              <w:jc w:val="center"/>
              <w:rPr>
                <w:szCs w:val="21"/>
              </w:rPr>
            </w:pPr>
            <w:r>
              <w:rPr>
                <w:rFonts w:hint="eastAsia"/>
                <w:szCs w:val="21"/>
              </w:rPr>
              <w:t>58.16</w:t>
            </w:r>
          </w:p>
        </w:tc>
        <w:tc>
          <w:tcPr>
            <w:tcW w:w="1418" w:type="dxa"/>
            <w:vAlign w:val="center"/>
          </w:tcPr>
          <w:p w14:paraId="076A7EB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D9BBE5A">
            <w:pPr>
              <w:jc w:val="center"/>
              <w:rPr>
                <w:szCs w:val="21"/>
              </w:rPr>
            </w:pPr>
            <w:r>
              <w:rPr>
                <w:rFonts w:hint="eastAsia"/>
                <w:szCs w:val="21"/>
              </w:rPr>
              <w:t>58.16</w:t>
            </w:r>
          </w:p>
        </w:tc>
        <w:tc>
          <w:tcPr>
            <w:tcW w:w="1427" w:type="dxa"/>
            <w:vAlign w:val="center"/>
          </w:tcPr>
          <w:p w14:paraId="0D6FCC5B">
            <w:pPr>
              <w:jc w:val="center"/>
              <w:rPr>
                <w:szCs w:val="21"/>
              </w:rPr>
            </w:pPr>
            <w:r>
              <w:rPr>
                <w:rFonts w:hint="eastAsia"/>
                <w:szCs w:val="21"/>
              </w:rPr>
              <w:t>+58.16</w:t>
            </w:r>
          </w:p>
        </w:tc>
      </w:tr>
      <w:tr w14:paraId="2EDD7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75F1154D">
            <w:pPr>
              <w:pStyle w:val="40"/>
              <w:spacing w:beforeLines="0" w:afterLines="0" w:line="240" w:lineRule="auto"/>
              <w:rPr>
                <w:rFonts w:ascii="Times New Roman"/>
                <w:b/>
                <w:snapToGrid w:val="0"/>
                <w:kern w:val="21"/>
                <w:szCs w:val="21"/>
              </w:rPr>
            </w:pPr>
          </w:p>
        </w:tc>
        <w:tc>
          <w:tcPr>
            <w:tcW w:w="1559" w:type="dxa"/>
            <w:vAlign w:val="center"/>
          </w:tcPr>
          <w:p w14:paraId="48B0A51D">
            <w:pPr>
              <w:jc w:val="center"/>
              <w:rPr>
                <w:szCs w:val="21"/>
              </w:rPr>
            </w:pPr>
            <w:r>
              <w:rPr>
                <w:szCs w:val="21"/>
              </w:rPr>
              <w:t>废布袋</w:t>
            </w:r>
          </w:p>
        </w:tc>
        <w:tc>
          <w:tcPr>
            <w:tcW w:w="1843" w:type="dxa"/>
            <w:vAlign w:val="center"/>
          </w:tcPr>
          <w:p w14:paraId="7DF7047D">
            <w:pPr>
              <w:pStyle w:val="40"/>
              <w:spacing w:beforeLines="0" w:afterLines="0" w:line="240" w:lineRule="auto"/>
              <w:rPr>
                <w:rFonts w:ascii="Times New Roman"/>
                <w:snapToGrid w:val="0"/>
                <w:kern w:val="21"/>
                <w:szCs w:val="21"/>
              </w:rPr>
            </w:pPr>
            <w:r>
              <w:rPr>
                <w:rFonts w:hint="eastAsia" w:ascii="Times New Roman"/>
                <w:snapToGrid w:val="0"/>
                <w:kern w:val="21"/>
                <w:szCs w:val="21"/>
              </w:rPr>
              <w:t>0.05</w:t>
            </w:r>
          </w:p>
        </w:tc>
        <w:tc>
          <w:tcPr>
            <w:tcW w:w="1276" w:type="dxa"/>
            <w:vAlign w:val="center"/>
          </w:tcPr>
          <w:p w14:paraId="287A6C4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D6B80D1">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969E77A">
            <w:pPr>
              <w:jc w:val="center"/>
              <w:rPr>
                <w:szCs w:val="21"/>
              </w:rPr>
            </w:pPr>
            <w:r>
              <w:rPr>
                <w:rFonts w:hint="eastAsia"/>
                <w:szCs w:val="21"/>
              </w:rPr>
              <w:t>0.2</w:t>
            </w:r>
          </w:p>
        </w:tc>
        <w:tc>
          <w:tcPr>
            <w:tcW w:w="1418" w:type="dxa"/>
            <w:vAlign w:val="center"/>
          </w:tcPr>
          <w:p w14:paraId="1387BD0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2C14A9D">
            <w:pPr>
              <w:jc w:val="center"/>
              <w:rPr>
                <w:szCs w:val="21"/>
              </w:rPr>
            </w:pPr>
            <w:r>
              <w:rPr>
                <w:rFonts w:hint="eastAsia"/>
                <w:szCs w:val="21"/>
              </w:rPr>
              <w:t>0.2</w:t>
            </w:r>
          </w:p>
        </w:tc>
        <w:tc>
          <w:tcPr>
            <w:tcW w:w="1427" w:type="dxa"/>
            <w:vAlign w:val="center"/>
          </w:tcPr>
          <w:p w14:paraId="0A592803">
            <w:pPr>
              <w:jc w:val="center"/>
              <w:rPr>
                <w:szCs w:val="21"/>
              </w:rPr>
            </w:pPr>
            <w:r>
              <w:rPr>
                <w:rFonts w:hint="eastAsia"/>
                <w:szCs w:val="21"/>
              </w:rPr>
              <w:t>+0.15</w:t>
            </w:r>
          </w:p>
        </w:tc>
      </w:tr>
      <w:tr w14:paraId="40B53A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AFDCFCD">
            <w:pPr>
              <w:pStyle w:val="40"/>
              <w:spacing w:beforeLines="0" w:afterLines="0" w:line="240" w:lineRule="auto"/>
              <w:rPr>
                <w:rFonts w:ascii="Times New Roman"/>
                <w:b/>
                <w:snapToGrid w:val="0"/>
                <w:kern w:val="21"/>
                <w:szCs w:val="21"/>
              </w:rPr>
            </w:pPr>
          </w:p>
        </w:tc>
        <w:tc>
          <w:tcPr>
            <w:tcW w:w="1559" w:type="dxa"/>
            <w:vAlign w:val="center"/>
          </w:tcPr>
          <w:p w14:paraId="2B4A1626">
            <w:pPr>
              <w:jc w:val="center"/>
              <w:rPr>
                <w:kern w:val="0"/>
                <w:szCs w:val="21"/>
              </w:rPr>
            </w:pPr>
            <w:r>
              <w:rPr>
                <w:rFonts w:hint="eastAsia"/>
                <w:kern w:val="0"/>
                <w:szCs w:val="21"/>
              </w:rPr>
              <w:t>废试剂瓶等实验用品</w:t>
            </w:r>
          </w:p>
        </w:tc>
        <w:tc>
          <w:tcPr>
            <w:tcW w:w="1843" w:type="dxa"/>
            <w:vAlign w:val="center"/>
          </w:tcPr>
          <w:p w14:paraId="018F9FBA">
            <w:pPr>
              <w:pStyle w:val="40"/>
              <w:spacing w:beforeLines="0" w:afterLines="0" w:line="240" w:lineRule="auto"/>
              <w:rPr>
                <w:rFonts w:ascii="Times New Roman"/>
                <w:snapToGrid w:val="0"/>
                <w:kern w:val="21"/>
                <w:szCs w:val="21"/>
              </w:rPr>
            </w:pPr>
            <w:r>
              <w:rPr>
                <w:rFonts w:hint="eastAsia" w:ascii="Times New Roman"/>
                <w:snapToGrid w:val="0"/>
                <w:kern w:val="21"/>
                <w:szCs w:val="21"/>
              </w:rPr>
              <w:t>0.001</w:t>
            </w:r>
          </w:p>
        </w:tc>
        <w:tc>
          <w:tcPr>
            <w:tcW w:w="1276" w:type="dxa"/>
            <w:vAlign w:val="center"/>
          </w:tcPr>
          <w:p w14:paraId="3074050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D905D70">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03E2D2A9">
            <w:pPr>
              <w:jc w:val="center"/>
              <w:rPr>
                <w:szCs w:val="21"/>
              </w:rPr>
            </w:pPr>
            <w:r>
              <w:rPr>
                <w:rFonts w:hint="eastAsia"/>
                <w:szCs w:val="21"/>
              </w:rPr>
              <w:t>0.002</w:t>
            </w:r>
          </w:p>
        </w:tc>
        <w:tc>
          <w:tcPr>
            <w:tcW w:w="1418" w:type="dxa"/>
            <w:vAlign w:val="center"/>
          </w:tcPr>
          <w:p w14:paraId="0C8BFAE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2906E0A">
            <w:pPr>
              <w:jc w:val="center"/>
              <w:rPr>
                <w:szCs w:val="21"/>
              </w:rPr>
            </w:pPr>
            <w:r>
              <w:rPr>
                <w:rFonts w:hint="eastAsia"/>
                <w:szCs w:val="21"/>
              </w:rPr>
              <w:t>0.002</w:t>
            </w:r>
          </w:p>
        </w:tc>
        <w:tc>
          <w:tcPr>
            <w:tcW w:w="1427" w:type="dxa"/>
            <w:vAlign w:val="center"/>
          </w:tcPr>
          <w:p w14:paraId="1453D192">
            <w:pPr>
              <w:jc w:val="center"/>
              <w:rPr>
                <w:szCs w:val="21"/>
              </w:rPr>
            </w:pPr>
            <w:r>
              <w:rPr>
                <w:rFonts w:hint="eastAsia"/>
                <w:szCs w:val="21"/>
              </w:rPr>
              <w:t>+0.001</w:t>
            </w:r>
          </w:p>
        </w:tc>
      </w:tr>
      <w:tr w14:paraId="42A3E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BD0A8B3">
            <w:pPr>
              <w:pStyle w:val="40"/>
              <w:spacing w:beforeLines="0" w:afterLines="0" w:line="240" w:lineRule="auto"/>
              <w:rPr>
                <w:rFonts w:ascii="Times New Roman"/>
                <w:b/>
                <w:snapToGrid w:val="0"/>
                <w:kern w:val="21"/>
                <w:szCs w:val="21"/>
              </w:rPr>
            </w:pPr>
          </w:p>
        </w:tc>
        <w:tc>
          <w:tcPr>
            <w:tcW w:w="1559" w:type="dxa"/>
            <w:vAlign w:val="center"/>
          </w:tcPr>
          <w:p w14:paraId="2AF1B0C0">
            <w:pPr>
              <w:jc w:val="center"/>
              <w:rPr>
                <w:kern w:val="0"/>
                <w:szCs w:val="21"/>
              </w:rPr>
            </w:pPr>
            <w:r>
              <w:rPr>
                <w:rFonts w:hint="eastAsia"/>
                <w:kern w:val="0"/>
                <w:szCs w:val="21"/>
              </w:rPr>
              <w:t>实验废液</w:t>
            </w:r>
          </w:p>
        </w:tc>
        <w:tc>
          <w:tcPr>
            <w:tcW w:w="1843" w:type="dxa"/>
            <w:vAlign w:val="center"/>
          </w:tcPr>
          <w:p w14:paraId="5A2CD393">
            <w:pPr>
              <w:pStyle w:val="40"/>
              <w:spacing w:beforeLines="0" w:afterLines="0" w:line="240" w:lineRule="auto"/>
              <w:rPr>
                <w:rFonts w:ascii="Times New Roman"/>
                <w:snapToGrid w:val="0"/>
                <w:kern w:val="21"/>
                <w:szCs w:val="21"/>
              </w:rPr>
            </w:pPr>
            <w:r>
              <w:rPr>
                <w:rFonts w:hint="eastAsia" w:ascii="Times New Roman"/>
                <w:snapToGrid w:val="0"/>
                <w:kern w:val="21"/>
                <w:szCs w:val="21"/>
              </w:rPr>
              <w:t>0.1</w:t>
            </w:r>
          </w:p>
        </w:tc>
        <w:tc>
          <w:tcPr>
            <w:tcW w:w="1276" w:type="dxa"/>
            <w:vAlign w:val="center"/>
          </w:tcPr>
          <w:p w14:paraId="196F287E">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F66C253">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04F73E7F">
            <w:pPr>
              <w:jc w:val="center"/>
              <w:rPr>
                <w:szCs w:val="21"/>
              </w:rPr>
            </w:pPr>
            <w:r>
              <w:rPr>
                <w:rFonts w:hint="eastAsia"/>
                <w:szCs w:val="21"/>
              </w:rPr>
              <w:t>0.2</w:t>
            </w:r>
          </w:p>
        </w:tc>
        <w:tc>
          <w:tcPr>
            <w:tcW w:w="1418" w:type="dxa"/>
            <w:vAlign w:val="center"/>
          </w:tcPr>
          <w:p w14:paraId="1747B525">
            <w:pPr>
              <w:pStyle w:val="40"/>
              <w:spacing w:beforeLines="0" w:afterLines="0" w:line="240" w:lineRule="auto"/>
              <w:rPr>
                <w:rFonts w:ascii="Times New Roman"/>
                <w:snapToGrid w:val="0"/>
                <w:kern w:val="21"/>
                <w:szCs w:val="21"/>
              </w:rPr>
            </w:pPr>
            <w:r>
              <w:rPr>
                <w:rFonts w:hint="eastAsia"/>
                <w:szCs w:val="21"/>
              </w:rPr>
              <w:t>0</w:t>
            </w:r>
          </w:p>
        </w:tc>
        <w:tc>
          <w:tcPr>
            <w:tcW w:w="1701" w:type="dxa"/>
            <w:vAlign w:val="center"/>
          </w:tcPr>
          <w:p w14:paraId="57EEE2C2">
            <w:pPr>
              <w:jc w:val="center"/>
              <w:rPr>
                <w:szCs w:val="21"/>
              </w:rPr>
            </w:pPr>
            <w:r>
              <w:rPr>
                <w:rFonts w:hint="eastAsia"/>
                <w:szCs w:val="21"/>
              </w:rPr>
              <w:t>0.2</w:t>
            </w:r>
          </w:p>
        </w:tc>
        <w:tc>
          <w:tcPr>
            <w:tcW w:w="1427" w:type="dxa"/>
            <w:vAlign w:val="center"/>
          </w:tcPr>
          <w:p w14:paraId="5843F677">
            <w:pPr>
              <w:jc w:val="center"/>
              <w:rPr>
                <w:szCs w:val="21"/>
              </w:rPr>
            </w:pPr>
            <w:r>
              <w:rPr>
                <w:rFonts w:hint="eastAsia"/>
                <w:szCs w:val="21"/>
              </w:rPr>
              <w:t>+0.1</w:t>
            </w:r>
          </w:p>
        </w:tc>
      </w:tr>
      <w:tr w14:paraId="3CC875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6F3F552C">
            <w:pPr>
              <w:pStyle w:val="40"/>
              <w:spacing w:beforeLines="0" w:afterLines="0" w:line="240" w:lineRule="auto"/>
              <w:rPr>
                <w:rFonts w:ascii="Times New Roman"/>
                <w:b/>
                <w:snapToGrid w:val="0"/>
                <w:kern w:val="21"/>
                <w:szCs w:val="21"/>
              </w:rPr>
            </w:pPr>
          </w:p>
        </w:tc>
        <w:tc>
          <w:tcPr>
            <w:tcW w:w="1559" w:type="dxa"/>
            <w:vAlign w:val="center"/>
          </w:tcPr>
          <w:p w14:paraId="1578B8BA">
            <w:pPr>
              <w:jc w:val="center"/>
              <w:rPr>
                <w:kern w:val="0"/>
                <w:szCs w:val="21"/>
              </w:rPr>
            </w:pPr>
            <w:r>
              <w:rPr>
                <w:rFonts w:hint="eastAsia"/>
                <w:kern w:val="0"/>
                <w:szCs w:val="21"/>
              </w:rPr>
              <w:t>熏蒸药剂使用后的残渣</w:t>
            </w:r>
          </w:p>
        </w:tc>
        <w:tc>
          <w:tcPr>
            <w:tcW w:w="1843" w:type="dxa"/>
            <w:vAlign w:val="center"/>
          </w:tcPr>
          <w:p w14:paraId="207C449B">
            <w:pPr>
              <w:pStyle w:val="40"/>
              <w:spacing w:beforeLines="0" w:afterLines="0" w:line="240" w:lineRule="auto"/>
              <w:rPr>
                <w:rFonts w:ascii="Times New Roman"/>
                <w:snapToGrid w:val="0"/>
                <w:kern w:val="21"/>
                <w:szCs w:val="21"/>
              </w:rPr>
            </w:pPr>
            <w:r>
              <w:rPr>
                <w:rFonts w:hint="eastAsia" w:ascii="Times New Roman"/>
                <w:snapToGrid w:val="0"/>
                <w:kern w:val="21"/>
                <w:szCs w:val="21"/>
              </w:rPr>
              <w:t>0.03</w:t>
            </w:r>
          </w:p>
        </w:tc>
        <w:tc>
          <w:tcPr>
            <w:tcW w:w="1276" w:type="dxa"/>
            <w:vAlign w:val="center"/>
          </w:tcPr>
          <w:p w14:paraId="745E1BA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513E705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564845DA">
            <w:pPr>
              <w:jc w:val="center"/>
              <w:rPr>
                <w:szCs w:val="21"/>
              </w:rPr>
            </w:pPr>
            <w:r>
              <w:rPr>
                <w:rFonts w:hint="eastAsia"/>
                <w:szCs w:val="21"/>
              </w:rPr>
              <w:t>0.03</w:t>
            </w:r>
          </w:p>
        </w:tc>
        <w:tc>
          <w:tcPr>
            <w:tcW w:w="1418" w:type="dxa"/>
            <w:vAlign w:val="center"/>
          </w:tcPr>
          <w:p w14:paraId="2CF61DC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AA369E8">
            <w:pPr>
              <w:jc w:val="center"/>
              <w:rPr>
                <w:szCs w:val="21"/>
              </w:rPr>
            </w:pPr>
            <w:r>
              <w:rPr>
                <w:rFonts w:hint="eastAsia"/>
                <w:szCs w:val="21"/>
              </w:rPr>
              <w:t>0.05</w:t>
            </w:r>
          </w:p>
        </w:tc>
        <w:tc>
          <w:tcPr>
            <w:tcW w:w="1427" w:type="dxa"/>
            <w:vAlign w:val="center"/>
          </w:tcPr>
          <w:p w14:paraId="1072BDBA">
            <w:pPr>
              <w:jc w:val="center"/>
              <w:rPr>
                <w:szCs w:val="21"/>
              </w:rPr>
            </w:pPr>
            <w:r>
              <w:rPr>
                <w:rFonts w:hint="eastAsia"/>
                <w:szCs w:val="21"/>
              </w:rPr>
              <w:t>+0.02</w:t>
            </w:r>
          </w:p>
        </w:tc>
      </w:tr>
      <w:tr w14:paraId="66C807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2E87620B">
            <w:pPr>
              <w:pStyle w:val="40"/>
              <w:spacing w:beforeLines="0" w:afterLines="0" w:line="240" w:lineRule="auto"/>
              <w:rPr>
                <w:rFonts w:ascii="Times New Roman"/>
                <w:b/>
                <w:snapToGrid w:val="0"/>
                <w:kern w:val="21"/>
                <w:szCs w:val="21"/>
              </w:rPr>
            </w:pPr>
          </w:p>
        </w:tc>
        <w:tc>
          <w:tcPr>
            <w:tcW w:w="1559" w:type="dxa"/>
            <w:vAlign w:val="center"/>
          </w:tcPr>
          <w:p w14:paraId="1705690E">
            <w:pPr>
              <w:jc w:val="center"/>
              <w:rPr>
                <w:kern w:val="0"/>
                <w:szCs w:val="21"/>
              </w:rPr>
            </w:pPr>
            <w:r>
              <w:rPr>
                <w:rFonts w:hint="eastAsia"/>
                <w:kern w:val="0"/>
                <w:szCs w:val="21"/>
              </w:rPr>
              <w:t>废矿物油</w:t>
            </w:r>
          </w:p>
        </w:tc>
        <w:tc>
          <w:tcPr>
            <w:tcW w:w="1843" w:type="dxa"/>
            <w:vAlign w:val="center"/>
          </w:tcPr>
          <w:p w14:paraId="55C6A5DC">
            <w:pPr>
              <w:pStyle w:val="40"/>
              <w:spacing w:beforeLines="0" w:afterLines="0" w:line="240" w:lineRule="auto"/>
              <w:rPr>
                <w:rFonts w:ascii="Times New Roman"/>
                <w:snapToGrid w:val="0"/>
                <w:kern w:val="21"/>
                <w:szCs w:val="21"/>
              </w:rPr>
            </w:pPr>
            <w:r>
              <w:rPr>
                <w:rFonts w:hint="eastAsia" w:ascii="Times New Roman"/>
                <w:snapToGrid w:val="0"/>
                <w:kern w:val="21"/>
                <w:szCs w:val="21"/>
              </w:rPr>
              <w:t>0.02</w:t>
            </w:r>
          </w:p>
        </w:tc>
        <w:tc>
          <w:tcPr>
            <w:tcW w:w="1276" w:type="dxa"/>
            <w:vAlign w:val="center"/>
          </w:tcPr>
          <w:p w14:paraId="7AAB21B0">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DCB4BB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5AE99580">
            <w:pPr>
              <w:jc w:val="center"/>
              <w:rPr>
                <w:szCs w:val="21"/>
              </w:rPr>
            </w:pPr>
            <w:r>
              <w:rPr>
                <w:rFonts w:hint="eastAsia"/>
                <w:szCs w:val="21"/>
              </w:rPr>
              <w:t>0.05</w:t>
            </w:r>
          </w:p>
        </w:tc>
        <w:tc>
          <w:tcPr>
            <w:tcW w:w="1418" w:type="dxa"/>
            <w:vAlign w:val="center"/>
          </w:tcPr>
          <w:p w14:paraId="2D788B4B">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BF2E38F">
            <w:pPr>
              <w:jc w:val="center"/>
              <w:rPr>
                <w:szCs w:val="21"/>
              </w:rPr>
            </w:pPr>
            <w:r>
              <w:rPr>
                <w:rFonts w:hint="eastAsia"/>
                <w:szCs w:val="21"/>
              </w:rPr>
              <w:t>0.05</w:t>
            </w:r>
          </w:p>
        </w:tc>
        <w:tc>
          <w:tcPr>
            <w:tcW w:w="1427" w:type="dxa"/>
            <w:vAlign w:val="center"/>
          </w:tcPr>
          <w:p w14:paraId="147B581F">
            <w:pPr>
              <w:jc w:val="center"/>
              <w:rPr>
                <w:szCs w:val="21"/>
              </w:rPr>
            </w:pPr>
            <w:r>
              <w:rPr>
                <w:rFonts w:hint="eastAsia"/>
                <w:szCs w:val="21"/>
              </w:rPr>
              <w:t>+0.03</w:t>
            </w:r>
          </w:p>
        </w:tc>
      </w:tr>
      <w:tr w14:paraId="1B0F4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50DE0BAB">
            <w:pPr>
              <w:pStyle w:val="40"/>
              <w:spacing w:beforeLines="0" w:afterLines="0" w:line="240" w:lineRule="auto"/>
              <w:rPr>
                <w:rFonts w:ascii="Times New Roman"/>
                <w:b/>
                <w:snapToGrid w:val="0"/>
                <w:kern w:val="21"/>
                <w:szCs w:val="21"/>
              </w:rPr>
            </w:pPr>
          </w:p>
        </w:tc>
        <w:tc>
          <w:tcPr>
            <w:tcW w:w="1559" w:type="dxa"/>
            <w:vAlign w:val="center"/>
          </w:tcPr>
          <w:p w14:paraId="740718E7">
            <w:pPr>
              <w:jc w:val="center"/>
              <w:rPr>
                <w:kern w:val="0"/>
                <w:szCs w:val="21"/>
              </w:rPr>
            </w:pPr>
            <w:r>
              <w:rPr>
                <w:rFonts w:hint="eastAsia"/>
                <w:kern w:val="0"/>
                <w:szCs w:val="21"/>
              </w:rPr>
              <w:t>废油桶</w:t>
            </w:r>
          </w:p>
        </w:tc>
        <w:tc>
          <w:tcPr>
            <w:tcW w:w="1843" w:type="dxa"/>
            <w:vAlign w:val="center"/>
          </w:tcPr>
          <w:p w14:paraId="1FA4710C">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1276" w:type="dxa"/>
            <w:vAlign w:val="center"/>
          </w:tcPr>
          <w:p w14:paraId="74C251A9">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5BCEDF5">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3E21B75C">
            <w:pPr>
              <w:jc w:val="center"/>
              <w:rPr>
                <w:szCs w:val="21"/>
              </w:rPr>
            </w:pPr>
            <w:r>
              <w:rPr>
                <w:rFonts w:hint="eastAsia"/>
                <w:szCs w:val="21"/>
              </w:rPr>
              <w:t>0.03</w:t>
            </w:r>
          </w:p>
        </w:tc>
        <w:tc>
          <w:tcPr>
            <w:tcW w:w="1418" w:type="dxa"/>
            <w:vAlign w:val="center"/>
          </w:tcPr>
          <w:p w14:paraId="3103AA68">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031CDE29">
            <w:pPr>
              <w:jc w:val="center"/>
              <w:rPr>
                <w:szCs w:val="21"/>
              </w:rPr>
            </w:pPr>
            <w:r>
              <w:rPr>
                <w:rFonts w:hint="eastAsia"/>
                <w:szCs w:val="21"/>
              </w:rPr>
              <w:t>0.03</w:t>
            </w:r>
          </w:p>
        </w:tc>
        <w:tc>
          <w:tcPr>
            <w:tcW w:w="1427" w:type="dxa"/>
            <w:vAlign w:val="center"/>
          </w:tcPr>
          <w:p w14:paraId="4982AB84">
            <w:pPr>
              <w:jc w:val="center"/>
              <w:rPr>
                <w:szCs w:val="21"/>
              </w:rPr>
            </w:pPr>
            <w:r>
              <w:rPr>
                <w:rFonts w:hint="eastAsia"/>
                <w:szCs w:val="21"/>
              </w:rPr>
              <w:t>+0.02</w:t>
            </w:r>
          </w:p>
        </w:tc>
      </w:tr>
      <w:tr w14:paraId="19F6D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08F4216F">
            <w:pPr>
              <w:pStyle w:val="40"/>
              <w:spacing w:beforeLines="0" w:afterLines="0" w:line="240" w:lineRule="auto"/>
              <w:rPr>
                <w:rFonts w:ascii="Times New Roman"/>
                <w:b/>
                <w:snapToGrid w:val="0"/>
                <w:kern w:val="21"/>
                <w:szCs w:val="21"/>
              </w:rPr>
            </w:pPr>
          </w:p>
        </w:tc>
        <w:tc>
          <w:tcPr>
            <w:tcW w:w="1559" w:type="dxa"/>
            <w:vAlign w:val="center"/>
          </w:tcPr>
          <w:p w14:paraId="36B0E41E">
            <w:pPr>
              <w:jc w:val="center"/>
              <w:rPr>
                <w:kern w:val="0"/>
                <w:szCs w:val="21"/>
              </w:rPr>
            </w:pPr>
            <w:r>
              <w:rPr>
                <w:rFonts w:hint="eastAsia"/>
                <w:kern w:val="0"/>
                <w:szCs w:val="21"/>
              </w:rPr>
              <w:t>废含油手套及抹布</w:t>
            </w:r>
          </w:p>
        </w:tc>
        <w:tc>
          <w:tcPr>
            <w:tcW w:w="1843" w:type="dxa"/>
            <w:vAlign w:val="center"/>
          </w:tcPr>
          <w:p w14:paraId="580FA899">
            <w:pPr>
              <w:pStyle w:val="40"/>
              <w:spacing w:beforeLines="0" w:afterLines="0" w:line="240" w:lineRule="auto"/>
              <w:rPr>
                <w:rFonts w:ascii="Times New Roman"/>
                <w:snapToGrid w:val="0"/>
                <w:kern w:val="21"/>
                <w:szCs w:val="21"/>
              </w:rPr>
            </w:pPr>
            <w:r>
              <w:rPr>
                <w:rFonts w:hint="eastAsia" w:ascii="Times New Roman"/>
                <w:snapToGrid w:val="0"/>
                <w:kern w:val="21"/>
                <w:szCs w:val="21"/>
              </w:rPr>
              <w:t>0.01</w:t>
            </w:r>
          </w:p>
        </w:tc>
        <w:tc>
          <w:tcPr>
            <w:tcW w:w="1276" w:type="dxa"/>
            <w:vAlign w:val="center"/>
          </w:tcPr>
          <w:p w14:paraId="57417E12">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28EC8D71">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70CC11CB">
            <w:pPr>
              <w:jc w:val="center"/>
              <w:rPr>
                <w:szCs w:val="21"/>
              </w:rPr>
            </w:pPr>
            <w:r>
              <w:rPr>
                <w:rFonts w:hint="eastAsia"/>
                <w:szCs w:val="21"/>
              </w:rPr>
              <w:t>0.02</w:t>
            </w:r>
          </w:p>
        </w:tc>
        <w:tc>
          <w:tcPr>
            <w:tcW w:w="1418" w:type="dxa"/>
            <w:vAlign w:val="center"/>
          </w:tcPr>
          <w:p w14:paraId="3027FD0D">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118ACE15">
            <w:pPr>
              <w:jc w:val="center"/>
              <w:rPr>
                <w:szCs w:val="21"/>
              </w:rPr>
            </w:pPr>
            <w:r>
              <w:rPr>
                <w:rFonts w:hint="eastAsia"/>
                <w:szCs w:val="21"/>
              </w:rPr>
              <w:t>0.01</w:t>
            </w:r>
          </w:p>
        </w:tc>
        <w:tc>
          <w:tcPr>
            <w:tcW w:w="1427" w:type="dxa"/>
            <w:vAlign w:val="center"/>
          </w:tcPr>
          <w:p w14:paraId="23E11E95">
            <w:pPr>
              <w:jc w:val="center"/>
              <w:rPr>
                <w:szCs w:val="21"/>
              </w:rPr>
            </w:pPr>
            <w:r>
              <w:rPr>
                <w:rFonts w:hint="eastAsia"/>
                <w:szCs w:val="21"/>
              </w:rPr>
              <w:t>+0.01</w:t>
            </w:r>
          </w:p>
        </w:tc>
      </w:tr>
      <w:tr w14:paraId="34A1B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04" w:type="dxa"/>
            <w:vMerge w:val="continue"/>
            <w:vAlign w:val="center"/>
          </w:tcPr>
          <w:p w14:paraId="752E1F38">
            <w:pPr>
              <w:pStyle w:val="40"/>
              <w:spacing w:beforeLines="0" w:afterLines="0" w:line="240" w:lineRule="auto"/>
              <w:rPr>
                <w:rFonts w:ascii="Times New Roman"/>
                <w:b/>
                <w:snapToGrid w:val="0"/>
                <w:kern w:val="21"/>
                <w:szCs w:val="21"/>
              </w:rPr>
            </w:pPr>
          </w:p>
        </w:tc>
        <w:tc>
          <w:tcPr>
            <w:tcW w:w="1559" w:type="dxa"/>
            <w:vAlign w:val="center"/>
          </w:tcPr>
          <w:p w14:paraId="32D9824C">
            <w:pPr>
              <w:jc w:val="center"/>
              <w:rPr>
                <w:kern w:val="0"/>
                <w:szCs w:val="21"/>
              </w:rPr>
            </w:pPr>
            <w:r>
              <w:rPr>
                <w:rFonts w:hint="eastAsia"/>
                <w:kern w:val="0"/>
                <w:szCs w:val="21"/>
              </w:rPr>
              <w:t>生活垃圾</w:t>
            </w:r>
          </w:p>
        </w:tc>
        <w:tc>
          <w:tcPr>
            <w:tcW w:w="1843" w:type="dxa"/>
            <w:vAlign w:val="center"/>
          </w:tcPr>
          <w:p w14:paraId="5F2525DD">
            <w:pPr>
              <w:pStyle w:val="40"/>
              <w:spacing w:beforeLines="0" w:afterLines="0" w:line="240" w:lineRule="auto"/>
              <w:rPr>
                <w:rFonts w:ascii="Times New Roman"/>
                <w:snapToGrid w:val="0"/>
                <w:kern w:val="21"/>
                <w:szCs w:val="21"/>
              </w:rPr>
            </w:pPr>
            <w:r>
              <w:rPr>
                <w:rFonts w:hint="eastAsia" w:ascii="Times New Roman"/>
                <w:snapToGrid w:val="0"/>
                <w:kern w:val="21"/>
                <w:szCs w:val="21"/>
              </w:rPr>
              <w:t>2.4</w:t>
            </w:r>
          </w:p>
        </w:tc>
        <w:tc>
          <w:tcPr>
            <w:tcW w:w="1276" w:type="dxa"/>
            <w:vAlign w:val="center"/>
          </w:tcPr>
          <w:p w14:paraId="37835CBF">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67858C34">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559" w:type="dxa"/>
            <w:vAlign w:val="center"/>
          </w:tcPr>
          <w:p w14:paraId="256ABA87">
            <w:pPr>
              <w:jc w:val="center"/>
              <w:rPr>
                <w:szCs w:val="21"/>
              </w:rPr>
            </w:pPr>
            <w:r>
              <w:rPr>
                <w:rFonts w:hint="eastAsia"/>
                <w:szCs w:val="21"/>
              </w:rPr>
              <w:t>3</w:t>
            </w:r>
          </w:p>
        </w:tc>
        <w:tc>
          <w:tcPr>
            <w:tcW w:w="1418" w:type="dxa"/>
            <w:vAlign w:val="center"/>
          </w:tcPr>
          <w:p w14:paraId="5E8285D2">
            <w:pPr>
              <w:pStyle w:val="40"/>
              <w:spacing w:beforeLines="0" w:afterLines="0" w:line="240" w:lineRule="auto"/>
              <w:rPr>
                <w:rFonts w:ascii="Times New Roman"/>
                <w:snapToGrid w:val="0"/>
                <w:kern w:val="21"/>
                <w:szCs w:val="21"/>
              </w:rPr>
            </w:pPr>
            <w:r>
              <w:rPr>
                <w:rFonts w:hint="eastAsia" w:ascii="Times New Roman"/>
                <w:snapToGrid w:val="0"/>
                <w:kern w:val="21"/>
                <w:szCs w:val="21"/>
              </w:rPr>
              <w:t>0</w:t>
            </w:r>
          </w:p>
        </w:tc>
        <w:tc>
          <w:tcPr>
            <w:tcW w:w="1701" w:type="dxa"/>
            <w:vAlign w:val="center"/>
          </w:tcPr>
          <w:p w14:paraId="3031266D">
            <w:pPr>
              <w:jc w:val="center"/>
              <w:rPr>
                <w:szCs w:val="21"/>
              </w:rPr>
            </w:pPr>
            <w:r>
              <w:rPr>
                <w:rFonts w:hint="eastAsia"/>
                <w:szCs w:val="21"/>
              </w:rPr>
              <w:t>3</w:t>
            </w:r>
          </w:p>
        </w:tc>
        <w:tc>
          <w:tcPr>
            <w:tcW w:w="1427" w:type="dxa"/>
            <w:vAlign w:val="center"/>
          </w:tcPr>
          <w:p w14:paraId="5900F5B0">
            <w:pPr>
              <w:jc w:val="center"/>
              <w:rPr>
                <w:szCs w:val="21"/>
              </w:rPr>
            </w:pPr>
            <w:r>
              <w:rPr>
                <w:rFonts w:hint="eastAsia"/>
                <w:szCs w:val="21"/>
              </w:rPr>
              <w:t>+0.6</w:t>
            </w:r>
          </w:p>
        </w:tc>
      </w:tr>
    </w:tbl>
    <w:p w14:paraId="08BDFB63">
      <w:pPr>
        <w:pStyle w:val="40"/>
        <w:spacing w:before="192" w:beforeLines="80" w:after="24"/>
        <w:jc w:val="left"/>
        <w:rPr>
          <w:rFonts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86"/>
    <w:family w:val="auto"/>
    <w:pitch w:val="default"/>
    <w:sig w:usb0="00000000" w:usb1="00000000" w:usb2="00000010" w:usb3="00000000" w:csb0="00060000"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BB355">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E343">
    <w:pPr>
      <w:pStyle w:val="21"/>
      <w:framePr w:wrap="around" w:vAnchor="text" w:hAnchor="margin" w:xAlign="center" w:y="1"/>
      <w:rPr>
        <w:rStyle w:val="32"/>
      </w:rPr>
    </w:pPr>
    <w:r>
      <w:fldChar w:fldCharType="begin"/>
    </w:r>
    <w:r>
      <w:rPr>
        <w:rStyle w:val="32"/>
      </w:rPr>
      <w:instrText xml:space="preserve">PAGE  </w:instrText>
    </w:r>
    <w:r>
      <w:fldChar w:fldCharType="end"/>
    </w:r>
  </w:p>
  <w:p w14:paraId="24269431">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2A1BF">
    <w:pPr>
      <w:pStyle w:val="21"/>
      <w:jc w:val="center"/>
    </w:pPr>
    <w:r>
      <w:fldChar w:fldCharType="begin"/>
    </w:r>
    <w:r>
      <w:instrText xml:space="preserve">PAGE   \* MERGEFORMAT</w:instrText>
    </w:r>
    <w:r>
      <w:fldChar w:fldCharType="separate"/>
    </w:r>
    <w:r>
      <w:rPr>
        <w:lang w:val="zh-CN"/>
      </w:rPr>
      <w:t>71</w:t>
    </w:r>
    <w:r>
      <w:rPr>
        <w:lang w:val="zh-CN"/>
      </w:rPr>
      <w:fldChar w:fldCharType="end"/>
    </w:r>
  </w:p>
  <w:p w14:paraId="3861A01A">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6F1BC">
    <w:pPr>
      <w:pStyle w:val="21"/>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dit="readOnly"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2F8"/>
    <w:rsid w:val="0000286D"/>
    <w:rsid w:val="00003DB1"/>
    <w:rsid w:val="00004009"/>
    <w:rsid w:val="00004285"/>
    <w:rsid w:val="000054B0"/>
    <w:rsid w:val="00005B7E"/>
    <w:rsid w:val="000060B3"/>
    <w:rsid w:val="000075E8"/>
    <w:rsid w:val="000078EF"/>
    <w:rsid w:val="00007D6E"/>
    <w:rsid w:val="0001021C"/>
    <w:rsid w:val="0001217B"/>
    <w:rsid w:val="000127AA"/>
    <w:rsid w:val="000167B6"/>
    <w:rsid w:val="00016AA9"/>
    <w:rsid w:val="0001725E"/>
    <w:rsid w:val="000172B8"/>
    <w:rsid w:val="00017F38"/>
    <w:rsid w:val="0002084E"/>
    <w:rsid w:val="00022523"/>
    <w:rsid w:val="0002376C"/>
    <w:rsid w:val="0002494B"/>
    <w:rsid w:val="00024DE2"/>
    <w:rsid w:val="0002559C"/>
    <w:rsid w:val="00026C19"/>
    <w:rsid w:val="000317C1"/>
    <w:rsid w:val="00031B73"/>
    <w:rsid w:val="00034367"/>
    <w:rsid w:val="000344EC"/>
    <w:rsid w:val="00034C5A"/>
    <w:rsid w:val="000367C8"/>
    <w:rsid w:val="00040322"/>
    <w:rsid w:val="00040AFC"/>
    <w:rsid w:val="00041BF1"/>
    <w:rsid w:val="00041E8B"/>
    <w:rsid w:val="00042523"/>
    <w:rsid w:val="00042BF8"/>
    <w:rsid w:val="0004364B"/>
    <w:rsid w:val="00043814"/>
    <w:rsid w:val="00043CB8"/>
    <w:rsid w:val="00043D37"/>
    <w:rsid w:val="00043E9B"/>
    <w:rsid w:val="00044261"/>
    <w:rsid w:val="00044877"/>
    <w:rsid w:val="000448CE"/>
    <w:rsid w:val="00045313"/>
    <w:rsid w:val="00045D53"/>
    <w:rsid w:val="0004693D"/>
    <w:rsid w:val="000472EA"/>
    <w:rsid w:val="00047E05"/>
    <w:rsid w:val="00050589"/>
    <w:rsid w:val="00050B1B"/>
    <w:rsid w:val="00051423"/>
    <w:rsid w:val="0005461E"/>
    <w:rsid w:val="000560D6"/>
    <w:rsid w:val="00060206"/>
    <w:rsid w:val="00060680"/>
    <w:rsid w:val="00061B1F"/>
    <w:rsid w:val="00062AB8"/>
    <w:rsid w:val="00063043"/>
    <w:rsid w:val="000653BC"/>
    <w:rsid w:val="0006558E"/>
    <w:rsid w:val="00065E2A"/>
    <w:rsid w:val="00067A61"/>
    <w:rsid w:val="0007111B"/>
    <w:rsid w:val="00072371"/>
    <w:rsid w:val="00072D39"/>
    <w:rsid w:val="000733C4"/>
    <w:rsid w:val="00074060"/>
    <w:rsid w:val="00074783"/>
    <w:rsid w:val="000750BB"/>
    <w:rsid w:val="00075ACD"/>
    <w:rsid w:val="00076B5F"/>
    <w:rsid w:val="00076F82"/>
    <w:rsid w:val="0008070B"/>
    <w:rsid w:val="000810AC"/>
    <w:rsid w:val="00081A02"/>
    <w:rsid w:val="00082231"/>
    <w:rsid w:val="00082ACC"/>
    <w:rsid w:val="00082BA6"/>
    <w:rsid w:val="00082E1F"/>
    <w:rsid w:val="0008313C"/>
    <w:rsid w:val="000836AF"/>
    <w:rsid w:val="00083BB2"/>
    <w:rsid w:val="00083D87"/>
    <w:rsid w:val="00084333"/>
    <w:rsid w:val="000854D8"/>
    <w:rsid w:val="000858FB"/>
    <w:rsid w:val="00086C4A"/>
    <w:rsid w:val="00086FAC"/>
    <w:rsid w:val="000879AB"/>
    <w:rsid w:val="00087B8A"/>
    <w:rsid w:val="00087CB1"/>
    <w:rsid w:val="00092D38"/>
    <w:rsid w:val="0009377B"/>
    <w:rsid w:val="00094B78"/>
    <w:rsid w:val="00095095"/>
    <w:rsid w:val="0009591E"/>
    <w:rsid w:val="00095E10"/>
    <w:rsid w:val="000974B6"/>
    <w:rsid w:val="000A05E2"/>
    <w:rsid w:val="000A0CB5"/>
    <w:rsid w:val="000A1B4F"/>
    <w:rsid w:val="000A1B98"/>
    <w:rsid w:val="000A20C9"/>
    <w:rsid w:val="000A2A98"/>
    <w:rsid w:val="000A2D41"/>
    <w:rsid w:val="000A48F5"/>
    <w:rsid w:val="000A4A6C"/>
    <w:rsid w:val="000A6291"/>
    <w:rsid w:val="000A7057"/>
    <w:rsid w:val="000A7AE8"/>
    <w:rsid w:val="000A7B0E"/>
    <w:rsid w:val="000B015E"/>
    <w:rsid w:val="000B034F"/>
    <w:rsid w:val="000B0574"/>
    <w:rsid w:val="000B058F"/>
    <w:rsid w:val="000B4147"/>
    <w:rsid w:val="000B4467"/>
    <w:rsid w:val="000B4C3E"/>
    <w:rsid w:val="000B4DB9"/>
    <w:rsid w:val="000B50AA"/>
    <w:rsid w:val="000B6222"/>
    <w:rsid w:val="000B6B81"/>
    <w:rsid w:val="000B6C91"/>
    <w:rsid w:val="000B7D76"/>
    <w:rsid w:val="000B7DDC"/>
    <w:rsid w:val="000B7FBB"/>
    <w:rsid w:val="000C09AC"/>
    <w:rsid w:val="000C317E"/>
    <w:rsid w:val="000C31AB"/>
    <w:rsid w:val="000C3D61"/>
    <w:rsid w:val="000C5000"/>
    <w:rsid w:val="000C6F99"/>
    <w:rsid w:val="000C767F"/>
    <w:rsid w:val="000D02CB"/>
    <w:rsid w:val="000D0670"/>
    <w:rsid w:val="000D1AF2"/>
    <w:rsid w:val="000D2B71"/>
    <w:rsid w:val="000D2F5C"/>
    <w:rsid w:val="000D44C7"/>
    <w:rsid w:val="000D46B3"/>
    <w:rsid w:val="000D5A44"/>
    <w:rsid w:val="000D66B3"/>
    <w:rsid w:val="000E1D9A"/>
    <w:rsid w:val="000E30D7"/>
    <w:rsid w:val="000E361E"/>
    <w:rsid w:val="000E37EB"/>
    <w:rsid w:val="000E3DBC"/>
    <w:rsid w:val="000E3E7A"/>
    <w:rsid w:val="000E3ED2"/>
    <w:rsid w:val="000E4612"/>
    <w:rsid w:val="000E481E"/>
    <w:rsid w:val="000E4B0F"/>
    <w:rsid w:val="000E56A9"/>
    <w:rsid w:val="000E5EA0"/>
    <w:rsid w:val="000E6172"/>
    <w:rsid w:val="000E6188"/>
    <w:rsid w:val="000E69A1"/>
    <w:rsid w:val="000E6E81"/>
    <w:rsid w:val="000E760E"/>
    <w:rsid w:val="000F014D"/>
    <w:rsid w:val="000F0172"/>
    <w:rsid w:val="000F1832"/>
    <w:rsid w:val="000F1CB8"/>
    <w:rsid w:val="000F1CE6"/>
    <w:rsid w:val="000F2B6C"/>
    <w:rsid w:val="000F2ECB"/>
    <w:rsid w:val="000F45C2"/>
    <w:rsid w:val="000F680C"/>
    <w:rsid w:val="000F6EC3"/>
    <w:rsid w:val="000F7A96"/>
    <w:rsid w:val="00100644"/>
    <w:rsid w:val="00102891"/>
    <w:rsid w:val="00103A0A"/>
    <w:rsid w:val="00103B0A"/>
    <w:rsid w:val="00104CE8"/>
    <w:rsid w:val="0010739F"/>
    <w:rsid w:val="00107558"/>
    <w:rsid w:val="00107834"/>
    <w:rsid w:val="00113DDA"/>
    <w:rsid w:val="001140C2"/>
    <w:rsid w:val="001145B1"/>
    <w:rsid w:val="0011492F"/>
    <w:rsid w:val="00115659"/>
    <w:rsid w:val="001171D4"/>
    <w:rsid w:val="001176BF"/>
    <w:rsid w:val="00117F0F"/>
    <w:rsid w:val="00122288"/>
    <w:rsid w:val="00123721"/>
    <w:rsid w:val="0012509B"/>
    <w:rsid w:val="001300F0"/>
    <w:rsid w:val="00130FF5"/>
    <w:rsid w:val="00131204"/>
    <w:rsid w:val="00131528"/>
    <w:rsid w:val="00131F42"/>
    <w:rsid w:val="00131FF5"/>
    <w:rsid w:val="00132098"/>
    <w:rsid w:val="0013299B"/>
    <w:rsid w:val="001330EC"/>
    <w:rsid w:val="001357F1"/>
    <w:rsid w:val="00135E11"/>
    <w:rsid w:val="00135E48"/>
    <w:rsid w:val="00136100"/>
    <w:rsid w:val="00140FA8"/>
    <w:rsid w:val="001410E8"/>
    <w:rsid w:val="0014141E"/>
    <w:rsid w:val="001422F3"/>
    <w:rsid w:val="00142ABE"/>
    <w:rsid w:val="00142DD0"/>
    <w:rsid w:val="00142FEB"/>
    <w:rsid w:val="00143A2D"/>
    <w:rsid w:val="00144800"/>
    <w:rsid w:val="00144D52"/>
    <w:rsid w:val="001451CF"/>
    <w:rsid w:val="001454B9"/>
    <w:rsid w:val="00145A41"/>
    <w:rsid w:val="001468A2"/>
    <w:rsid w:val="00147AC0"/>
    <w:rsid w:val="00150180"/>
    <w:rsid w:val="001513CA"/>
    <w:rsid w:val="0015158A"/>
    <w:rsid w:val="00151675"/>
    <w:rsid w:val="00151BAA"/>
    <w:rsid w:val="00152ED7"/>
    <w:rsid w:val="00153526"/>
    <w:rsid w:val="0015378E"/>
    <w:rsid w:val="00155CEF"/>
    <w:rsid w:val="0015709B"/>
    <w:rsid w:val="00157435"/>
    <w:rsid w:val="0015757A"/>
    <w:rsid w:val="00157A4C"/>
    <w:rsid w:val="00157D93"/>
    <w:rsid w:val="00160EB7"/>
    <w:rsid w:val="001621E1"/>
    <w:rsid w:val="001623CC"/>
    <w:rsid w:val="00162ED9"/>
    <w:rsid w:val="00163051"/>
    <w:rsid w:val="00164D2F"/>
    <w:rsid w:val="001651E1"/>
    <w:rsid w:val="001706FB"/>
    <w:rsid w:val="00172A27"/>
    <w:rsid w:val="00174A54"/>
    <w:rsid w:val="0017504D"/>
    <w:rsid w:val="0017523B"/>
    <w:rsid w:val="00175E0F"/>
    <w:rsid w:val="0017671A"/>
    <w:rsid w:val="0017723D"/>
    <w:rsid w:val="00177422"/>
    <w:rsid w:val="0018049A"/>
    <w:rsid w:val="00180AFB"/>
    <w:rsid w:val="00182C56"/>
    <w:rsid w:val="001844E4"/>
    <w:rsid w:val="00184590"/>
    <w:rsid w:val="001851B1"/>
    <w:rsid w:val="00185C7D"/>
    <w:rsid w:val="00186269"/>
    <w:rsid w:val="001863EE"/>
    <w:rsid w:val="00186404"/>
    <w:rsid w:val="001870D1"/>
    <w:rsid w:val="0018781E"/>
    <w:rsid w:val="001900CC"/>
    <w:rsid w:val="001912CB"/>
    <w:rsid w:val="0019262D"/>
    <w:rsid w:val="00193325"/>
    <w:rsid w:val="00194DAB"/>
    <w:rsid w:val="00195C9E"/>
    <w:rsid w:val="001A0BC1"/>
    <w:rsid w:val="001A1B35"/>
    <w:rsid w:val="001A275B"/>
    <w:rsid w:val="001A2C7D"/>
    <w:rsid w:val="001A3A93"/>
    <w:rsid w:val="001A48A2"/>
    <w:rsid w:val="001A4BF8"/>
    <w:rsid w:val="001A5D52"/>
    <w:rsid w:val="001A6F61"/>
    <w:rsid w:val="001B0FFD"/>
    <w:rsid w:val="001B13F5"/>
    <w:rsid w:val="001B16D3"/>
    <w:rsid w:val="001B305C"/>
    <w:rsid w:val="001B4284"/>
    <w:rsid w:val="001B5405"/>
    <w:rsid w:val="001B72B8"/>
    <w:rsid w:val="001C02CC"/>
    <w:rsid w:val="001C067F"/>
    <w:rsid w:val="001C21F1"/>
    <w:rsid w:val="001C27CF"/>
    <w:rsid w:val="001C2E2E"/>
    <w:rsid w:val="001C33F5"/>
    <w:rsid w:val="001C3C55"/>
    <w:rsid w:val="001C5152"/>
    <w:rsid w:val="001C5B2F"/>
    <w:rsid w:val="001C60F0"/>
    <w:rsid w:val="001C667C"/>
    <w:rsid w:val="001C69B3"/>
    <w:rsid w:val="001D113C"/>
    <w:rsid w:val="001D27E8"/>
    <w:rsid w:val="001D3112"/>
    <w:rsid w:val="001D32DC"/>
    <w:rsid w:val="001D5595"/>
    <w:rsid w:val="001D5611"/>
    <w:rsid w:val="001D75E5"/>
    <w:rsid w:val="001D785D"/>
    <w:rsid w:val="001D7874"/>
    <w:rsid w:val="001D7F22"/>
    <w:rsid w:val="001E22BF"/>
    <w:rsid w:val="001E2638"/>
    <w:rsid w:val="001E2AD3"/>
    <w:rsid w:val="001E2CA5"/>
    <w:rsid w:val="001E3958"/>
    <w:rsid w:val="001E4155"/>
    <w:rsid w:val="001E44AB"/>
    <w:rsid w:val="001E7494"/>
    <w:rsid w:val="001F0105"/>
    <w:rsid w:val="001F0D10"/>
    <w:rsid w:val="001F0F17"/>
    <w:rsid w:val="001F1058"/>
    <w:rsid w:val="001F279F"/>
    <w:rsid w:val="001F3347"/>
    <w:rsid w:val="001F4B01"/>
    <w:rsid w:val="001F4C2B"/>
    <w:rsid w:val="001F566C"/>
    <w:rsid w:val="001F5774"/>
    <w:rsid w:val="001F58B7"/>
    <w:rsid w:val="001F5958"/>
    <w:rsid w:val="001F69E4"/>
    <w:rsid w:val="001F6CD9"/>
    <w:rsid w:val="001F7229"/>
    <w:rsid w:val="001F7544"/>
    <w:rsid w:val="00200EB4"/>
    <w:rsid w:val="00202C40"/>
    <w:rsid w:val="00202E83"/>
    <w:rsid w:val="002049CF"/>
    <w:rsid w:val="002052CB"/>
    <w:rsid w:val="00205C7B"/>
    <w:rsid w:val="0020692D"/>
    <w:rsid w:val="00206AF4"/>
    <w:rsid w:val="002100A9"/>
    <w:rsid w:val="00211682"/>
    <w:rsid w:val="00211B7B"/>
    <w:rsid w:val="00211DCC"/>
    <w:rsid w:val="002125B4"/>
    <w:rsid w:val="00213159"/>
    <w:rsid w:val="00213592"/>
    <w:rsid w:val="002147AB"/>
    <w:rsid w:val="002155B8"/>
    <w:rsid w:val="00215664"/>
    <w:rsid w:val="00215B16"/>
    <w:rsid w:val="00216680"/>
    <w:rsid w:val="00216C3E"/>
    <w:rsid w:val="002177E0"/>
    <w:rsid w:val="00221FD8"/>
    <w:rsid w:val="002224CA"/>
    <w:rsid w:val="00222FBC"/>
    <w:rsid w:val="00223ED3"/>
    <w:rsid w:val="00224839"/>
    <w:rsid w:val="002249B2"/>
    <w:rsid w:val="00224E10"/>
    <w:rsid w:val="00225EBE"/>
    <w:rsid w:val="00226566"/>
    <w:rsid w:val="00226574"/>
    <w:rsid w:val="00226FD0"/>
    <w:rsid w:val="002278EC"/>
    <w:rsid w:val="002300AD"/>
    <w:rsid w:val="0023065B"/>
    <w:rsid w:val="00230697"/>
    <w:rsid w:val="00231DF0"/>
    <w:rsid w:val="00231F57"/>
    <w:rsid w:val="0023280E"/>
    <w:rsid w:val="00232A1E"/>
    <w:rsid w:val="00232C02"/>
    <w:rsid w:val="0023324B"/>
    <w:rsid w:val="002334BB"/>
    <w:rsid w:val="00235DF6"/>
    <w:rsid w:val="0023714D"/>
    <w:rsid w:val="002377D1"/>
    <w:rsid w:val="00241CC9"/>
    <w:rsid w:val="00242851"/>
    <w:rsid w:val="00242F4A"/>
    <w:rsid w:val="00246B28"/>
    <w:rsid w:val="00246C41"/>
    <w:rsid w:val="00246FAA"/>
    <w:rsid w:val="00247042"/>
    <w:rsid w:val="002479F7"/>
    <w:rsid w:val="00247EAD"/>
    <w:rsid w:val="00247ED6"/>
    <w:rsid w:val="00247F05"/>
    <w:rsid w:val="002506BC"/>
    <w:rsid w:val="002514FC"/>
    <w:rsid w:val="0025254F"/>
    <w:rsid w:val="002526A4"/>
    <w:rsid w:val="00254345"/>
    <w:rsid w:val="00256512"/>
    <w:rsid w:val="00256E04"/>
    <w:rsid w:val="002571F7"/>
    <w:rsid w:val="00260C43"/>
    <w:rsid w:val="002613D7"/>
    <w:rsid w:val="00261531"/>
    <w:rsid w:val="00263005"/>
    <w:rsid w:val="00263573"/>
    <w:rsid w:val="00264522"/>
    <w:rsid w:val="00264557"/>
    <w:rsid w:val="002707B2"/>
    <w:rsid w:val="0027166C"/>
    <w:rsid w:val="00271ACA"/>
    <w:rsid w:val="00271B4D"/>
    <w:rsid w:val="00271FFC"/>
    <w:rsid w:val="00272882"/>
    <w:rsid w:val="00272DD9"/>
    <w:rsid w:val="00274C99"/>
    <w:rsid w:val="00274DAB"/>
    <w:rsid w:val="00277485"/>
    <w:rsid w:val="00277553"/>
    <w:rsid w:val="00277C1C"/>
    <w:rsid w:val="00280300"/>
    <w:rsid w:val="002805AB"/>
    <w:rsid w:val="00280CFF"/>
    <w:rsid w:val="00281891"/>
    <w:rsid w:val="00281C4A"/>
    <w:rsid w:val="0028232E"/>
    <w:rsid w:val="00282F50"/>
    <w:rsid w:val="0028323D"/>
    <w:rsid w:val="00284204"/>
    <w:rsid w:val="00284D1C"/>
    <w:rsid w:val="002862B9"/>
    <w:rsid w:val="0028733C"/>
    <w:rsid w:val="0028757A"/>
    <w:rsid w:val="0029026F"/>
    <w:rsid w:val="00290545"/>
    <w:rsid w:val="00290FD3"/>
    <w:rsid w:val="00291773"/>
    <w:rsid w:val="00291856"/>
    <w:rsid w:val="00292659"/>
    <w:rsid w:val="002939A2"/>
    <w:rsid w:val="00294941"/>
    <w:rsid w:val="00294A5F"/>
    <w:rsid w:val="00296318"/>
    <w:rsid w:val="002965FD"/>
    <w:rsid w:val="00296B66"/>
    <w:rsid w:val="002A168C"/>
    <w:rsid w:val="002A1B1E"/>
    <w:rsid w:val="002A1D72"/>
    <w:rsid w:val="002A3DC7"/>
    <w:rsid w:val="002A4363"/>
    <w:rsid w:val="002A4AAF"/>
    <w:rsid w:val="002A4FA5"/>
    <w:rsid w:val="002A5110"/>
    <w:rsid w:val="002A5EA6"/>
    <w:rsid w:val="002A7C17"/>
    <w:rsid w:val="002B061C"/>
    <w:rsid w:val="002B2E10"/>
    <w:rsid w:val="002B40B4"/>
    <w:rsid w:val="002B4761"/>
    <w:rsid w:val="002B49E2"/>
    <w:rsid w:val="002B4BCD"/>
    <w:rsid w:val="002B5734"/>
    <w:rsid w:val="002B6245"/>
    <w:rsid w:val="002B669D"/>
    <w:rsid w:val="002B672D"/>
    <w:rsid w:val="002B7861"/>
    <w:rsid w:val="002B7B00"/>
    <w:rsid w:val="002B7C44"/>
    <w:rsid w:val="002B7DF0"/>
    <w:rsid w:val="002B7F2B"/>
    <w:rsid w:val="002C0D20"/>
    <w:rsid w:val="002C0EBD"/>
    <w:rsid w:val="002C0F46"/>
    <w:rsid w:val="002C1985"/>
    <w:rsid w:val="002C2B17"/>
    <w:rsid w:val="002C50C6"/>
    <w:rsid w:val="002C557E"/>
    <w:rsid w:val="002C66D9"/>
    <w:rsid w:val="002D088A"/>
    <w:rsid w:val="002D0C66"/>
    <w:rsid w:val="002D17A2"/>
    <w:rsid w:val="002D23D6"/>
    <w:rsid w:val="002D3DD0"/>
    <w:rsid w:val="002D3E9C"/>
    <w:rsid w:val="002D4980"/>
    <w:rsid w:val="002D4D3D"/>
    <w:rsid w:val="002D5027"/>
    <w:rsid w:val="002E1F3A"/>
    <w:rsid w:val="002E298A"/>
    <w:rsid w:val="002E3F95"/>
    <w:rsid w:val="002E5961"/>
    <w:rsid w:val="002E70D3"/>
    <w:rsid w:val="002F0A09"/>
    <w:rsid w:val="002F0B5D"/>
    <w:rsid w:val="002F1527"/>
    <w:rsid w:val="002F32E1"/>
    <w:rsid w:val="002F357D"/>
    <w:rsid w:val="002F4A0A"/>
    <w:rsid w:val="002F6DBF"/>
    <w:rsid w:val="002F7689"/>
    <w:rsid w:val="00300625"/>
    <w:rsid w:val="0030173D"/>
    <w:rsid w:val="00301865"/>
    <w:rsid w:val="00301978"/>
    <w:rsid w:val="003020AF"/>
    <w:rsid w:val="003020C4"/>
    <w:rsid w:val="0030332C"/>
    <w:rsid w:val="0030376C"/>
    <w:rsid w:val="00303C52"/>
    <w:rsid w:val="00304AAB"/>
    <w:rsid w:val="00304FF4"/>
    <w:rsid w:val="003051C2"/>
    <w:rsid w:val="00305657"/>
    <w:rsid w:val="00312296"/>
    <w:rsid w:val="00312786"/>
    <w:rsid w:val="00312C39"/>
    <w:rsid w:val="00312E67"/>
    <w:rsid w:val="00313198"/>
    <w:rsid w:val="00313695"/>
    <w:rsid w:val="0031402C"/>
    <w:rsid w:val="00314041"/>
    <w:rsid w:val="0031440A"/>
    <w:rsid w:val="00314B6B"/>
    <w:rsid w:val="00314F0E"/>
    <w:rsid w:val="003157FF"/>
    <w:rsid w:val="00316EFA"/>
    <w:rsid w:val="00316FB1"/>
    <w:rsid w:val="0031769C"/>
    <w:rsid w:val="00317EB5"/>
    <w:rsid w:val="00320919"/>
    <w:rsid w:val="00320C20"/>
    <w:rsid w:val="00321D8E"/>
    <w:rsid w:val="00322777"/>
    <w:rsid w:val="003243C2"/>
    <w:rsid w:val="00324668"/>
    <w:rsid w:val="003248CC"/>
    <w:rsid w:val="00325928"/>
    <w:rsid w:val="00325D9C"/>
    <w:rsid w:val="0032687F"/>
    <w:rsid w:val="00326F97"/>
    <w:rsid w:val="003277C2"/>
    <w:rsid w:val="00330BFC"/>
    <w:rsid w:val="00331564"/>
    <w:rsid w:val="00332863"/>
    <w:rsid w:val="0033289D"/>
    <w:rsid w:val="0033371D"/>
    <w:rsid w:val="0033684D"/>
    <w:rsid w:val="00336AA2"/>
    <w:rsid w:val="00337B42"/>
    <w:rsid w:val="00341B42"/>
    <w:rsid w:val="00341B7D"/>
    <w:rsid w:val="0034348F"/>
    <w:rsid w:val="0034365E"/>
    <w:rsid w:val="0034397C"/>
    <w:rsid w:val="00344106"/>
    <w:rsid w:val="003448A2"/>
    <w:rsid w:val="0034688B"/>
    <w:rsid w:val="00347BE4"/>
    <w:rsid w:val="00347EA6"/>
    <w:rsid w:val="00351730"/>
    <w:rsid w:val="00351F4C"/>
    <w:rsid w:val="00352805"/>
    <w:rsid w:val="0035344A"/>
    <w:rsid w:val="00353459"/>
    <w:rsid w:val="00354011"/>
    <w:rsid w:val="003540DE"/>
    <w:rsid w:val="003557F5"/>
    <w:rsid w:val="00355844"/>
    <w:rsid w:val="00355BC0"/>
    <w:rsid w:val="00356653"/>
    <w:rsid w:val="003567BA"/>
    <w:rsid w:val="0035743F"/>
    <w:rsid w:val="003575AF"/>
    <w:rsid w:val="00357BE2"/>
    <w:rsid w:val="00360614"/>
    <w:rsid w:val="00360650"/>
    <w:rsid w:val="003609DC"/>
    <w:rsid w:val="003612EC"/>
    <w:rsid w:val="0036170C"/>
    <w:rsid w:val="003620F8"/>
    <w:rsid w:val="003623C4"/>
    <w:rsid w:val="00362F31"/>
    <w:rsid w:val="00364BD5"/>
    <w:rsid w:val="00365403"/>
    <w:rsid w:val="00365C4A"/>
    <w:rsid w:val="00366034"/>
    <w:rsid w:val="00366587"/>
    <w:rsid w:val="00366E0F"/>
    <w:rsid w:val="00367983"/>
    <w:rsid w:val="00370A3B"/>
    <w:rsid w:val="00372DD3"/>
    <w:rsid w:val="0037475F"/>
    <w:rsid w:val="003761BA"/>
    <w:rsid w:val="00377015"/>
    <w:rsid w:val="00377155"/>
    <w:rsid w:val="003774A5"/>
    <w:rsid w:val="0037797C"/>
    <w:rsid w:val="00380AD7"/>
    <w:rsid w:val="00381A72"/>
    <w:rsid w:val="00381C94"/>
    <w:rsid w:val="003831A9"/>
    <w:rsid w:val="003834D3"/>
    <w:rsid w:val="003836CE"/>
    <w:rsid w:val="0038453A"/>
    <w:rsid w:val="00384676"/>
    <w:rsid w:val="00385036"/>
    <w:rsid w:val="003861C4"/>
    <w:rsid w:val="00386552"/>
    <w:rsid w:val="00386778"/>
    <w:rsid w:val="00387A42"/>
    <w:rsid w:val="00390857"/>
    <w:rsid w:val="00391056"/>
    <w:rsid w:val="003919B6"/>
    <w:rsid w:val="00392785"/>
    <w:rsid w:val="0039319E"/>
    <w:rsid w:val="003955FF"/>
    <w:rsid w:val="00395A5E"/>
    <w:rsid w:val="003960F6"/>
    <w:rsid w:val="00396A78"/>
    <w:rsid w:val="003973D5"/>
    <w:rsid w:val="003A1938"/>
    <w:rsid w:val="003A1972"/>
    <w:rsid w:val="003A22E7"/>
    <w:rsid w:val="003A2C89"/>
    <w:rsid w:val="003A2DA4"/>
    <w:rsid w:val="003A2DF5"/>
    <w:rsid w:val="003A2E51"/>
    <w:rsid w:val="003A2FDE"/>
    <w:rsid w:val="003A32DB"/>
    <w:rsid w:val="003A36AE"/>
    <w:rsid w:val="003A423F"/>
    <w:rsid w:val="003A4343"/>
    <w:rsid w:val="003A4B6F"/>
    <w:rsid w:val="003A4BF3"/>
    <w:rsid w:val="003A4EC9"/>
    <w:rsid w:val="003A663B"/>
    <w:rsid w:val="003A6760"/>
    <w:rsid w:val="003A7EC9"/>
    <w:rsid w:val="003B2284"/>
    <w:rsid w:val="003B2DDF"/>
    <w:rsid w:val="003B32F6"/>
    <w:rsid w:val="003B39EC"/>
    <w:rsid w:val="003B3A6B"/>
    <w:rsid w:val="003B420D"/>
    <w:rsid w:val="003B5F95"/>
    <w:rsid w:val="003B7793"/>
    <w:rsid w:val="003C1785"/>
    <w:rsid w:val="003C22B8"/>
    <w:rsid w:val="003C2D7F"/>
    <w:rsid w:val="003C4B95"/>
    <w:rsid w:val="003C4C91"/>
    <w:rsid w:val="003C636E"/>
    <w:rsid w:val="003C6C16"/>
    <w:rsid w:val="003D0E0A"/>
    <w:rsid w:val="003D1896"/>
    <w:rsid w:val="003D28F0"/>
    <w:rsid w:val="003D2E9B"/>
    <w:rsid w:val="003D42F7"/>
    <w:rsid w:val="003D520F"/>
    <w:rsid w:val="003D5CA4"/>
    <w:rsid w:val="003D5DF9"/>
    <w:rsid w:val="003D794D"/>
    <w:rsid w:val="003E0A48"/>
    <w:rsid w:val="003E0DBA"/>
    <w:rsid w:val="003E1043"/>
    <w:rsid w:val="003E1F79"/>
    <w:rsid w:val="003E3058"/>
    <w:rsid w:val="003E45EA"/>
    <w:rsid w:val="003E61E8"/>
    <w:rsid w:val="003E73F1"/>
    <w:rsid w:val="003E76A9"/>
    <w:rsid w:val="003E788D"/>
    <w:rsid w:val="003E7EE9"/>
    <w:rsid w:val="003F02F9"/>
    <w:rsid w:val="003F0467"/>
    <w:rsid w:val="003F0809"/>
    <w:rsid w:val="003F1DD8"/>
    <w:rsid w:val="003F2022"/>
    <w:rsid w:val="003F3013"/>
    <w:rsid w:val="003F336C"/>
    <w:rsid w:val="003F4EC2"/>
    <w:rsid w:val="003F5363"/>
    <w:rsid w:val="003F6291"/>
    <w:rsid w:val="003F6A8C"/>
    <w:rsid w:val="003F6BEC"/>
    <w:rsid w:val="003F71DD"/>
    <w:rsid w:val="003F755C"/>
    <w:rsid w:val="00400A40"/>
    <w:rsid w:val="0040228F"/>
    <w:rsid w:val="00404FEB"/>
    <w:rsid w:val="004053F9"/>
    <w:rsid w:val="004069CA"/>
    <w:rsid w:val="00406ABA"/>
    <w:rsid w:val="00406F01"/>
    <w:rsid w:val="00410D53"/>
    <w:rsid w:val="0041494E"/>
    <w:rsid w:val="0041566C"/>
    <w:rsid w:val="00416D50"/>
    <w:rsid w:val="00416FD5"/>
    <w:rsid w:val="00417772"/>
    <w:rsid w:val="00420D68"/>
    <w:rsid w:val="00420E6A"/>
    <w:rsid w:val="00421014"/>
    <w:rsid w:val="00421043"/>
    <w:rsid w:val="00423301"/>
    <w:rsid w:val="00423AC2"/>
    <w:rsid w:val="00424C51"/>
    <w:rsid w:val="004251AE"/>
    <w:rsid w:val="004255E6"/>
    <w:rsid w:val="00425A9E"/>
    <w:rsid w:val="00426D6B"/>
    <w:rsid w:val="00426FC2"/>
    <w:rsid w:val="00427115"/>
    <w:rsid w:val="00427C3A"/>
    <w:rsid w:val="004318EE"/>
    <w:rsid w:val="00431B84"/>
    <w:rsid w:val="00431E6C"/>
    <w:rsid w:val="004332B2"/>
    <w:rsid w:val="00433790"/>
    <w:rsid w:val="00433CE7"/>
    <w:rsid w:val="00434AD3"/>
    <w:rsid w:val="00440761"/>
    <w:rsid w:val="00441ECA"/>
    <w:rsid w:val="004427B7"/>
    <w:rsid w:val="00442A2A"/>
    <w:rsid w:val="00443276"/>
    <w:rsid w:val="00443807"/>
    <w:rsid w:val="00444A00"/>
    <w:rsid w:val="00444B06"/>
    <w:rsid w:val="004450A7"/>
    <w:rsid w:val="00445A12"/>
    <w:rsid w:val="0044744D"/>
    <w:rsid w:val="004475E6"/>
    <w:rsid w:val="00447A29"/>
    <w:rsid w:val="00452523"/>
    <w:rsid w:val="00452738"/>
    <w:rsid w:val="00452EEA"/>
    <w:rsid w:val="004547EC"/>
    <w:rsid w:val="00454CEF"/>
    <w:rsid w:val="004557D9"/>
    <w:rsid w:val="00456091"/>
    <w:rsid w:val="00456736"/>
    <w:rsid w:val="00456C71"/>
    <w:rsid w:val="0045702C"/>
    <w:rsid w:val="0045758E"/>
    <w:rsid w:val="00461CD4"/>
    <w:rsid w:val="0046383D"/>
    <w:rsid w:val="00463A4C"/>
    <w:rsid w:val="00463A53"/>
    <w:rsid w:val="0046410A"/>
    <w:rsid w:val="0046532D"/>
    <w:rsid w:val="00465746"/>
    <w:rsid w:val="00466321"/>
    <w:rsid w:val="00467847"/>
    <w:rsid w:val="004678C0"/>
    <w:rsid w:val="00467E06"/>
    <w:rsid w:val="00470342"/>
    <w:rsid w:val="00470A1F"/>
    <w:rsid w:val="00470C8F"/>
    <w:rsid w:val="00472004"/>
    <w:rsid w:val="00472BD5"/>
    <w:rsid w:val="00474743"/>
    <w:rsid w:val="004755F6"/>
    <w:rsid w:val="00476A8B"/>
    <w:rsid w:val="00476E28"/>
    <w:rsid w:val="00477539"/>
    <w:rsid w:val="004802CD"/>
    <w:rsid w:val="00480E83"/>
    <w:rsid w:val="00482557"/>
    <w:rsid w:val="00484B9B"/>
    <w:rsid w:val="00485093"/>
    <w:rsid w:val="004855F6"/>
    <w:rsid w:val="00485DAB"/>
    <w:rsid w:val="0048661E"/>
    <w:rsid w:val="00486D4B"/>
    <w:rsid w:val="00486FB8"/>
    <w:rsid w:val="00486FFC"/>
    <w:rsid w:val="004915CA"/>
    <w:rsid w:val="00491BB0"/>
    <w:rsid w:val="00491CA7"/>
    <w:rsid w:val="0049302F"/>
    <w:rsid w:val="00494670"/>
    <w:rsid w:val="00496A76"/>
    <w:rsid w:val="0049700F"/>
    <w:rsid w:val="004A08B3"/>
    <w:rsid w:val="004A2649"/>
    <w:rsid w:val="004A2985"/>
    <w:rsid w:val="004A2BB4"/>
    <w:rsid w:val="004A3094"/>
    <w:rsid w:val="004A30A9"/>
    <w:rsid w:val="004A3466"/>
    <w:rsid w:val="004A3823"/>
    <w:rsid w:val="004A40AF"/>
    <w:rsid w:val="004A67B2"/>
    <w:rsid w:val="004B288B"/>
    <w:rsid w:val="004B2ED4"/>
    <w:rsid w:val="004B497F"/>
    <w:rsid w:val="004B4CAC"/>
    <w:rsid w:val="004B5C9A"/>
    <w:rsid w:val="004B6659"/>
    <w:rsid w:val="004B6826"/>
    <w:rsid w:val="004B6965"/>
    <w:rsid w:val="004B7665"/>
    <w:rsid w:val="004C0081"/>
    <w:rsid w:val="004C0575"/>
    <w:rsid w:val="004C0893"/>
    <w:rsid w:val="004C0906"/>
    <w:rsid w:val="004C0F02"/>
    <w:rsid w:val="004C2067"/>
    <w:rsid w:val="004C20D7"/>
    <w:rsid w:val="004C2331"/>
    <w:rsid w:val="004C3756"/>
    <w:rsid w:val="004C6376"/>
    <w:rsid w:val="004D1D82"/>
    <w:rsid w:val="004D2B05"/>
    <w:rsid w:val="004D3D55"/>
    <w:rsid w:val="004D4236"/>
    <w:rsid w:val="004D43F1"/>
    <w:rsid w:val="004D5746"/>
    <w:rsid w:val="004D5958"/>
    <w:rsid w:val="004D650C"/>
    <w:rsid w:val="004D65C3"/>
    <w:rsid w:val="004D7324"/>
    <w:rsid w:val="004D7521"/>
    <w:rsid w:val="004D7D3D"/>
    <w:rsid w:val="004E0E87"/>
    <w:rsid w:val="004E10B8"/>
    <w:rsid w:val="004E2AB6"/>
    <w:rsid w:val="004E3232"/>
    <w:rsid w:val="004E3B98"/>
    <w:rsid w:val="004E47AA"/>
    <w:rsid w:val="004E5BB0"/>
    <w:rsid w:val="004E6946"/>
    <w:rsid w:val="004E74C5"/>
    <w:rsid w:val="004E76EC"/>
    <w:rsid w:val="004F108E"/>
    <w:rsid w:val="004F158F"/>
    <w:rsid w:val="004F1AD8"/>
    <w:rsid w:val="004F33E6"/>
    <w:rsid w:val="004F54DA"/>
    <w:rsid w:val="004F57CB"/>
    <w:rsid w:val="004F60D1"/>
    <w:rsid w:val="004F680A"/>
    <w:rsid w:val="0050015B"/>
    <w:rsid w:val="005017D6"/>
    <w:rsid w:val="005039CB"/>
    <w:rsid w:val="00504C04"/>
    <w:rsid w:val="00504F5A"/>
    <w:rsid w:val="0050558F"/>
    <w:rsid w:val="00505DEA"/>
    <w:rsid w:val="00506173"/>
    <w:rsid w:val="00506286"/>
    <w:rsid w:val="00507C21"/>
    <w:rsid w:val="00507E72"/>
    <w:rsid w:val="00507FA9"/>
    <w:rsid w:val="005106D9"/>
    <w:rsid w:val="00510813"/>
    <w:rsid w:val="00511990"/>
    <w:rsid w:val="00511DE0"/>
    <w:rsid w:val="0051212C"/>
    <w:rsid w:val="0051285B"/>
    <w:rsid w:val="0051287A"/>
    <w:rsid w:val="005128F5"/>
    <w:rsid w:val="00512F47"/>
    <w:rsid w:val="005131E1"/>
    <w:rsid w:val="005133F1"/>
    <w:rsid w:val="00513F12"/>
    <w:rsid w:val="00514870"/>
    <w:rsid w:val="00514B9B"/>
    <w:rsid w:val="00515357"/>
    <w:rsid w:val="005159BF"/>
    <w:rsid w:val="0051682F"/>
    <w:rsid w:val="00517589"/>
    <w:rsid w:val="00517F02"/>
    <w:rsid w:val="00520BAC"/>
    <w:rsid w:val="00524303"/>
    <w:rsid w:val="005246F9"/>
    <w:rsid w:val="005258A2"/>
    <w:rsid w:val="00527BA9"/>
    <w:rsid w:val="0053001B"/>
    <w:rsid w:val="00530CE1"/>
    <w:rsid w:val="00531D1B"/>
    <w:rsid w:val="00533C67"/>
    <w:rsid w:val="005356D1"/>
    <w:rsid w:val="005367FF"/>
    <w:rsid w:val="005371F1"/>
    <w:rsid w:val="005401AE"/>
    <w:rsid w:val="005406B3"/>
    <w:rsid w:val="00540B2D"/>
    <w:rsid w:val="00541A4C"/>
    <w:rsid w:val="00541CE0"/>
    <w:rsid w:val="00542602"/>
    <w:rsid w:val="00542D72"/>
    <w:rsid w:val="00542E07"/>
    <w:rsid w:val="00542F2F"/>
    <w:rsid w:val="00544E26"/>
    <w:rsid w:val="00545424"/>
    <w:rsid w:val="00545504"/>
    <w:rsid w:val="0054574E"/>
    <w:rsid w:val="00547272"/>
    <w:rsid w:val="00550B1F"/>
    <w:rsid w:val="00553FBC"/>
    <w:rsid w:val="0055441C"/>
    <w:rsid w:val="00554A7B"/>
    <w:rsid w:val="0055572C"/>
    <w:rsid w:val="0055618D"/>
    <w:rsid w:val="005564E7"/>
    <w:rsid w:val="0055685A"/>
    <w:rsid w:val="00557178"/>
    <w:rsid w:val="00557383"/>
    <w:rsid w:val="00560BBE"/>
    <w:rsid w:val="00560C9D"/>
    <w:rsid w:val="0056106A"/>
    <w:rsid w:val="00561AAF"/>
    <w:rsid w:val="00562F17"/>
    <w:rsid w:val="0056458E"/>
    <w:rsid w:val="005652AF"/>
    <w:rsid w:val="00566069"/>
    <w:rsid w:val="00566A91"/>
    <w:rsid w:val="0056754F"/>
    <w:rsid w:val="005677B9"/>
    <w:rsid w:val="00570299"/>
    <w:rsid w:val="00571287"/>
    <w:rsid w:val="005720AE"/>
    <w:rsid w:val="005729EB"/>
    <w:rsid w:val="00572A06"/>
    <w:rsid w:val="00572A0C"/>
    <w:rsid w:val="00574645"/>
    <w:rsid w:val="00575256"/>
    <w:rsid w:val="005758FB"/>
    <w:rsid w:val="00575C42"/>
    <w:rsid w:val="00575FB4"/>
    <w:rsid w:val="00576CAB"/>
    <w:rsid w:val="00576F16"/>
    <w:rsid w:val="0057748B"/>
    <w:rsid w:val="0057776A"/>
    <w:rsid w:val="00582EE0"/>
    <w:rsid w:val="00582FB5"/>
    <w:rsid w:val="0058308E"/>
    <w:rsid w:val="00583269"/>
    <w:rsid w:val="00583338"/>
    <w:rsid w:val="0058338A"/>
    <w:rsid w:val="00583AEF"/>
    <w:rsid w:val="005844E8"/>
    <w:rsid w:val="005846C9"/>
    <w:rsid w:val="00584D58"/>
    <w:rsid w:val="00587565"/>
    <w:rsid w:val="00590122"/>
    <w:rsid w:val="005903EA"/>
    <w:rsid w:val="005907FE"/>
    <w:rsid w:val="00590F19"/>
    <w:rsid w:val="0059223F"/>
    <w:rsid w:val="00592CC0"/>
    <w:rsid w:val="00592FA5"/>
    <w:rsid w:val="00594D77"/>
    <w:rsid w:val="00596950"/>
    <w:rsid w:val="005969E4"/>
    <w:rsid w:val="005979E2"/>
    <w:rsid w:val="005A0473"/>
    <w:rsid w:val="005A06B7"/>
    <w:rsid w:val="005A08C2"/>
    <w:rsid w:val="005A1759"/>
    <w:rsid w:val="005A1F72"/>
    <w:rsid w:val="005A2232"/>
    <w:rsid w:val="005A2605"/>
    <w:rsid w:val="005A2FEB"/>
    <w:rsid w:val="005A347D"/>
    <w:rsid w:val="005A4046"/>
    <w:rsid w:val="005A4F2C"/>
    <w:rsid w:val="005A5D10"/>
    <w:rsid w:val="005A68A7"/>
    <w:rsid w:val="005A74EC"/>
    <w:rsid w:val="005A78BB"/>
    <w:rsid w:val="005A7B94"/>
    <w:rsid w:val="005B037B"/>
    <w:rsid w:val="005B0469"/>
    <w:rsid w:val="005B1B11"/>
    <w:rsid w:val="005B1BEC"/>
    <w:rsid w:val="005B1D52"/>
    <w:rsid w:val="005B3BE5"/>
    <w:rsid w:val="005B6103"/>
    <w:rsid w:val="005B641E"/>
    <w:rsid w:val="005B70C6"/>
    <w:rsid w:val="005C00FF"/>
    <w:rsid w:val="005C0758"/>
    <w:rsid w:val="005C0834"/>
    <w:rsid w:val="005C1298"/>
    <w:rsid w:val="005C2A41"/>
    <w:rsid w:val="005C383A"/>
    <w:rsid w:val="005C412B"/>
    <w:rsid w:val="005C5DF7"/>
    <w:rsid w:val="005C60EA"/>
    <w:rsid w:val="005C7EE1"/>
    <w:rsid w:val="005D2B0C"/>
    <w:rsid w:val="005D36AB"/>
    <w:rsid w:val="005D3D41"/>
    <w:rsid w:val="005D5CC6"/>
    <w:rsid w:val="005D77C2"/>
    <w:rsid w:val="005E02D5"/>
    <w:rsid w:val="005E1434"/>
    <w:rsid w:val="005E1F5B"/>
    <w:rsid w:val="005E2996"/>
    <w:rsid w:val="005E412D"/>
    <w:rsid w:val="005E7318"/>
    <w:rsid w:val="005E7AB6"/>
    <w:rsid w:val="005F08EB"/>
    <w:rsid w:val="005F0F73"/>
    <w:rsid w:val="005F23C9"/>
    <w:rsid w:val="005F3322"/>
    <w:rsid w:val="005F386C"/>
    <w:rsid w:val="005F41CC"/>
    <w:rsid w:val="005F5AEB"/>
    <w:rsid w:val="005F6904"/>
    <w:rsid w:val="005F70F5"/>
    <w:rsid w:val="00602550"/>
    <w:rsid w:val="006035D5"/>
    <w:rsid w:val="006071F6"/>
    <w:rsid w:val="006109C9"/>
    <w:rsid w:val="00612927"/>
    <w:rsid w:val="00612A3F"/>
    <w:rsid w:val="0061353B"/>
    <w:rsid w:val="0061452E"/>
    <w:rsid w:val="00614CFD"/>
    <w:rsid w:val="00616873"/>
    <w:rsid w:val="00617CC3"/>
    <w:rsid w:val="00617D2D"/>
    <w:rsid w:val="00620113"/>
    <w:rsid w:val="0062108C"/>
    <w:rsid w:val="006216B7"/>
    <w:rsid w:val="00621AC8"/>
    <w:rsid w:val="006233E8"/>
    <w:rsid w:val="006243F4"/>
    <w:rsid w:val="00625B46"/>
    <w:rsid w:val="00627498"/>
    <w:rsid w:val="006300D2"/>
    <w:rsid w:val="00630764"/>
    <w:rsid w:val="00630A9A"/>
    <w:rsid w:val="00636760"/>
    <w:rsid w:val="006377A6"/>
    <w:rsid w:val="00637A3D"/>
    <w:rsid w:val="006405EC"/>
    <w:rsid w:val="006411EF"/>
    <w:rsid w:val="00643E89"/>
    <w:rsid w:val="006442DD"/>
    <w:rsid w:val="006443AE"/>
    <w:rsid w:val="00645470"/>
    <w:rsid w:val="006478DB"/>
    <w:rsid w:val="00650CEE"/>
    <w:rsid w:val="00650FDD"/>
    <w:rsid w:val="00652B7D"/>
    <w:rsid w:val="00652E03"/>
    <w:rsid w:val="00653548"/>
    <w:rsid w:val="00654AD6"/>
    <w:rsid w:val="0065683D"/>
    <w:rsid w:val="00656B7B"/>
    <w:rsid w:val="00656EF3"/>
    <w:rsid w:val="0066008E"/>
    <w:rsid w:val="006606FA"/>
    <w:rsid w:val="00662939"/>
    <w:rsid w:val="0066353F"/>
    <w:rsid w:val="00663878"/>
    <w:rsid w:val="006643A3"/>
    <w:rsid w:val="006646A2"/>
    <w:rsid w:val="006651D6"/>
    <w:rsid w:val="006654B6"/>
    <w:rsid w:val="006664B2"/>
    <w:rsid w:val="00667BB9"/>
    <w:rsid w:val="0067038F"/>
    <w:rsid w:val="006707B6"/>
    <w:rsid w:val="0067084A"/>
    <w:rsid w:val="006708C9"/>
    <w:rsid w:val="0067127E"/>
    <w:rsid w:val="006714DC"/>
    <w:rsid w:val="006732F2"/>
    <w:rsid w:val="0067425C"/>
    <w:rsid w:val="006748B8"/>
    <w:rsid w:val="00675183"/>
    <w:rsid w:val="0067597C"/>
    <w:rsid w:val="006775C3"/>
    <w:rsid w:val="006777BF"/>
    <w:rsid w:val="006815A2"/>
    <w:rsid w:val="00682036"/>
    <w:rsid w:val="006820A9"/>
    <w:rsid w:val="0068497E"/>
    <w:rsid w:val="00686E6B"/>
    <w:rsid w:val="006900FA"/>
    <w:rsid w:val="006902A5"/>
    <w:rsid w:val="006904A4"/>
    <w:rsid w:val="0069070A"/>
    <w:rsid w:val="00691233"/>
    <w:rsid w:val="0069264D"/>
    <w:rsid w:val="0069290A"/>
    <w:rsid w:val="00694324"/>
    <w:rsid w:val="0069452D"/>
    <w:rsid w:val="0069471A"/>
    <w:rsid w:val="00694B19"/>
    <w:rsid w:val="00694D4D"/>
    <w:rsid w:val="00696C08"/>
    <w:rsid w:val="0069775A"/>
    <w:rsid w:val="00697813"/>
    <w:rsid w:val="006A29E5"/>
    <w:rsid w:val="006A3977"/>
    <w:rsid w:val="006A3EE8"/>
    <w:rsid w:val="006A4E54"/>
    <w:rsid w:val="006A4F5C"/>
    <w:rsid w:val="006A57BC"/>
    <w:rsid w:val="006A5865"/>
    <w:rsid w:val="006A5F57"/>
    <w:rsid w:val="006A6967"/>
    <w:rsid w:val="006A72BF"/>
    <w:rsid w:val="006B021B"/>
    <w:rsid w:val="006B03F2"/>
    <w:rsid w:val="006B0537"/>
    <w:rsid w:val="006B055C"/>
    <w:rsid w:val="006B0819"/>
    <w:rsid w:val="006B0D44"/>
    <w:rsid w:val="006B0F50"/>
    <w:rsid w:val="006B17A2"/>
    <w:rsid w:val="006B37DC"/>
    <w:rsid w:val="006B38B1"/>
    <w:rsid w:val="006B3D4F"/>
    <w:rsid w:val="006B4490"/>
    <w:rsid w:val="006B4F68"/>
    <w:rsid w:val="006B5AB6"/>
    <w:rsid w:val="006B5BF2"/>
    <w:rsid w:val="006B72A5"/>
    <w:rsid w:val="006C032E"/>
    <w:rsid w:val="006C0592"/>
    <w:rsid w:val="006C09EE"/>
    <w:rsid w:val="006C2138"/>
    <w:rsid w:val="006C26A4"/>
    <w:rsid w:val="006C272E"/>
    <w:rsid w:val="006C2B16"/>
    <w:rsid w:val="006C43A3"/>
    <w:rsid w:val="006C46C8"/>
    <w:rsid w:val="006C51CD"/>
    <w:rsid w:val="006C5479"/>
    <w:rsid w:val="006C5D4C"/>
    <w:rsid w:val="006C6224"/>
    <w:rsid w:val="006C69B1"/>
    <w:rsid w:val="006C7C78"/>
    <w:rsid w:val="006D13B5"/>
    <w:rsid w:val="006D1E8E"/>
    <w:rsid w:val="006D239E"/>
    <w:rsid w:val="006D2C1D"/>
    <w:rsid w:val="006D30F9"/>
    <w:rsid w:val="006D37F3"/>
    <w:rsid w:val="006D38B4"/>
    <w:rsid w:val="006D3BA7"/>
    <w:rsid w:val="006D42A4"/>
    <w:rsid w:val="006D4625"/>
    <w:rsid w:val="006D4D4F"/>
    <w:rsid w:val="006D4E75"/>
    <w:rsid w:val="006D631D"/>
    <w:rsid w:val="006D7932"/>
    <w:rsid w:val="006E12FF"/>
    <w:rsid w:val="006E13C4"/>
    <w:rsid w:val="006E1509"/>
    <w:rsid w:val="006E298D"/>
    <w:rsid w:val="006E2F76"/>
    <w:rsid w:val="006E607E"/>
    <w:rsid w:val="006E66AE"/>
    <w:rsid w:val="006E6A92"/>
    <w:rsid w:val="006E6E8C"/>
    <w:rsid w:val="006E70AE"/>
    <w:rsid w:val="006F0C2C"/>
    <w:rsid w:val="006F0DC1"/>
    <w:rsid w:val="006F0F5D"/>
    <w:rsid w:val="006F1572"/>
    <w:rsid w:val="006F1844"/>
    <w:rsid w:val="006F27AE"/>
    <w:rsid w:val="006F3042"/>
    <w:rsid w:val="006F3E42"/>
    <w:rsid w:val="006F5D5E"/>
    <w:rsid w:val="006F671D"/>
    <w:rsid w:val="006F6C60"/>
    <w:rsid w:val="006F752E"/>
    <w:rsid w:val="006F79E2"/>
    <w:rsid w:val="006F7AA5"/>
    <w:rsid w:val="007000DB"/>
    <w:rsid w:val="00700825"/>
    <w:rsid w:val="007015E2"/>
    <w:rsid w:val="00703101"/>
    <w:rsid w:val="00704E65"/>
    <w:rsid w:val="00705011"/>
    <w:rsid w:val="007053C1"/>
    <w:rsid w:val="0070602D"/>
    <w:rsid w:val="00706C5D"/>
    <w:rsid w:val="007114FF"/>
    <w:rsid w:val="00712EE5"/>
    <w:rsid w:val="007131FE"/>
    <w:rsid w:val="007132DB"/>
    <w:rsid w:val="00713AA4"/>
    <w:rsid w:val="00714687"/>
    <w:rsid w:val="00715435"/>
    <w:rsid w:val="007157CB"/>
    <w:rsid w:val="007169B8"/>
    <w:rsid w:val="00717801"/>
    <w:rsid w:val="00721ABD"/>
    <w:rsid w:val="00721AEE"/>
    <w:rsid w:val="00722CE3"/>
    <w:rsid w:val="007241DA"/>
    <w:rsid w:val="007256C5"/>
    <w:rsid w:val="00725D93"/>
    <w:rsid w:val="0072639E"/>
    <w:rsid w:val="0072694C"/>
    <w:rsid w:val="00726C32"/>
    <w:rsid w:val="00727106"/>
    <w:rsid w:val="007271FE"/>
    <w:rsid w:val="00727BAF"/>
    <w:rsid w:val="00732922"/>
    <w:rsid w:val="007335AF"/>
    <w:rsid w:val="00733783"/>
    <w:rsid w:val="00734724"/>
    <w:rsid w:val="00734ADD"/>
    <w:rsid w:val="0074052B"/>
    <w:rsid w:val="00740943"/>
    <w:rsid w:val="00741280"/>
    <w:rsid w:val="00741880"/>
    <w:rsid w:val="00742065"/>
    <w:rsid w:val="00742443"/>
    <w:rsid w:val="00742E9B"/>
    <w:rsid w:val="00744FFA"/>
    <w:rsid w:val="0074561E"/>
    <w:rsid w:val="0074799D"/>
    <w:rsid w:val="00747DC5"/>
    <w:rsid w:val="00750045"/>
    <w:rsid w:val="00750382"/>
    <w:rsid w:val="0075162E"/>
    <w:rsid w:val="00751D41"/>
    <w:rsid w:val="00752E84"/>
    <w:rsid w:val="00753E7F"/>
    <w:rsid w:val="00754034"/>
    <w:rsid w:val="007549D6"/>
    <w:rsid w:val="00754BD8"/>
    <w:rsid w:val="007558ED"/>
    <w:rsid w:val="00756556"/>
    <w:rsid w:val="00757190"/>
    <w:rsid w:val="00757BC7"/>
    <w:rsid w:val="007600DB"/>
    <w:rsid w:val="00761162"/>
    <w:rsid w:val="007616D6"/>
    <w:rsid w:val="007618C4"/>
    <w:rsid w:val="00761F6F"/>
    <w:rsid w:val="007633CC"/>
    <w:rsid w:val="00766AF7"/>
    <w:rsid w:val="00766C57"/>
    <w:rsid w:val="00766CD1"/>
    <w:rsid w:val="0076704F"/>
    <w:rsid w:val="007675DD"/>
    <w:rsid w:val="00767980"/>
    <w:rsid w:val="00767EA3"/>
    <w:rsid w:val="00770B19"/>
    <w:rsid w:val="007712AB"/>
    <w:rsid w:val="00771A14"/>
    <w:rsid w:val="00773B13"/>
    <w:rsid w:val="00773CB8"/>
    <w:rsid w:val="00773CDF"/>
    <w:rsid w:val="0077463F"/>
    <w:rsid w:val="007754F5"/>
    <w:rsid w:val="00777F39"/>
    <w:rsid w:val="00781277"/>
    <w:rsid w:val="00781970"/>
    <w:rsid w:val="007824B9"/>
    <w:rsid w:val="00782569"/>
    <w:rsid w:val="00783108"/>
    <w:rsid w:val="007836EA"/>
    <w:rsid w:val="00784CDA"/>
    <w:rsid w:val="00784D9D"/>
    <w:rsid w:val="007853B0"/>
    <w:rsid w:val="00787B85"/>
    <w:rsid w:val="007906C4"/>
    <w:rsid w:val="00791585"/>
    <w:rsid w:val="00792891"/>
    <w:rsid w:val="007935BE"/>
    <w:rsid w:val="00793802"/>
    <w:rsid w:val="007940EA"/>
    <w:rsid w:val="007943FE"/>
    <w:rsid w:val="00794525"/>
    <w:rsid w:val="00794B69"/>
    <w:rsid w:val="007967E8"/>
    <w:rsid w:val="00796AF6"/>
    <w:rsid w:val="007A0790"/>
    <w:rsid w:val="007A12B7"/>
    <w:rsid w:val="007A1FCE"/>
    <w:rsid w:val="007A2170"/>
    <w:rsid w:val="007A22BF"/>
    <w:rsid w:val="007A2B43"/>
    <w:rsid w:val="007A3323"/>
    <w:rsid w:val="007A4AA4"/>
    <w:rsid w:val="007A59C1"/>
    <w:rsid w:val="007A5B40"/>
    <w:rsid w:val="007A6346"/>
    <w:rsid w:val="007A6733"/>
    <w:rsid w:val="007B1348"/>
    <w:rsid w:val="007B36BE"/>
    <w:rsid w:val="007B48AB"/>
    <w:rsid w:val="007B4E87"/>
    <w:rsid w:val="007B5CB5"/>
    <w:rsid w:val="007B60EA"/>
    <w:rsid w:val="007B69D8"/>
    <w:rsid w:val="007B72B8"/>
    <w:rsid w:val="007B7650"/>
    <w:rsid w:val="007B7A58"/>
    <w:rsid w:val="007C08FA"/>
    <w:rsid w:val="007C09A0"/>
    <w:rsid w:val="007C17AC"/>
    <w:rsid w:val="007C21B5"/>
    <w:rsid w:val="007C34A4"/>
    <w:rsid w:val="007C4939"/>
    <w:rsid w:val="007C524C"/>
    <w:rsid w:val="007D0620"/>
    <w:rsid w:val="007D206F"/>
    <w:rsid w:val="007D33F8"/>
    <w:rsid w:val="007D3464"/>
    <w:rsid w:val="007D3D65"/>
    <w:rsid w:val="007D4DFD"/>
    <w:rsid w:val="007D4FF7"/>
    <w:rsid w:val="007D6441"/>
    <w:rsid w:val="007D7B6A"/>
    <w:rsid w:val="007E002A"/>
    <w:rsid w:val="007E2F39"/>
    <w:rsid w:val="007E4349"/>
    <w:rsid w:val="007E4BD2"/>
    <w:rsid w:val="007E5214"/>
    <w:rsid w:val="007E6468"/>
    <w:rsid w:val="007E7624"/>
    <w:rsid w:val="007F06A6"/>
    <w:rsid w:val="007F1EC5"/>
    <w:rsid w:val="007F41CE"/>
    <w:rsid w:val="007F4B32"/>
    <w:rsid w:val="007F69F5"/>
    <w:rsid w:val="007F6BC2"/>
    <w:rsid w:val="007F7544"/>
    <w:rsid w:val="007F7B66"/>
    <w:rsid w:val="00800D9D"/>
    <w:rsid w:val="00801393"/>
    <w:rsid w:val="00801874"/>
    <w:rsid w:val="00802397"/>
    <w:rsid w:val="008029C0"/>
    <w:rsid w:val="00802F88"/>
    <w:rsid w:val="0080426F"/>
    <w:rsid w:val="008051C1"/>
    <w:rsid w:val="00805CA0"/>
    <w:rsid w:val="008111C6"/>
    <w:rsid w:val="008113DF"/>
    <w:rsid w:val="0081293E"/>
    <w:rsid w:val="0081383E"/>
    <w:rsid w:val="00814BB6"/>
    <w:rsid w:val="00815465"/>
    <w:rsid w:val="008156E7"/>
    <w:rsid w:val="00815F02"/>
    <w:rsid w:val="00816299"/>
    <w:rsid w:val="00817A6D"/>
    <w:rsid w:val="00817E9A"/>
    <w:rsid w:val="00820673"/>
    <w:rsid w:val="00820713"/>
    <w:rsid w:val="00823620"/>
    <w:rsid w:val="008237AC"/>
    <w:rsid w:val="00824CD9"/>
    <w:rsid w:val="00825673"/>
    <w:rsid w:val="00826751"/>
    <w:rsid w:val="00826943"/>
    <w:rsid w:val="00826CA6"/>
    <w:rsid w:val="00826ED0"/>
    <w:rsid w:val="00827643"/>
    <w:rsid w:val="00827CB6"/>
    <w:rsid w:val="00830539"/>
    <w:rsid w:val="008306BD"/>
    <w:rsid w:val="00830808"/>
    <w:rsid w:val="00830F52"/>
    <w:rsid w:val="00831A80"/>
    <w:rsid w:val="008322C1"/>
    <w:rsid w:val="00832A9F"/>
    <w:rsid w:val="00833512"/>
    <w:rsid w:val="00833743"/>
    <w:rsid w:val="008340A4"/>
    <w:rsid w:val="00835513"/>
    <w:rsid w:val="00836205"/>
    <w:rsid w:val="008421F3"/>
    <w:rsid w:val="0084434E"/>
    <w:rsid w:val="00845317"/>
    <w:rsid w:val="008453CF"/>
    <w:rsid w:val="00845CA0"/>
    <w:rsid w:val="008463BB"/>
    <w:rsid w:val="008470AD"/>
    <w:rsid w:val="00847151"/>
    <w:rsid w:val="008501D9"/>
    <w:rsid w:val="0085097C"/>
    <w:rsid w:val="00850C8F"/>
    <w:rsid w:val="0085136A"/>
    <w:rsid w:val="00852D41"/>
    <w:rsid w:val="00852EE0"/>
    <w:rsid w:val="00854978"/>
    <w:rsid w:val="0085511D"/>
    <w:rsid w:val="008551A7"/>
    <w:rsid w:val="008563FA"/>
    <w:rsid w:val="008564D6"/>
    <w:rsid w:val="00856D8A"/>
    <w:rsid w:val="00857089"/>
    <w:rsid w:val="0085738A"/>
    <w:rsid w:val="00860A99"/>
    <w:rsid w:val="008638A0"/>
    <w:rsid w:val="008648BC"/>
    <w:rsid w:val="0086536C"/>
    <w:rsid w:val="008657EA"/>
    <w:rsid w:val="0087135F"/>
    <w:rsid w:val="008717E3"/>
    <w:rsid w:val="008717EB"/>
    <w:rsid w:val="0087187C"/>
    <w:rsid w:val="00872D94"/>
    <w:rsid w:val="00872DB3"/>
    <w:rsid w:val="00873895"/>
    <w:rsid w:val="0087437F"/>
    <w:rsid w:val="00874CC5"/>
    <w:rsid w:val="00875AB3"/>
    <w:rsid w:val="0087690E"/>
    <w:rsid w:val="00880230"/>
    <w:rsid w:val="00880364"/>
    <w:rsid w:val="00881503"/>
    <w:rsid w:val="0088233A"/>
    <w:rsid w:val="008863D0"/>
    <w:rsid w:val="00886AD8"/>
    <w:rsid w:val="00886FAC"/>
    <w:rsid w:val="00887034"/>
    <w:rsid w:val="008900C6"/>
    <w:rsid w:val="00890894"/>
    <w:rsid w:val="00890ABD"/>
    <w:rsid w:val="00891592"/>
    <w:rsid w:val="00891A24"/>
    <w:rsid w:val="00891A81"/>
    <w:rsid w:val="00891E9E"/>
    <w:rsid w:val="008949B0"/>
    <w:rsid w:val="00894E9F"/>
    <w:rsid w:val="00896A78"/>
    <w:rsid w:val="00897AB2"/>
    <w:rsid w:val="00897B43"/>
    <w:rsid w:val="00897E33"/>
    <w:rsid w:val="008A0B78"/>
    <w:rsid w:val="008A1343"/>
    <w:rsid w:val="008A2F68"/>
    <w:rsid w:val="008A30D9"/>
    <w:rsid w:val="008A46E9"/>
    <w:rsid w:val="008A47B3"/>
    <w:rsid w:val="008A52CB"/>
    <w:rsid w:val="008A75B3"/>
    <w:rsid w:val="008A7FFC"/>
    <w:rsid w:val="008B0256"/>
    <w:rsid w:val="008B2B8D"/>
    <w:rsid w:val="008B354A"/>
    <w:rsid w:val="008B4DF0"/>
    <w:rsid w:val="008B4FA6"/>
    <w:rsid w:val="008B5282"/>
    <w:rsid w:val="008B565E"/>
    <w:rsid w:val="008B5F50"/>
    <w:rsid w:val="008B675E"/>
    <w:rsid w:val="008B79D2"/>
    <w:rsid w:val="008B7C17"/>
    <w:rsid w:val="008B7D62"/>
    <w:rsid w:val="008C276E"/>
    <w:rsid w:val="008C2D01"/>
    <w:rsid w:val="008C3258"/>
    <w:rsid w:val="008C40E6"/>
    <w:rsid w:val="008C59DD"/>
    <w:rsid w:val="008C661D"/>
    <w:rsid w:val="008C7A8C"/>
    <w:rsid w:val="008D0F7A"/>
    <w:rsid w:val="008D1F00"/>
    <w:rsid w:val="008D2FBE"/>
    <w:rsid w:val="008D3279"/>
    <w:rsid w:val="008D3F75"/>
    <w:rsid w:val="008D5450"/>
    <w:rsid w:val="008D552E"/>
    <w:rsid w:val="008D68E4"/>
    <w:rsid w:val="008D6A50"/>
    <w:rsid w:val="008D7F96"/>
    <w:rsid w:val="008E0506"/>
    <w:rsid w:val="008E0CFF"/>
    <w:rsid w:val="008E0F3F"/>
    <w:rsid w:val="008E1CF4"/>
    <w:rsid w:val="008E3CF5"/>
    <w:rsid w:val="008E48E0"/>
    <w:rsid w:val="008E48F9"/>
    <w:rsid w:val="008E5538"/>
    <w:rsid w:val="008E5541"/>
    <w:rsid w:val="008E570C"/>
    <w:rsid w:val="008E584B"/>
    <w:rsid w:val="008E5CD6"/>
    <w:rsid w:val="008E5D6B"/>
    <w:rsid w:val="008E613D"/>
    <w:rsid w:val="008E6329"/>
    <w:rsid w:val="008E727B"/>
    <w:rsid w:val="008E76F0"/>
    <w:rsid w:val="008F04E5"/>
    <w:rsid w:val="008F0A23"/>
    <w:rsid w:val="008F0E8A"/>
    <w:rsid w:val="008F15FE"/>
    <w:rsid w:val="008F210C"/>
    <w:rsid w:val="008F2D29"/>
    <w:rsid w:val="008F3BAE"/>
    <w:rsid w:val="008F46A2"/>
    <w:rsid w:val="008F4D82"/>
    <w:rsid w:val="008F5187"/>
    <w:rsid w:val="008F5984"/>
    <w:rsid w:val="008F5B64"/>
    <w:rsid w:val="008F5F94"/>
    <w:rsid w:val="008F60D8"/>
    <w:rsid w:val="009009E8"/>
    <w:rsid w:val="00901658"/>
    <w:rsid w:val="00901980"/>
    <w:rsid w:val="00902727"/>
    <w:rsid w:val="0090312B"/>
    <w:rsid w:val="00903751"/>
    <w:rsid w:val="00903783"/>
    <w:rsid w:val="00903AB3"/>
    <w:rsid w:val="009048B9"/>
    <w:rsid w:val="009062B3"/>
    <w:rsid w:val="009064B6"/>
    <w:rsid w:val="00910104"/>
    <w:rsid w:val="00911B85"/>
    <w:rsid w:val="0091369F"/>
    <w:rsid w:val="009143C0"/>
    <w:rsid w:val="00915E5F"/>
    <w:rsid w:val="00915ED6"/>
    <w:rsid w:val="009170F8"/>
    <w:rsid w:val="0091736D"/>
    <w:rsid w:val="00917E9D"/>
    <w:rsid w:val="009204CE"/>
    <w:rsid w:val="00923326"/>
    <w:rsid w:val="009245BD"/>
    <w:rsid w:val="00925465"/>
    <w:rsid w:val="009257D1"/>
    <w:rsid w:val="00926958"/>
    <w:rsid w:val="009279AD"/>
    <w:rsid w:val="00927B4F"/>
    <w:rsid w:val="0093037A"/>
    <w:rsid w:val="00930620"/>
    <w:rsid w:val="00932647"/>
    <w:rsid w:val="009332BE"/>
    <w:rsid w:val="00933DCD"/>
    <w:rsid w:val="00935A6A"/>
    <w:rsid w:val="00935E45"/>
    <w:rsid w:val="00936674"/>
    <w:rsid w:val="00936F5D"/>
    <w:rsid w:val="009406DA"/>
    <w:rsid w:val="0094154D"/>
    <w:rsid w:val="00941664"/>
    <w:rsid w:val="00941A1C"/>
    <w:rsid w:val="00941C0F"/>
    <w:rsid w:val="00941C35"/>
    <w:rsid w:val="0094294A"/>
    <w:rsid w:val="009441E4"/>
    <w:rsid w:val="0094444C"/>
    <w:rsid w:val="009503C6"/>
    <w:rsid w:val="00950530"/>
    <w:rsid w:val="00950942"/>
    <w:rsid w:val="0095098D"/>
    <w:rsid w:val="00950AFF"/>
    <w:rsid w:val="0095155F"/>
    <w:rsid w:val="00952CB4"/>
    <w:rsid w:val="00952CD0"/>
    <w:rsid w:val="00952F39"/>
    <w:rsid w:val="0095352F"/>
    <w:rsid w:val="00954429"/>
    <w:rsid w:val="00954F91"/>
    <w:rsid w:val="009563CE"/>
    <w:rsid w:val="00957289"/>
    <w:rsid w:val="00957F56"/>
    <w:rsid w:val="00961645"/>
    <w:rsid w:val="00961EC7"/>
    <w:rsid w:val="0096248F"/>
    <w:rsid w:val="00962AF4"/>
    <w:rsid w:val="00962B7E"/>
    <w:rsid w:val="00963030"/>
    <w:rsid w:val="009639EA"/>
    <w:rsid w:val="00964A3C"/>
    <w:rsid w:val="009658F6"/>
    <w:rsid w:val="0096602C"/>
    <w:rsid w:val="009662F3"/>
    <w:rsid w:val="00967B15"/>
    <w:rsid w:val="009711D2"/>
    <w:rsid w:val="00971245"/>
    <w:rsid w:val="00971B31"/>
    <w:rsid w:val="00972118"/>
    <w:rsid w:val="00974360"/>
    <w:rsid w:val="00975103"/>
    <w:rsid w:val="00976328"/>
    <w:rsid w:val="0097680D"/>
    <w:rsid w:val="00976849"/>
    <w:rsid w:val="00976D55"/>
    <w:rsid w:val="00977273"/>
    <w:rsid w:val="00980272"/>
    <w:rsid w:val="00980AB4"/>
    <w:rsid w:val="00981309"/>
    <w:rsid w:val="00981543"/>
    <w:rsid w:val="00981D04"/>
    <w:rsid w:val="00981FE6"/>
    <w:rsid w:val="0098220E"/>
    <w:rsid w:val="00982438"/>
    <w:rsid w:val="0098404C"/>
    <w:rsid w:val="009842CD"/>
    <w:rsid w:val="00984BEB"/>
    <w:rsid w:val="00984D2C"/>
    <w:rsid w:val="00985283"/>
    <w:rsid w:val="00985DA4"/>
    <w:rsid w:val="00986C4A"/>
    <w:rsid w:val="0098781B"/>
    <w:rsid w:val="00990CBD"/>
    <w:rsid w:val="0099214F"/>
    <w:rsid w:val="009931BD"/>
    <w:rsid w:val="009942CE"/>
    <w:rsid w:val="00994F98"/>
    <w:rsid w:val="0099564C"/>
    <w:rsid w:val="00995992"/>
    <w:rsid w:val="00996A1E"/>
    <w:rsid w:val="009A0010"/>
    <w:rsid w:val="009A023C"/>
    <w:rsid w:val="009A03E5"/>
    <w:rsid w:val="009A0AC0"/>
    <w:rsid w:val="009A0B4F"/>
    <w:rsid w:val="009A0F3B"/>
    <w:rsid w:val="009A167A"/>
    <w:rsid w:val="009A1BB4"/>
    <w:rsid w:val="009A1E6F"/>
    <w:rsid w:val="009A2579"/>
    <w:rsid w:val="009A2628"/>
    <w:rsid w:val="009A2833"/>
    <w:rsid w:val="009A31BC"/>
    <w:rsid w:val="009A3200"/>
    <w:rsid w:val="009A3ACF"/>
    <w:rsid w:val="009A3F4B"/>
    <w:rsid w:val="009A404E"/>
    <w:rsid w:val="009A42F7"/>
    <w:rsid w:val="009A469C"/>
    <w:rsid w:val="009A46EA"/>
    <w:rsid w:val="009A49B0"/>
    <w:rsid w:val="009A4AA0"/>
    <w:rsid w:val="009B07F6"/>
    <w:rsid w:val="009B0897"/>
    <w:rsid w:val="009B12D9"/>
    <w:rsid w:val="009B1C1B"/>
    <w:rsid w:val="009B3E7F"/>
    <w:rsid w:val="009B4BC2"/>
    <w:rsid w:val="009B56A7"/>
    <w:rsid w:val="009B5AAA"/>
    <w:rsid w:val="009B5B69"/>
    <w:rsid w:val="009B7BD9"/>
    <w:rsid w:val="009B7E08"/>
    <w:rsid w:val="009C0CC6"/>
    <w:rsid w:val="009C157C"/>
    <w:rsid w:val="009C19A7"/>
    <w:rsid w:val="009C3788"/>
    <w:rsid w:val="009C546A"/>
    <w:rsid w:val="009C5705"/>
    <w:rsid w:val="009C7DD5"/>
    <w:rsid w:val="009D02D3"/>
    <w:rsid w:val="009D259B"/>
    <w:rsid w:val="009D2CC1"/>
    <w:rsid w:val="009D6D0E"/>
    <w:rsid w:val="009E0552"/>
    <w:rsid w:val="009E0E37"/>
    <w:rsid w:val="009E0F57"/>
    <w:rsid w:val="009E12B9"/>
    <w:rsid w:val="009E14AC"/>
    <w:rsid w:val="009E1F8F"/>
    <w:rsid w:val="009E227D"/>
    <w:rsid w:val="009E3585"/>
    <w:rsid w:val="009E4F87"/>
    <w:rsid w:val="009E5019"/>
    <w:rsid w:val="009E64BE"/>
    <w:rsid w:val="009F0144"/>
    <w:rsid w:val="009F037F"/>
    <w:rsid w:val="009F335B"/>
    <w:rsid w:val="009F4258"/>
    <w:rsid w:val="009F4992"/>
    <w:rsid w:val="009F4C1E"/>
    <w:rsid w:val="009F5D0E"/>
    <w:rsid w:val="009F5D71"/>
    <w:rsid w:val="009F654A"/>
    <w:rsid w:val="009F7F71"/>
    <w:rsid w:val="00A00727"/>
    <w:rsid w:val="00A01B78"/>
    <w:rsid w:val="00A020F7"/>
    <w:rsid w:val="00A02E48"/>
    <w:rsid w:val="00A03E4A"/>
    <w:rsid w:val="00A04184"/>
    <w:rsid w:val="00A04E72"/>
    <w:rsid w:val="00A04F1B"/>
    <w:rsid w:val="00A0501B"/>
    <w:rsid w:val="00A05053"/>
    <w:rsid w:val="00A05168"/>
    <w:rsid w:val="00A0533A"/>
    <w:rsid w:val="00A05768"/>
    <w:rsid w:val="00A061C2"/>
    <w:rsid w:val="00A065A1"/>
    <w:rsid w:val="00A069E7"/>
    <w:rsid w:val="00A07EB0"/>
    <w:rsid w:val="00A102BA"/>
    <w:rsid w:val="00A11084"/>
    <w:rsid w:val="00A125AA"/>
    <w:rsid w:val="00A1284C"/>
    <w:rsid w:val="00A130F0"/>
    <w:rsid w:val="00A13205"/>
    <w:rsid w:val="00A1339C"/>
    <w:rsid w:val="00A1469F"/>
    <w:rsid w:val="00A14947"/>
    <w:rsid w:val="00A150F0"/>
    <w:rsid w:val="00A15264"/>
    <w:rsid w:val="00A1555F"/>
    <w:rsid w:val="00A16BA2"/>
    <w:rsid w:val="00A1736B"/>
    <w:rsid w:val="00A17CE5"/>
    <w:rsid w:val="00A17EC3"/>
    <w:rsid w:val="00A20992"/>
    <w:rsid w:val="00A21A50"/>
    <w:rsid w:val="00A26363"/>
    <w:rsid w:val="00A30A23"/>
    <w:rsid w:val="00A324FB"/>
    <w:rsid w:val="00A32A83"/>
    <w:rsid w:val="00A33895"/>
    <w:rsid w:val="00A34E07"/>
    <w:rsid w:val="00A3512B"/>
    <w:rsid w:val="00A35F1F"/>
    <w:rsid w:val="00A368DB"/>
    <w:rsid w:val="00A36DBF"/>
    <w:rsid w:val="00A402EB"/>
    <w:rsid w:val="00A40511"/>
    <w:rsid w:val="00A41177"/>
    <w:rsid w:val="00A418C2"/>
    <w:rsid w:val="00A41B9F"/>
    <w:rsid w:val="00A423AA"/>
    <w:rsid w:val="00A42A72"/>
    <w:rsid w:val="00A42D9F"/>
    <w:rsid w:val="00A43816"/>
    <w:rsid w:val="00A43AE2"/>
    <w:rsid w:val="00A4424D"/>
    <w:rsid w:val="00A45B2E"/>
    <w:rsid w:val="00A45CFE"/>
    <w:rsid w:val="00A45EE1"/>
    <w:rsid w:val="00A45F83"/>
    <w:rsid w:val="00A4629E"/>
    <w:rsid w:val="00A4656C"/>
    <w:rsid w:val="00A51100"/>
    <w:rsid w:val="00A51464"/>
    <w:rsid w:val="00A5189F"/>
    <w:rsid w:val="00A519C9"/>
    <w:rsid w:val="00A529CA"/>
    <w:rsid w:val="00A53EC6"/>
    <w:rsid w:val="00A542D6"/>
    <w:rsid w:val="00A54349"/>
    <w:rsid w:val="00A54D9C"/>
    <w:rsid w:val="00A54F15"/>
    <w:rsid w:val="00A55C0F"/>
    <w:rsid w:val="00A605F3"/>
    <w:rsid w:val="00A6134C"/>
    <w:rsid w:val="00A62292"/>
    <w:rsid w:val="00A62758"/>
    <w:rsid w:val="00A63A5F"/>
    <w:rsid w:val="00A63CC0"/>
    <w:rsid w:val="00A64E31"/>
    <w:rsid w:val="00A6522B"/>
    <w:rsid w:val="00A65486"/>
    <w:rsid w:val="00A659CA"/>
    <w:rsid w:val="00A7013B"/>
    <w:rsid w:val="00A71055"/>
    <w:rsid w:val="00A71162"/>
    <w:rsid w:val="00A715C1"/>
    <w:rsid w:val="00A71769"/>
    <w:rsid w:val="00A719B2"/>
    <w:rsid w:val="00A726F6"/>
    <w:rsid w:val="00A72A99"/>
    <w:rsid w:val="00A72BCA"/>
    <w:rsid w:val="00A72BF5"/>
    <w:rsid w:val="00A741CC"/>
    <w:rsid w:val="00A76335"/>
    <w:rsid w:val="00A77990"/>
    <w:rsid w:val="00A77E7C"/>
    <w:rsid w:val="00A801F1"/>
    <w:rsid w:val="00A802B0"/>
    <w:rsid w:val="00A8046A"/>
    <w:rsid w:val="00A80CC8"/>
    <w:rsid w:val="00A81B36"/>
    <w:rsid w:val="00A82170"/>
    <w:rsid w:val="00A8226B"/>
    <w:rsid w:val="00A85D8E"/>
    <w:rsid w:val="00A86047"/>
    <w:rsid w:val="00A8713F"/>
    <w:rsid w:val="00A9080C"/>
    <w:rsid w:val="00A90847"/>
    <w:rsid w:val="00A90BA1"/>
    <w:rsid w:val="00A9158A"/>
    <w:rsid w:val="00A92037"/>
    <w:rsid w:val="00A93460"/>
    <w:rsid w:val="00A96666"/>
    <w:rsid w:val="00A97519"/>
    <w:rsid w:val="00A97A9A"/>
    <w:rsid w:val="00AA0113"/>
    <w:rsid w:val="00AA0397"/>
    <w:rsid w:val="00AA0671"/>
    <w:rsid w:val="00AA2160"/>
    <w:rsid w:val="00AA2531"/>
    <w:rsid w:val="00AA3B8D"/>
    <w:rsid w:val="00AA3CF1"/>
    <w:rsid w:val="00AA66EF"/>
    <w:rsid w:val="00AA7CAF"/>
    <w:rsid w:val="00AB03A4"/>
    <w:rsid w:val="00AB14FD"/>
    <w:rsid w:val="00AB1E09"/>
    <w:rsid w:val="00AB1E2C"/>
    <w:rsid w:val="00AB2530"/>
    <w:rsid w:val="00AB2F94"/>
    <w:rsid w:val="00AB3036"/>
    <w:rsid w:val="00AB350A"/>
    <w:rsid w:val="00AB3A66"/>
    <w:rsid w:val="00AB4462"/>
    <w:rsid w:val="00AB45C3"/>
    <w:rsid w:val="00AB529C"/>
    <w:rsid w:val="00AB5330"/>
    <w:rsid w:val="00AB5EB7"/>
    <w:rsid w:val="00AB6AF0"/>
    <w:rsid w:val="00AB7747"/>
    <w:rsid w:val="00AC0B36"/>
    <w:rsid w:val="00AC0ED5"/>
    <w:rsid w:val="00AC14CE"/>
    <w:rsid w:val="00AC24C7"/>
    <w:rsid w:val="00AC2A56"/>
    <w:rsid w:val="00AC2D26"/>
    <w:rsid w:val="00AC459A"/>
    <w:rsid w:val="00AC59B5"/>
    <w:rsid w:val="00AC5C6B"/>
    <w:rsid w:val="00AC699B"/>
    <w:rsid w:val="00AD002E"/>
    <w:rsid w:val="00AD055E"/>
    <w:rsid w:val="00AD07B3"/>
    <w:rsid w:val="00AD409D"/>
    <w:rsid w:val="00AD47A7"/>
    <w:rsid w:val="00AD7408"/>
    <w:rsid w:val="00AD747F"/>
    <w:rsid w:val="00AD74A4"/>
    <w:rsid w:val="00AD7AC4"/>
    <w:rsid w:val="00AD7D09"/>
    <w:rsid w:val="00AE0672"/>
    <w:rsid w:val="00AE09C4"/>
    <w:rsid w:val="00AE11CA"/>
    <w:rsid w:val="00AE1461"/>
    <w:rsid w:val="00AE1ABF"/>
    <w:rsid w:val="00AE2666"/>
    <w:rsid w:val="00AE2AF1"/>
    <w:rsid w:val="00AE39F0"/>
    <w:rsid w:val="00AE5CEA"/>
    <w:rsid w:val="00AE5F5B"/>
    <w:rsid w:val="00AE655A"/>
    <w:rsid w:val="00AF007B"/>
    <w:rsid w:val="00AF0CBF"/>
    <w:rsid w:val="00AF0D43"/>
    <w:rsid w:val="00AF257F"/>
    <w:rsid w:val="00AF33CF"/>
    <w:rsid w:val="00AF3947"/>
    <w:rsid w:val="00AF411B"/>
    <w:rsid w:val="00AF4D50"/>
    <w:rsid w:val="00AF52B0"/>
    <w:rsid w:val="00AF611C"/>
    <w:rsid w:val="00AF6179"/>
    <w:rsid w:val="00B0193C"/>
    <w:rsid w:val="00B02CA5"/>
    <w:rsid w:val="00B045D4"/>
    <w:rsid w:val="00B065B0"/>
    <w:rsid w:val="00B068EA"/>
    <w:rsid w:val="00B075A0"/>
    <w:rsid w:val="00B12338"/>
    <w:rsid w:val="00B12375"/>
    <w:rsid w:val="00B1295A"/>
    <w:rsid w:val="00B146C4"/>
    <w:rsid w:val="00B169A7"/>
    <w:rsid w:val="00B1731A"/>
    <w:rsid w:val="00B17545"/>
    <w:rsid w:val="00B17975"/>
    <w:rsid w:val="00B20725"/>
    <w:rsid w:val="00B209B6"/>
    <w:rsid w:val="00B20A45"/>
    <w:rsid w:val="00B2175A"/>
    <w:rsid w:val="00B21766"/>
    <w:rsid w:val="00B21D7B"/>
    <w:rsid w:val="00B22032"/>
    <w:rsid w:val="00B22C5C"/>
    <w:rsid w:val="00B24C1A"/>
    <w:rsid w:val="00B24F30"/>
    <w:rsid w:val="00B25894"/>
    <w:rsid w:val="00B26C2C"/>
    <w:rsid w:val="00B30640"/>
    <w:rsid w:val="00B30805"/>
    <w:rsid w:val="00B30949"/>
    <w:rsid w:val="00B30C42"/>
    <w:rsid w:val="00B31ABF"/>
    <w:rsid w:val="00B3255D"/>
    <w:rsid w:val="00B32E5C"/>
    <w:rsid w:val="00B3344E"/>
    <w:rsid w:val="00B33BE3"/>
    <w:rsid w:val="00B35B50"/>
    <w:rsid w:val="00B36715"/>
    <w:rsid w:val="00B36E87"/>
    <w:rsid w:val="00B37CBB"/>
    <w:rsid w:val="00B37DC8"/>
    <w:rsid w:val="00B42372"/>
    <w:rsid w:val="00B427B5"/>
    <w:rsid w:val="00B4313E"/>
    <w:rsid w:val="00B43B7C"/>
    <w:rsid w:val="00B45E57"/>
    <w:rsid w:val="00B47061"/>
    <w:rsid w:val="00B47D8F"/>
    <w:rsid w:val="00B509BA"/>
    <w:rsid w:val="00B513C2"/>
    <w:rsid w:val="00B53B5D"/>
    <w:rsid w:val="00B54862"/>
    <w:rsid w:val="00B550CC"/>
    <w:rsid w:val="00B557AA"/>
    <w:rsid w:val="00B5647A"/>
    <w:rsid w:val="00B57F60"/>
    <w:rsid w:val="00B6055E"/>
    <w:rsid w:val="00B61CB5"/>
    <w:rsid w:val="00B62A7D"/>
    <w:rsid w:val="00B62BEB"/>
    <w:rsid w:val="00B6317D"/>
    <w:rsid w:val="00B63C05"/>
    <w:rsid w:val="00B655E3"/>
    <w:rsid w:val="00B6627B"/>
    <w:rsid w:val="00B66AC9"/>
    <w:rsid w:val="00B675DD"/>
    <w:rsid w:val="00B71550"/>
    <w:rsid w:val="00B72F65"/>
    <w:rsid w:val="00B73874"/>
    <w:rsid w:val="00B7494A"/>
    <w:rsid w:val="00B74B2B"/>
    <w:rsid w:val="00B74B7F"/>
    <w:rsid w:val="00B74D1B"/>
    <w:rsid w:val="00B7723F"/>
    <w:rsid w:val="00B80534"/>
    <w:rsid w:val="00B813E4"/>
    <w:rsid w:val="00B82DCE"/>
    <w:rsid w:val="00B83039"/>
    <w:rsid w:val="00B830BC"/>
    <w:rsid w:val="00B835E8"/>
    <w:rsid w:val="00B83681"/>
    <w:rsid w:val="00B83A6D"/>
    <w:rsid w:val="00B8433C"/>
    <w:rsid w:val="00B84997"/>
    <w:rsid w:val="00B8521F"/>
    <w:rsid w:val="00B85943"/>
    <w:rsid w:val="00B85AB9"/>
    <w:rsid w:val="00B85D49"/>
    <w:rsid w:val="00B87491"/>
    <w:rsid w:val="00B87C4E"/>
    <w:rsid w:val="00B90062"/>
    <w:rsid w:val="00B90549"/>
    <w:rsid w:val="00B90A32"/>
    <w:rsid w:val="00B92A60"/>
    <w:rsid w:val="00B92B4A"/>
    <w:rsid w:val="00B94F37"/>
    <w:rsid w:val="00B964EC"/>
    <w:rsid w:val="00B968DE"/>
    <w:rsid w:val="00B97235"/>
    <w:rsid w:val="00BA0021"/>
    <w:rsid w:val="00BA00C7"/>
    <w:rsid w:val="00BA061B"/>
    <w:rsid w:val="00BA13A8"/>
    <w:rsid w:val="00BA29E9"/>
    <w:rsid w:val="00BA2A85"/>
    <w:rsid w:val="00BA3916"/>
    <w:rsid w:val="00BA7142"/>
    <w:rsid w:val="00BA7487"/>
    <w:rsid w:val="00BA7FE4"/>
    <w:rsid w:val="00BB1101"/>
    <w:rsid w:val="00BB15B2"/>
    <w:rsid w:val="00BB1A15"/>
    <w:rsid w:val="00BB1C7A"/>
    <w:rsid w:val="00BB2116"/>
    <w:rsid w:val="00BB21D2"/>
    <w:rsid w:val="00BB237C"/>
    <w:rsid w:val="00BB41A3"/>
    <w:rsid w:val="00BB42A3"/>
    <w:rsid w:val="00BB4E44"/>
    <w:rsid w:val="00BB5FE0"/>
    <w:rsid w:val="00BB7239"/>
    <w:rsid w:val="00BB7498"/>
    <w:rsid w:val="00BB75A4"/>
    <w:rsid w:val="00BB77C0"/>
    <w:rsid w:val="00BC1E62"/>
    <w:rsid w:val="00BC257C"/>
    <w:rsid w:val="00BC32DC"/>
    <w:rsid w:val="00BC35B6"/>
    <w:rsid w:val="00BC3870"/>
    <w:rsid w:val="00BC3BBD"/>
    <w:rsid w:val="00BC3D1D"/>
    <w:rsid w:val="00BC4BD9"/>
    <w:rsid w:val="00BC5FD9"/>
    <w:rsid w:val="00BC62DA"/>
    <w:rsid w:val="00BC758B"/>
    <w:rsid w:val="00BD1B51"/>
    <w:rsid w:val="00BD2360"/>
    <w:rsid w:val="00BD253C"/>
    <w:rsid w:val="00BD2FD6"/>
    <w:rsid w:val="00BD4596"/>
    <w:rsid w:val="00BD486C"/>
    <w:rsid w:val="00BD5051"/>
    <w:rsid w:val="00BD574B"/>
    <w:rsid w:val="00BD64A5"/>
    <w:rsid w:val="00BD6D3F"/>
    <w:rsid w:val="00BD744E"/>
    <w:rsid w:val="00BE096A"/>
    <w:rsid w:val="00BE1405"/>
    <w:rsid w:val="00BE269D"/>
    <w:rsid w:val="00BE292E"/>
    <w:rsid w:val="00BE312D"/>
    <w:rsid w:val="00BE4285"/>
    <w:rsid w:val="00BE4DD4"/>
    <w:rsid w:val="00BE5149"/>
    <w:rsid w:val="00BE696F"/>
    <w:rsid w:val="00BF0023"/>
    <w:rsid w:val="00BF0E63"/>
    <w:rsid w:val="00BF1C20"/>
    <w:rsid w:val="00BF2286"/>
    <w:rsid w:val="00BF2E15"/>
    <w:rsid w:val="00BF569E"/>
    <w:rsid w:val="00BF6B9C"/>
    <w:rsid w:val="00BF6E97"/>
    <w:rsid w:val="00BF7A9C"/>
    <w:rsid w:val="00BF7EDA"/>
    <w:rsid w:val="00C00373"/>
    <w:rsid w:val="00C01AB3"/>
    <w:rsid w:val="00C022F3"/>
    <w:rsid w:val="00C03065"/>
    <w:rsid w:val="00C03543"/>
    <w:rsid w:val="00C03A7B"/>
    <w:rsid w:val="00C03DE2"/>
    <w:rsid w:val="00C05125"/>
    <w:rsid w:val="00C0534F"/>
    <w:rsid w:val="00C0573D"/>
    <w:rsid w:val="00C05BB2"/>
    <w:rsid w:val="00C06AF2"/>
    <w:rsid w:val="00C06D31"/>
    <w:rsid w:val="00C07BF5"/>
    <w:rsid w:val="00C07D43"/>
    <w:rsid w:val="00C07E93"/>
    <w:rsid w:val="00C10578"/>
    <w:rsid w:val="00C12117"/>
    <w:rsid w:val="00C12872"/>
    <w:rsid w:val="00C131DB"/>
    <w:rsid w:val="00C135BC"/>
    <w:rsid w:val="00C13BEF"/>
    <w:rsid w:val="00C1503A"/>
    <w:rsid w:val="00C15C95"/>
    <w:rsid w:val="00C2107B"/>
    <w:rsid w:val="00C2170B"/>
    <w:rsid w:val="00C22440"/>
    <w:rsid w:val="00C22E25"/>
    <w:rsid w:val="00C23DF1"/>
    <w:rsid w:val="00C24DF0"/>
    <w:rsid w:val="00C2596A"/>
    <w:rsid w:val="00C25A7D"/>
    <w:rsid w:val="00C26863"/>
    <w:rsid w:val="00C27537"/>
    <w:rsid w:val="00C2769A"/>
    <w:rsid w:val="00C278A0"/>
    <w:rsid w:val="00C31223"/>
    <w:rsid w:val="00C3133F"/>
    <w:rsid w:val="00C318A5"/>
    <w:rsid w:val="00C328FE"/>
    <w:rsid w:val="00C33159"/>
    <w:rsid w:val="00C33507"/>
    <w:rsid w:val="00C33D96"/>
    <w:rsid w:val="00C361FC"/>
    <w:rsid w:val="00C36D0D"/>
    <w:rsid w:val="00C3702D"/>
    <w:rsid w:val="00C403E5"/>
    <w:rsid w:val="00C416E9"/>
    <w:rsid w:val="00C417B4"/>
    <w:rsid w:val="00C41801"/>
    <w:rsid w:val="00C41D0B"/>
    <w:rsid w:val="00C4409D"/>
    <w:rsid w:val="00C448C9"/>
    <w:rsid w:val="00C44E72"/>
    <w:rsid w:val="00C45A06"/>
    <w:rsid w:val="00C45B35"/>
    <w:rsid w:val="00C47371"/>
    <w:rsid w:val="00C47E5B"/>
    <w:rsid w:val="00C52B4F"/>
    <w:rsid w:val="00C550FD"/>
    <w:rsid w:val="00C5558A"/>
    <w:rsid w:val="00C558C4"/>
    <w:rsid w:val="00C5608B"/>
    <w:rsid w:val="00C56B39"/>
    <w:rsid w:val="00C56D34"/>
    <w:rsid w:val="00C57076"/>
    <w:rsid w:val="00C5792E"/>
    <w:rsid w:val="00C601AC"/>
    <w:rsid w:val="00C6030F"/>
    <w:rsid w:val="00C60EB9"/>
    <w:rsid w:val="00C61E4B"/>
    <w:rsid w:val="00C62B8D"/>
    <w:rsid w:val="00C6337C"/>
    <w:rsid w:val="00C640F4"/>
    <w:rsid w:val="00C64BFF"/>
    <w:rsid w:val="00C654D8"/>
    <w:rsid w:val="00C704E9"/>
    <w:rsid w:val="00C70865"/>
    <w:rsid w:val="00C70C73"/>
    <w:rsid w:val="00C711A6"/>
    <w:rsid w:val="00C718D9"/>
    <w:rsid w:val="00C71D89"/>
    <w:rsid w:val="00C728C0"/>
    <w:rsid w:val="00C73EE3"/>
    <w:rsid w:val="00C7573A"/>
    <w:rsid w:val="00C763C9"/>
    <w:rsid w:val="00C76695"/>
    <w:rsid w:val="00C77F27"/>
    <w:rsid w:val="00C80057"/>
    <w:rsid w:val="00C80DA0"/>
    <w:rsid w:val="00C81B5F"/>
    <w:rsid w:val="00C82232"/>
    <w:rsid w:val="00C82582"/>
    <w:rsid w:val="00C82771"/>
    <w:rsid w:val="00C82913"/>
    <w:rsid w:val="00C82BCD"/>
    <w:rsid w:val="00C83007"/>
    <w:rsid w:val="00C8359C"/>
    <w:rsid w:val="00C835E8"/>
    <w:rsid w:val="00C86AD5"/>
    <w:rsid w:val="00C87690"/>
    <w:rsid w:val="00C87966"/>
    <w:rsid w:val="00C907D9"/>
    <w:rsid w:val="00C912EA"/>
    <w:rsid w:val="00C91D6E"/>
    <w:rsid w:val="00C93500"/>
    <w:rsid w:val="00C95BDF"/>
    <w:rsid w:val="00C972B1"/>
    <w:rsid w:val="00C97E68"/>
    <w:rsid w:val="00CA02D2"/>
    <w:rsid w:val="00CA040E"/>
    <w:rsid w:val="00CA0BD3"/>
    <w:rsid w:val="00CA0D10"/>
    <w:rsid w:val="00CA1A59"/>
    <w:rsid w:val="00CA2A76"/>
    <w:rsid w:val="00CA2CCE"/>
    <w:rsid w:val="00CA3B03"/>
    <w:rsid w:val="00CA3C06"/>
    <w:rsid w:val="00CA43FD"/>
    <w:rsid w:val="00CA4947"/>
    <w:rsid w:val="00CA4EE5"/>
    <w:rsid w:val="00CA619F"/>
    <w:rsid w:val="00CA70D8"/>
    <w:rsid w:val="00CA7BC7"/>
    <w:rsid w:val="00CA7EF8"/>
    <w:rsid w:val="00CB0025"/>
    <w:rsid w:val="00CB033E"/>
    <w:rsid w:val="00CB0624"/>
    <w:rsid w:val="00CB0AAE"/>
    <w:rsid w:val="00CB0D23"/>
    <w:rsid w:val="00CB1C85"/>
    <w:rsid w:val="00CB1CB6"/>
    <w:rsid w:val="00CB2C42"/>
    <w:rsid w:val="00CB372E"/>
    <w:rsid w:val="00CB4194"/>
    <w:rsid w:val="00CB41CD"/>
    <w:rsid w:val="00CB47B1"/>
    <w:rsid w:val="00CB4D2F"/>
    <w:rsid w:val="00CB6951"/>
    <w:rsid w:val="00CC1A68"/>
    <w:rsid w:val="00CC2039"/>
    <w:rsid w:val="00CC2B17"/>
    <w:rsid w:val="00CC4478"/>
    <w:rsid w:val="00CC489B"/>
    <w:rsid w:val="00CC4A57"/>
    <w:rsid w:val="00CC5763"/>
    <w:rsid w:val="00CC5963"/>
    <w:rsid w:val="00CC7691"/>
    <w:rsid w:val="00CD0600"/>
    <w:rsid w:val="00CD17C8"/>
    <w:rsid w:val="00CD1ADE"/>
    <w:rsid w:val="00CD2BCD"/>
    <w:rsid w:val="00CD2D37"/>
    <w:rsid w:val="00CD3A4C"/>
    <w:rsid w:val="00CD45BF"/>
    <w:rsid w:val="00CD5944"/>
    <w:rsid w:val="00CD6564"/>
    <w:rsid w:val="00CD7CB3"/>
    <w:rsid w:val="00CE0449"/>
    <w:rsid w:val="00CE0747"/>
    <w:rsid w:val="00CE10E9"/>
    <w:rsid w:val="00CE240D"/>
    <w:rsid w:val="00CE2910"/>
    <w:rsid w:val="00CE36B8"/>
    <w:rsid w:val="00CE3B28"/>
    <w:rsid w:val="00CE3CC6"/>
    <w:rsid w:val="00CE3D3B"/>
    <w:rsid w:val="00CE5393"/>
    <w:rsid w:val="00CE615B"/>
    <w:rsid w:val="00CE7382"/>
    <w:rsid w:val="00CE7D4A"/>
    <w:rsid w:val="00CF2BB7"/>
    <w:rsid w:val="00CF2C82"/>
    <w:rsid w:val="00CF36BE"/>
    <w:rsid w:val="00CF6000"/>
    <w:rsid w:val="00CF7A27"/>
    <w:rsid w:val="00D003F3"/>
    <w:rsid w:val="00D01586"/>
    <w:rsid w:val="00D0341E"/>
    <w:rsid w:val="00D0364F"/>
    <w:rsid w:val="00D04903"/>
    <w:rsid w:val="00D04BAE"/>
    <w:rsid w:val="00D04F78"/>
    <w:rsid w:val="00D06834"/>
    <w:rsid w:val="00D0748F"/>
    <w:rsid w:val="00D074EB"/>
    <w:rsid w:val="00D118FA"/>
    <w:rsid w:val="00D13964"/>
    <w:rsid w:val="00D1532A"/>
    <w:rsid w:val="00D15963"/>
    <w:rsid w:val="00D15E64"/>
    <w:rsid w:val="00D16073"/>
    <w:rsid w:val="00D20DE0"/>
    <w:rsid w:val="00D21538"/>
    <w:rsid w:val="00D21694"/>
    <w:rsid w:val="00D216B3"/>
    <w:rsid w:val="00D22F2F"/>
    <w:rsid w:val="00D24D8E"/>
    <w:rsid w:val="00D25209"/>
    <w:rsid w:val="00D25FF4"/>
    <w:rsid w:val="00D274E2"/>
    <w:rsid w:val="00D27C33"/>
    <w:rsid w:val="00D301A8"/>
    <w:rsid w:val="00D3046D"/>
    <w:rsid w:val="00D308ED"/>
    <w:rsid w:val="00D30A88"/>
    <w:rsid w:val="00D328CB"/>
    <w:rsid w:val="00D33EA0"/>
    <w:rsid w:val="00D35DD9"/>
    <w:rsid w:val="00D36D86"/>
    <w:rsid w:val="00D36E66"/>
    <w:rsid w:val="00D4121E"/>
    <w:rsid w:val="00D42379"/>
    <w:rsid w:val="00D42525"/>
    <w:rsid w:val="00D428AA"/>
    <w:rsid w:val="00D42A73"/>
    <w:rsid w:val="00D43DDC"/>
    <w:rsid w:val="00D50A34"/>
    <w:rsid w:val="00D50A38"/>
    <w:rsid w:val="00D50A78"/>
    <w:rsid w:val="00D51029"/>
    <w:rsid w:val="00D522E0"/>
    <w:rsid w:val="00D53842"/>
    <w:rsid w:val="00D53D0B"/>
    <w:rsid w:val="00D53EFA"/>
    <w:rsid w:val="00D53F2D"/>
    <w:rsid w:val="00D542FB"/>
    <w:rsid w:val="00D55456"/>
    <w:rsid w:val="00D604B9"/>
    <w:rsid w:val="00D60772"/>
    <w:rsid w:val="00D60F71"/>
    <w:rsid w:val="00D62063"/>
    <w:rsid w:val="00D623E4"/>
    <w:rsid w:val="00D62D9E"/>
    <w:rsid w:val="00D6334E"/>
    <w:rsid w:val="00D64DFE"/>
    <w:rsid w:val="00D658C2"/>
    <w:rsid w:val="00D65966"/>
    <w:rsid w:val="00D65D2E"/>
    <w:rsid w:val="00D66B1A"/>
    <w:rsid w:val="00D66FFB"/>
    <w:rsid w:val="00D70245"/>
    <w:rsid w:val="00D70296"/>
    <w:rsid w:val="00D7042E"/>
    <w:rsid w:val="00D72118"/>
    <w:rsid w:val="00D7255C"/>
    <w:rsid w:val="00D7274A"/>
    <w:rsid w:val="00D73461"/>
    <w:rsid w:val="00D761A7"/>
    <w:rsid w:val="00D800B2"/>
    <w:rsid w:val="00D81F9D"/>
    <w:rsid w:val="00D82F17"/>
    <w:rsid w:val="00D835A2"/>
    <w:rsid w:val="00D83A21"/>
    <w:rsid w:val="00D83D1E"/>
    <w:rsid w:val="00D84491"/>
    <w:rsid w:val="00D848B8"/>
    <w:rsid w:val="00D84C1E"/>
    <w:rsid w:val="00D84C2C"/>
    <w:rsid w:val="00D87C3F"/>
    <w:rsid w:val="00D90C92"/>
    <w:rsid w:val="00D9232C"/>
    <w:rsid w:val="00D9304D"/>
    <w:rsid w:val="00D9332E"/>
    <w:rsid w:val="00D93A74"/>
    <w:rsid w:val="00D94A7C"/>
    <w:rsid w:val="00D95896"/>
    <w:rsid w:val="00D972FE"/>
    <w:rsid w:val="00D973CE"/>
    <w:rsid w:val="00DA0234"/>
    <w:rsid w:val="00DA24B8"/>
    <w:rsid w:val="00DA26D9"/>
    <w:rsid w:val="00DA3E93"/>
    <w:rsid w:val="00DA428E"/>
    <w:rsid w:val="00DA4429"/>
    <w:rsid w:val="00DA4F0E"/>
    <w:rsid w:val="00DA6946"/>
    <w:rsid w:val="00DA7707"/>
    <w:rsid w:val="00DB0D42"/>
    <w:rsid w:val="00DB1C43"/>
    <w:rsid w:val="00DB2983"/>
    <w:rsid w:val="00DB3F4E"/>
    <w:rsid w:val="00DB4C1B"/>
    <w:rsid w:val="00DB5E0A"/>
    <w:rsid w:val="00DB69AC"/>
    <w:rsid w:val="00DC0EEC"/>
    <w:rsid w:val="00DC1257"/>
    <w:rsid w:val="00DC19A6"/>
    <w:rsid w:val="00DC379C"/>
    <w:rsid w:val="00DC3DC0"/>
    <w:rsid w:val="00DC40AE"/>
    <w:rsid w:val="00DC5B2B"/>
    <w:rsid w:val="00DC6CF1"/>
    <w:rsid w:val="00DC6DA2"/>
    <w:rsid w:val="00DC7118"/>
    <w:rsid w:val="00DC7367"/>
    <w:rsid w:val="00DD00C6"/>
    <w:rsid w:val="00DD05D7"/>
    <w:rsid w:val="00DD18A5"/>
    <w:rsid w:val="00DD2823"/>
    <w:rsid w:val="00DD318D"/>
    <w:rsid w:val="00DD3202"/>
    <w:rsid w:val="00DD426A"/>
    <w:rsid w:val="00DD454D"/>
    <w:rsid w:val="00DD5169"/>
    <w:rsid w:val="00DD516F"/>
    <w:rsid w:val="00DD6755"/>
    <w:rsid w:val="00DD7847"/>
    <w:rsid w:val="00DD7982"/>
    <w:rsid w:val="00DD7C00"/>
    <w:rsid w:val="00DE019D"/>
    <w:rsid w:val="00DE03AA"/>
    <w:rsid w:val="00DE0837"/>
    <w:rsid w:val="00DE0918"/>
    <w:rsid w:val="00DE1125"/>
    <w:rsid w:val="00DE2728"/>
    <w:rsid w:val="00DE3B4E"/>
    <w:rsid w:val="00DE4F8A"/>
    <w:rsid w:val="00DE5126"/>
    <w:rsid w:val="00DE53E1"/>
    <w:rsid w:val="00DE56F6"/>
    <w:rsid w:val="00DE5E72"/>
    <w:rsid w:val="00DE5E76"/>
    <w:rsid w:val="00DE7873"/>
    <w:rsid w:val="00DF1196"/>
    <w:rsid w:val="00DF192C"/>
    <w:rsid w:val="00DF21D3"/>
    <w:rsid w:val="00DF2E12"/>
    <w:rsid w:val="00DF300A"/>
    <w:rsid w:val="00DF3300"/>
    <w:rsid w:val="00DF3524"/>
    <w:rsid w:val="00DF4F28"/>
    <w:rsid w:val="00DF514A"/>
    <w:rsid w:val="00DF52CC"/>
    <w:rsid w:val="00DF5C1D"/>
    <w:rsid w:val="00DF6690"/>
    <w:rsid w:val="00DF6804"/>
    <w:rsid w:val="00DF6D9D"/>
    <w:rsid w:val="00E0021E"/>
    <w:rsid w:val="00E00696"/>
    <w:rsid w:val="00E0358D"/>
    <w:rsid w:val="00E04323"/>
    <w:rsid w:val="00E04C45"/>
    <w:rsid w:val="00E05131"/>
    <w:rsid w:val="00E070A2"/>
    <w:rsid w:val="00E074EA"/>
    <w:rsid w:val="00E07649"/>
    <w:rsid w:val="00E11651"/>
    <w:rsid w:val="00E1479B"/>
    <w:rsid w:val="00E14A9E"/>
    <w:rsid w:val="00E14C39"/>
    <w:rsid w:val="00E157D3"/>
    <w:rsid w:val="00E17BEF"/>
    <w:rsid w:val="00E17D79"/>
    <w:rsid w:val="00E22491"/>
    <w:rsid w:val="00E24DA2"/>
    <w:rsid w:val="00E2633A"/>
    <w:rsid w:val="00E2655E"/>
    <w:rsid w:val="00E2656A"/>
    <w:rsid w:val="00E26D2E"/>
    <w:rsid w:val="00E271A2"/>
    <w:rsid w:val="00E3002A"/>
    <w:rsid w:val="00E30044"/>
    <w:rsid w:val="00E31ED6"/>
    <w:rsid w:val="00E32C6F"/>
    <w:rsid w:val="00E3395E"/>
    <w:rsid w:val="00E3409A"/>
    <w:rsid w:val="00E35010"/>
    <w:rsid w:val="00E3558E"/>
    <w:rsid w:val="00E36009"/>
    <w:rsid w:val="00E361E0"/>
    <w:rsid w:val="00E37150"/>
    <w:rsid w:val="00E407E8"/>
    <w:rsid w:val="00E40886"/>
    <w:rsid w:val="00E412D0"/>
    <w:rsid w:val="00E4195A"/>
    <w:rsid w:val="00E43058"/>
    <w:rsid w:val="00E4387C"/>
    <w:rsid w:val="00E44D6A"/>
    <w:rsid w:val="00E46596"/>
    <w:rsid w:val="00E50C95"/>
    <w:rsid w:val="00E50CEF"/>
    <w:rsid w:val="00E52265"/>
    <w:rsid w:val="00E52F03"/>
    <w:rsid w:val="00E530EB"/>
    <w:rsid w:val="00E53860"/>
    <w:rsid w:val="00E539DC"/>
    <w:rsid w:val="00E543F2"/>
    <w:rsid w:val="00E56322"/>
    <w:rsid w:val="00E56E8C"/>
    <w:rsid w:val="00E60381"/>
    <w:rsid w:val="00E60770"/>
    <w:rsid w:val="00E60772"/>
    <w:rsid w:val="00E60982"/>
    <w:rsid w:val="00E612BD"/>
    <w:rsid w:val="00E62C62"/>
    <w:rsid w:val="00E63944"/>
    <w:rsid w:val="00E63B08"/>
    <w:rsid w:val="00E63B48"/>
    <w:rsid w:val="00E640DA"/>
    <w:rsid w:val="00E64E1D"/>
    <w:rsid w:val="00E654C1"/>
    <w:rsid w:val="00E65D97"/>
    <w:rsid w:val="00E65E3B"/>
    <w:rsid w:val="00E67B34"/>
    <w:rsid w:val="00E7002C"/>
    <w:rsid w:val="00E70380"/>
    <w:rsid w:val="00E70AFD"/>
    <w:rsid w:val="00E72A5A"/>
    <w:rsid w:val="00E72D1B"/>
    <w:rsid w:val="00E73354"/>
    <w:rsid w:val="00E7406A"/>
    <w:rsid w:val="00E74B09"/>
    <w:rsid w:val="00E750AD"/>
    <w:rsid w:val="00E75782"/>
    <w:rsid w:val="00E75DC5"/>
    <w:rsid w:val="00E7607F"/>
    <w:rsid w:val="00E7629E"/>
    <w:rsid w:val="00E762E5"/>
    <w:rsid w:val="00E77992"/>
    <w:rsid w:val="00E77C1B"/>
    <w:rsid w:val="00E77EC9"/>
    <w:rsid w:val="00E80EC2"/>
    <w:rsid w:val="00E8129D"/>
    <w:rsid w:val="00E82BBA"/>
    <w:rsid w:val="00E83B16"/>
    <w:rsid w:val="00E84FD0"/>
    <w:rsid w:val="00E855B7"/>
    <w:rsid w:val="00E858EE"/>
    <w:rsid w:val="00E87317"/>
    <w:rsid w:val="00E874B5"/>
    <w:rsid w:val="00E87B80"/>
    <w:rsid w:val="00E9242D"/>
    <w:rsid w:val="00E95DD9"/>
    <w:rsid w:val="00EA07A1"/>
    <w:rsid w:val="00EA0855"/>
    <w:rsid w:val="00EA1078"/>
    <w:rsid w:val="00EA1F93"/>
    <w:rsid w:val="00EA26AF"/>
    <w:rsid w:val="00EA3CEB"/>
    <w:rsid w:val="00EA5F0E"/>
    <w:rsid w:val="00EB02F5"/>
    <w:rsid w:val="00EB2442"/>
    <w:rsid w:val="00EB283D"/>
    <w:rsid w:val="00EB2CB1"/>
    <w:rsid w:val="00EB3DB1"/>
    <w:rsid w:val="00EB4705"/>
    <w:rsid w:val="00EB4D74"/>
    <w:rsid w:val="00EB5255"/>
    <w:rsid w:val="00EB5B92"/>
    <w:rsid w:val="00EB5C47"/>
    <w:rsid w:val="00EB66B1"/>
    <w:rsid w:val="00EB66F6"/>
    <w:rsid w:val="00EB69B1"/>
    <w:rsid w:val="00EB6E66"/>
    <w:rsid w:val="00EB75A9"/>
    <w:rsid w:val="00EB7B75"/>
    <w:rsid w:val="00EB7DD4"/>
    <w:rsid w:val="00EC049E"/>
    <w:rsid w:val="00EC0879"/>
    <w:rsid w:val="00EC0E75"/>
    <w:rsid w:val="00EC224A"/>
    <w:rsid w:val="00EC3999"/>
    <w:rsid w:val="00EC7023"/>
    <w:rsid w:val="00EC7829"/>
    <w:rsid w:val="00ED010C"/>
    <w:rsid w:val="00ED0342"/>
    <w:rsid w:val="00ED0639"/>
    <w:rsid w:val="00ED0A85"/>
    <w:rsid w:val="00ED1031"/>
    <w:rsid w:val="00ED1F8C"/>
    <w:rsid w:val="00ED20F8"/>
    <w:rsid w:val="00ED44F9"/>
    <w:rsid w:val="00ED4C21"/>
    <w:rsid w:val="00ED56E1"/>
    <w:rsid w:val="00ED5A30"/>
    <w:rsid w:val="00ED691C"/>
    <w:rsid w:val="00EE1358"/>
    <w:rsid w:val="00EE2412"/>
    <w:rsid w:val="00EE29D9"/>
    <w:rsid w:val="00EE2C7B"/>
    <w:rsid w:val="00EE4FBE"/>
    <w:rsid w:val="00EE69F5"/>
    <w:rsid w:val="00EF0B3F"/>
    <w:rsid w:val="00EF0E73"/>
    <w:rsid w:val="00EF2B9C"/>
    <w:rsid w:val="00EF45C6"/>
    <w:rsid w:val="00EF4755"/>
    <w:rsid w:val="00EF4909"/>
    <w:rsid w:val="00EF4DE7"/>
    <w:rsid w:val="00EF5004"/>
    <w:rsid w:val="00EF632A"/>
    <w:rsid w:val="00EF63E6"/>
    <w:rsid w:val="00EF69A9"/>
    <w:rsid w:val="00EF6B0D"/>
    <w:rsid w:val="00EF7135"/>
    <w:rsid w:val="00F01193"/>
    <w:rsid w:val="00F01E9F"/>
    <w:rsid w:val="00F027DB"/>
    <w:rsid w:val="00F02F78"/>
    <w:rsid w:val="00F03F45"/>
    <w:rsid w:val="00F045C5"/>
    <w:rsid w:val="00F04635"/>
    <w:rsid w:val="00F04CC1"/>
    <w:rsid w:val="00F04F3F"/>
    <w:rsid w:val="00F051BC"/>
    <w:rsid w:val="00F05763"/>
    <w:rsid w:val="00F06D25"/>
    <w:rsid w:val="00F06E14"/>
    <w:rsid w:val="00F079E9"/>
    <w:rsid w:val="00F10502"/>
    <w:rsid w:val="00F11FB8"/>
    <w:rsid w:val="00F1216C"/>
    <w:rsid w:val="00F14A7A"/>
    <w:rsid w:val="00F1549F"/>
    <w:rsid w:val="00F15E14"/>
    <w:rsid w:val="00F166CE"/>
    <w:rsid w:val="00F20497"/>
    <w:rsid w:val="00F205EF"/>
    <w:rsid w:val="00F209B4"/>
    <w:rsid w:val="00F20E0E"/>
    <w:rsid w:val="00F20E91"/>
    <w:rsid w:val="00F220E5"/>
    <w:rsid w:val="00F22985"/>
    <w:rsid w:val="00F2475A"/>
    <w:rsid w:val="00F26AD1"/>
    <w:rsid w:val="00F27551"/>
    <w:rsid w:val="00F30F11"/>
    <w:rsid w:val="00F32709"/>
    <w:rsid w:val="00F3383E"/>
    <w:rsid w:val="00F339D8"/>
    <w:rsid w:val="00F33E01"/>
    <w:rsid w:val="00F36950"/>
    <w:rsid w:val="00F369F0"/>
    <w:rsid w:val="00F36A13"/>
    <w:rsid w:val="00F371F4"/>
    <w:rsid w:val="00F4064A"/>
    <w:rsid w:val="00F40ED7"/>
    <w:rsid w:val="00F40F20"/>
    <w:rsid w:val="00F418E9"/>
    <w:rsid w:val="00F4194E"/>
    <w:rsid w:val="00F4230C"/>
    <w:rsid w:val="00F4280F"/>
    <w:rsid w:val="00F42F4A"/>
    <w:rsid w:val="00F431D7"/>
    <w:rsid w:val="00F43314"/>
    <w:rsid w:val="00F43D51"/>
    <w:rsid w:val="00F4445F"/>
    <w:rsid w:val="00F465A7"/>
    <w:rsid w:val="00F46868"/>
    <w:rsid w:val="00F46EAC"/>
    <w:rsid w:val="00F47158"/>
    <w:rsid w:val="00F50B7C"/>
    <w:rsid w:val="00F50C66"/>
    <w:rsid w:val="00F50EF7"/>
    <w:rsid w:val="00F51AD6"/>
    <w:rsid w:val="00F54762"/>
    <w:rsid w:val="00F5498A"/>
    <w:rsid w:val="00F550E6"/>
    <w:rsid w:val="00F56595"/>
    <w:rsid w:val="00F56DC4"/>
    <w:rsid w:val="00F579D9"/>
    <w:rsid w:val="00F605E6"/>
    <w:rsid w:val="00F61000"/>
    <w:rsid w:val="00F61231"/>
    <w:rsid w:val="00F61C24"/>
    <w:rsid w:val="00F62382"/>
    <w:rsid w:val="00F632DB"/>
    <w:rsid w:val="00F63E88"/>
    <w:rsid w:val="00F64A06"/>
    <w:rsid w:val="00F65089"/>
    <w:rsid w:val="00F654CE"/>
    <w:rsid w:val="00F656FE"/>
    <w:rsid w:val="00F65800"/>
    <w:rsid w:val="00F65C84"/>
    <w:rsid w:val="00F66684"/>
    <w:rsid w:val="00F678F7"/>
    <w:rsid w:val="00F72EAA"/>
    <w:rsid w:val="00F7300F"/>
    <w:rsid w:val="00F73537"/>
    <w:rsid w:val="00F73EC4"/>
    <w:rsid w:val="00F740B3"/>
    <w:rsid w:val="00F74345"/>
    <w:rsid w:val="00F74657"/>
    <w:rsid w:val="00F74AEE"/>
    <w:rsid w:val="00F75CEC"/>
    <w:rsid w:val="00F76473"/>
    <w:rsid w:val="00F76BD8"/>
    <w:rsid w:val="00F77F4B"/>
    <w:rsid w:val="00F8011C"/>
    <w:rsid w:val="00F80A0A"/>
    <w:rsid w:val="00F80D4C"/>
    <w:rsid w:val="00F812D8"/>
    <w:rsid w:val="00F8252A"/>
    <w:rsid w:val="00F82B19"/>
    <w:rsid w:val="00F82B3E"/>
    <w:rsid w:val="00F83D00"/>
    <w:rsid w:val="00F846E9"/>
    <w:rsid w:val="00F84DB1"/>
    <w:rsid w:val="00F85F3B"/>
    <w:rsid w:val="00F87E80"/>
    <w:rsid w:val="00F91CF7"/>
    <w:rsid w:val="00F9212D"/>
    <w:rsid w:val="00F925D3"/>
    <w:rsid w:val="00F936CA"/>
    <w:rsid w:val="00F941E5"/>
    <w:rsid w:val="00F944F2"/>
    <w:rsid w:val="00F94576"/>
    <w:rsid w:val="00F948EF"/>
    <w:rsid w:val="00F95045"/>
    <w:rsid w:val="00F95EA0"/>
    <w:rsid w:val="00F96278"/>
    <w:rsid w:val="00F96420"/>
    <w:rsid w:val="00F964DB"/>
    <w:rsid w:val="00F965DA"/>
    <w:rsid w:val="00F979D5"/>
    <w:rsid w:val="00FA0320"/>
    <w:rsid w:val="00FA0ADE"/>
    <w:rsid w:val="00FA22EC"/>
    <w:rsid w:val="00FA2D01"/>
    <w:rsid w:val="00FA3B47"/>
    <w:rsid w:val="00FA3C25"/>
    <w:rsid w:val="00FA3D3D"/>
    <w:rsid w:val="00FA406A"/>
    <w:rsid w:val="00FA496E"/>
    <w:rsid w:val="00FA4986"/>
    <w:rsid w:val="00FA59A3"/>
    <w:rsid w:val="00FA75E3"/>
    <w:rsid w:val="00FA76D0"/>
    <w:rsid w:val="00FA797E"/>
    <w:rsid w:val="00FB07FF"/>
    <w:rsid w:val="00FB187E"/>
    <w:rsid w:val="00FB1DF9"/>
    <w:rsid w:val="00FB245D"/>
    <w:rsid w:val="00FB2DD2"/>
    <w:rsid w:val="00FB503A"/>
    <w:rsid w:val="00FB516C"/>
    <w:rsid w:val="00FB527A"/>
    <w:rsid w:val="00FB6018"/>
    <w:rsid w:val="00FB6470"/>
    <w:rsid w:val="00FB6877"/>
    <w:rsid w:val="00FB68A9"/>
    <w:rsid w:val="00FB760B"/>
    <w:rsid w:val="00FB78CB"/>
    <w:rsid w:val="00FB7A4A"/>
    <w:rsid w:val="00FB7A79"/>
    <w:rsid w:val="00FC08F1"/>
    <w:rsid w:val="00FC0EFC"/>
    <w:rsid w:val="00FC1C39"/>
    <w:rsid w:val="00FC1CED"/>
    <w:rsid w:val="00FC2313"/>
    <w:rsid w:val="00FC328B"/>
    <w:rsid w:val="00FC407D"/>
    <w:rsid w:val="00FC44A8"/>
    <w:rsid w:val="00FC4853"/>
    <w:rsid w:val="00FC5A84"/>
    <w:rsid w:val="00FC5F05"/>
    <w:rsid w:val="00FC67D4"/>
    <w:rsid w:val="00FC758E"/>
    <w:rsid w:val="00FD0236"/>
    <w:rsid w:val="00FD0994"/>
    <w:rsid w:val="00FD0FD1"/>
    <w:rsid w:val="00FD1316"/>
    <w:rsid w:val="00FD18F4"/>
    <w:rsid w:val="00FD2812"/>
    <w:rsid w:val="00FD355E"/>
    <w:rsid w:val="00FD4151"/>
    <w:rsid w:val="00FD4249"/>
    <w:rsid w:val="00FD54DB"/>
    <w:rsid w:val="00FD619F"/>
    <w:rsid w:val="00FD64C5"/>
    <w:rsid w:val="00FD6EDB"/>
    <w:rsid w:val="00FD76AB"/>
    <w:rsid w:val="00FE19ED"/>
    <w:rsid w:val="00FE1EF5"/>
    <w:rsid w:val="00FE1F93"/>
    <w:rsid w:val="00FE274A"/>
    <w:rsid w:val="00FE2C62"/>
    <w:rsid w:val="00FE339D"/>
    <w:rsid w:val="00FE3471"/>
    <w:rsid w:val="00FE4286"/>
    <w:rsid w:val="00FE56CD"/>
    <w:rsid w:val="00FE5DAD"/>
    <w:rsid w:val="00FE6B5A"/>
    <w:rsid w:val="00FE6DB9"/>
    <w:rsid w:val="00FE70AE"/>
    <w:rsid w:val="00FE70BF"/>
    <w:rsid w:val="00FE71F0"/>
    <w:rsid w:val="00FF0351"/>
    <w:rsid w:val="00FF3738"/>
    <w:rsid w:val="00FF5263"/>
    <w:rsid w:val="00FF7CA6"/>
    <w:rsid w:val="00FF7F33"/>
    <w:rsid w:val="01290F7E"/>
    <w:rsid w:val="015D1E09"/>
    <w:rsid w:val="02697903"/>
    <w:rsid w:val="02C246C1"/>
    <w:rsid w:val="02F96569"/>
    <w:rsid w:val="036F432D"/>
    <w:rsid w:val="03A87ABA"/>
    <w:rsid w:val="03EA7B21"/>
    <w:rsid w:val="05C47FAC"/>
    <w:rsid w:val="05F83EAE"/>
    <w:rsid w:val="063E7D85"/>
    <w:rsid w:val="06E62795"/>
    <w:rsid w:val="07293586"/>
    <w:rsid w:val="07295285"/>
    <w:rsid w:val="07382DFF"/>
    <w:rsid w:val="07636392"/>
    <w:rsid w:val="07770C56"/>
    <w:rsid w:val="086565EB"/>
    <w:rsid w:val="08EF2803"/>
    <w:rsid w:val="092217DD"/>
    <w:rsid w:val="093A7294"/>
    <w:rsid w:val="0A263993"/>
    <w:rsid w:val="0A2D3AC2"/>
    <w:rsid w:val="0A7463EC"/>
    <w:rsid w:val="0AA755DF"/>
    <w:rsid w:val="0B120D44"/>
    <w:rsid w:val="0BBC3DEC"/>
    <w:rsid w:val="0BD27BF6"/>
    <w:rsid w:val="0C3B3C7D"/>
    <w:rsid w:val="0CAB2EAE"/>
    <w:rsid w:val="0D621C7D"/>
    <w:rsid w:val="0E2864C0"/>
    <w:rsid w:val="0E5268D3"/>
    <w:rsid w:val="0E73034D"/>
    <w:rsid w:val="0F13775A"/>
    <w:rsid w:val="0F385B08"/>
    <w:rsid w:val="0F5F45FE"/>
    <w:rsid w:val="0F9A112B"/>
    <w:rsid w:val="106D2F64"/>
    <w:rsid w:val="10B63710"/>
    <w:rsid w:val="10F10820"/>
    <w:rsid w:val="111C2F7A"/>
    <w:rsid w:val="11665CA1"/>
    <w:rsid w:val="13951726"/>
    <w:rsid w:val="14210195"/>
    <w:rsid w:val="14396509"/>
    <w:rsid w:val="14DD2C3C"/>
    <w:rsid w:val="16087E1D"/>
    <w:rsid w:val="17701D14"/>
    <w:rsid w:val="17735226"/>
    <w:rsid w:val="17CE0A24"/>
    <w:rsid w:val="189F624C"/>
    <w:rsid w:val="18EC4A68"/>
    <w:rsid w:val="1A1C66C0"/>
    <w:rsid w:val="1A42393B"/>
    <w:rsid w:val="1AAD45DE"/>
    <w:rsid w:val="1B046F80"/>
    <w:rsid w:val="1B3267B5"/>
    <w:rsid w:val="1B40161D"/>
    <w:rsid w:val="1B441859"/>
    <w:rsid w:val="1B6606B1"/>
    <w:rsid w:val="1B875D3D"/>
    <w:rsid w:val="1C451960"/>
    <w:rsid w:val="1C5E7925"/>
    <w:rsid w:val="1C8B5773"/>
    <w:rsid w:val="1CFD070F"/>
    <w:rsid w:val="1D5F6196"/>
    <w:rsid w:val="1D6132A5"/>
    <w:rsid w:val="1D8E56D5"/>
    <w:rsid w:val="1E7A43DA"/>
    <w:rsid w:val="1FE7539E"/>
    <w:rsid w:val="20671BE0"/>
    <w:rsid w:val="208F283D"/>
    <w:rsid w:val="20963CB8"/>
    <w:rsid w:val="20A81A1B"/>
    <w:rsid w:val="20B07FB6"/>
    <w:rsid w:val="20B646FB"/>
    <w:rsid w:val="213B74B1"/>
    <w:rsid w:val="215A2310"/>
    <w:rsid w:val="21DE318A"/>
    <w:rsid w:val="21EF5B80"/>
    <w:rsid w:val="222F48AE"/>
    <w:rsid w:val="22576990"/>
    <w:rsid w:val="22F47480"/>
    <w:rsid w:val="230F65AE"/>
    <w:rsid w:val="23947B60"/>
    <w:rsid w:val="23DE1C48"/>
    <w:rsid w:val="240210CD"/>
    <w:rsid w:val="241C5AA0"/>
    <w:rsid w:val="24A5461A"/>
    <w:rsid w:val="24BF09F7"/>
    <w:rsid w:val="252D53FE"/>
    <w:rsid w:val="25EC2D81"/>
    <w:rsid w:val="277057A2"/>
    <w:rsid w:val="27D857FF"/>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464D4B"/>
    <w:rsid w:val="329E6876"/>
    <w:rsid w:val="333015F2"/>
    <w:rsid w:val="334B6320"/>
    <w:rsid w:val="33D934D4"/>
    <w:rsid w:val="33FE2F6A"/>
    <w:rsid w:val="340E07E5"/>
    <w:rsid w:val="34235BF7"/>
    <w:rsid w:val="358C5FA8"/>
    <w:rsid w:val="35A3035E"/>
    <w:rsid w:val="35C15DF1"/>
    <w:rsid w:val="36074A7F"/>
    <w:rsid w:val="36923549"/>
    <w:rsid w:val="36B75FBF"/>
    <w:rsid w:val="36BD0C45"/>
    <w:rsid w:val="37B039AC"/>
    <w:rsid w:val="37E00298"/>
    <w:rsid w:val="38B302F9"/>
    <w:rsid w:val="38F12CD3"/>
    <w:rsid w:val="38F94775"/>
    <w:rsid w:val="392971ED"/>
    <w:rsid w:val="39325651"/>
    <w:rsid w:val="3A872856"/>
    <w:rsid w:val="3B3763D1"/>
    <w:rsid w:val="3C2F6E1E"/>
    <w:rsid w:val="3C4F64BA"/>
    <w:rsid w:val="3CD343F1"/>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103237"/>
    <w:rsid w:val="4A5F4BD1"/>
    <w:rsid w:val="4A7B576F"/>
    <w:rsid w:val="4AF561A9"/>
    <w:rsid w:val="4C4A0649"/>
    <w:rsid w:val="4C7E5ECA"/>
    <w:rsid w:val="4C876AA5"/>
    <w:rsid w:val="4CB52206"/>
    <w:rsid w:val="4D0E00FB"/>
    <w:rsid w:val="4D176606"/>
    <w:rsid w:val="4DEC04BB"/>
    <w:rsid w:val="4DEC4FB0"/>
    <w:rsid w:val="4E075D8A"/>
    <w:rsid w:val="4EC00FAD"/>
    <w:rsid w:val="4EEF2E7C"/>
    <w:rsid w:val="4F9843DC"/>
    <w:rsid w:val="4FC62A8C"/>
    <w:rsid w:val="4FE20F0D"/>
    <w:rsid w:val="4FE51552"/>
    <w:rsid w:val="5014405F"/>
    <w:rsid w:val="50504C4B"/>
    <w:rsid w:val="509C6E7C"/>
    <w:rsid w:val="5162104E"/>
    <w:rsid w:val="53A039CC"/>
    <w:rsid w:val="53A1505A"/>
    <w:rsid w:val="54063E08"/>
    <w:rsid w:val="543437E8"/>
    <w:rsid w:val="54D16BBF"/>
    <w:rsid w:val="54F73313"/>
    <w:rsid w:val="54F80955"/>
    <w:rsid w:val="555170A7"/>
    <w:rsid w:val="5587536D"/>
    <w:rsid w:val="558A5005"/>
    <w:rsid w:val="559B174B"/>
    <w:rsid w:val="55CE0CF4"/>
    <w:rsid w:val="56B22A9C"/>
    <w:rsid w:val="57B72A76"/>
    <w:rsid w:val="57C3426C"/>
    <w:rsid w:val="57CE1F93"/>
    <w:rsid w:val="57E65FE3"/>
    <w:rsid w:val="588530AE"/>
    <w:rsid w:val="588743D1"/>
    <w:rsid w:val="5887701A"/>
    <w:rsid w:val="59C0439F"/>
    <w:rsid w:val="5A6006E7"/>
    <w:rsid w:val="5ABE2233"/>
    <w:rsid w:val="5AF377C0"/>
    <w:rsid w:val="5BDF5D95"/>
    <w:rsid w:val="5BFE7528"/>
    <w:rsid w:val="5D31339C"/>
    <w:rsid w:val="5DCB05F7"/>
    <w:rsid w:val="5E2467F1"/>
    <w:rsid w:val="5F1A2B43"/>
    <w:rsid w:val="5FB837BB"/>
    <w:rsid w:val="5FEC1C99"/>
    <w:rsid w:val="60CC405A"/>
    <w:rsid w:val="61E215D8"/>
    <w:rsid w:val="621B3775"/>
    <w:rsid w:val="62364782"/>
    <w:rsid w:val="6394356A"/>
    <w:rsid w:val="63C61B2C"/>
    <w:rsid w:val="63D40BE9"/>
    <w:rsid w:val="64102431"/>
    <w:rsid w:val="64320B49"/>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E97508"/>
    <w:rsid w:val="6FFC5590"/>
    <w:rsid w:val="701B412D"/>
    <w:rsid w:val="706D1DD0"/>
    <w:rsid w:val="70856B87"/>
    <w:rsid w:val="70D527EE"/>
    <w:rsid w:val="715B5300"/>
    <w:rsid w:val="715F47D4"/>
    <w:rsid w:val="71D27F8A"/>
    <w:rsid w:val="72553024"/>
    <w:rsid w:val="73122968"/>
    <w:rsid w:val="731F5D5E"/>
    <w:rsid w:val="73C51AD5"/>
    <w:rsid w:val="741E793C"/>
    <w:rsid w:val="745E3944"/>
    <w:rsid w:val="75D30500"/>
    <w:rsid w:val="7635099D"/>
    <w:rsid w:val="77762421"/>
    <w:rsid w:val="77B56B1F"/>
    <w:rsid w:val="780F09F4"/>
    <w:rsid w:val="78A90480"/>
    <w:rsid w:val="792E265A"/>
    <w:rsid w:val="797E1BA7"/>
    <w:rsid w:val="7A364017"/>
    <w:rsid w:val="7A8265E1"/>
    <w:rsid w:val="7B686D42"/>
    <w:rsid w:val="7B841746"/>
    <w:rsid w:val="7BBA4B0A"/>
    <w:rsid w:val="7C6C5AC7"/>
    <w:rsid w:val="7CB94379"/>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67"/>
    <w:semiHidden/>
    <w:unhideWhenUsed/>
    <w:qFormat/>
    <w:locked/>
    <w:uiPriority w:val="0"/>
    <w:pPr>
      <w:keepNext/>
      <w:keepLines/>
      <w:spacing w:before="260" w:after="260" w:line="416" w:lineRule="auto"/>
      <w:outlineLvl w:val="1"/>
    </w:pPr>
    <w:rPr>
      <w:rFonts w:ascii="Cambria" w:hAnsi="Cambria"/>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link w:val="59"/>
    <w:qFormat/>
    <w:uiPriority w:val="0"/>
    <w:pPr>
      <w:autoSpaceDE w:val="0"/>
      <w:autoSpaceDN w:val="0"/>
      <w:adjustRightInd w:val="0"/>
    </w:pPr>
    <w:rPr>
      <w:rFonts w:ascii="宋体" w:cs="宋体"/>
      <w:sz w:val="24"/>
    </w:rPr>
  </w:style>
  <w:style w:type="paragraph" w:customStyle="1" w:styleId="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5"/>
    <w:next w:val="1"/>
    <w:link w:val="68"/>
    <w:qFormat/>
    <w:locked/>
    <w:uiPriority w:val="0"/>
    <w:pPr>
      <w:ind w:firstLine="420" w:firstLineChars="200"/>
    </w:pPr>
    <w:rPr>
      <w:kern w:val="2"/>
      <w:sz w:val="21"/>
      <w:szCs w:val="24"/>
    </w:rPr>
  </w:style>
  <w:style w:type="paragraph" w:styleId="5">
    <w:name w:val="Body Text Indent"/>
    <w:basedOn w:val="1"/>
    <w:next w:val="6"/>
    <w:link w:val="37"/>
    <w:qFormat/>
    <w:uiPriority w:val="0"/>
    <w:pPr>
      <w:spacing w:after="120"/>
      <w:ind w:left="420" w:leftChars="200"/>
    </w:pPr>
    <w:rPr>
      <w:kern w:val="0"/>
      <w:sz w:val="24"/>
      <w:szCs w:val="20"/>
    </w:rPr>
  </w:style>
  <w:style w:type="paragraph" w:styleId="6">
    <w:name w:val="header"/>
    <w:basedOn w:val="1"/>
    <w:next w:val="7"/>
    <w:link w:val="4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qFormat/>
    <w:uiPriority w:val="0"/>
    <w:pPr>
      <w:widowControl w:val="0"/>
      <w:snapToGrid w:val="0"/>
      <w:spacing w:line="360" w:lineRule="auto"/>
      <w:ind w:firstLine="510"/>
      <w:jc w:val="both"/>
    </w:pPr>
    <w:rPr>
      <w:rFonts w:ascii="Times New Roman" w:hAnsi="Times New Roman" w:eastAsia="宋体" w:cs="Times New Roman"/>
      <w:kern w:val="2"/>
      <w:sz w:val="24"/>
      <w:szCs w:val="24"/>
      <w:lang w:val="en-US" w:eastAsia="zh-CN" w:bidi="ar-SA"/>
    </w:rPr>
  </w:style>
  <w:style w:type="paragraph" w:styleId="10">
    <w:name w:val="table of authorities"/>
    <w:basedOn w:val="1"/>
    <w:next w:val="1"/>
    <w:qFormat/>
    <w:locked/>
    <w:uiPriority w:val="0"/>
    <w:pPr>
      <w:ind w:left="420" w:leftChars="200"/>
    </w:pPr>
  </w:style>
  <w:style w:type="paragraph" w:styleId="11">
    <w:name w:val="Note Heading"/>
    <w:basedOn w:val="1"/>
    <w:next w:val="1"/>
    <w:link w:val="85"/>
    <w:qFormat/>
    <w:locked/>
    <w:uiPriority w:val="99"/>
    <w:pPr>
      <w:jc w:val="center"/>
    </w:pPr>
  </w:style>
  <w:style w:type="paragraph" w:styleId="12">
    <w:name w:val="Normal Indent"/>
    <w:basedOn w:val="1"/>
    <w:link w:val="70"/>
    <w:qFormat/>
    <w:locked/>
    <w:uiPriority w:val="0"/>
    <w:pPr>
      <w:ind w:firstLine="420"/>
    </w:pPr>
    <w:rPr>
      <w:szCs w:val="20"/>
    </w:rPr>
  </w:style>
  <w:style w:type="paragraph" w:styleId="13">
    <w:name w:val="caption"/>
    <w:basedOn w:val="1"/>
    <w:next w:val="1"/>
    <w:link w:val="55"/>
    <w:qFormat/>
    <w:locked/>
    <w:uiPriority w:val="0"/>
    <w:pPr>
      <w:adjustRightInd w:val="0"/>
      <w:snapToGrid w:val="0"/>
      <w:jc w:val="center"/>
    </w:pPr>
    <w:rPr>
      <w:rFonts w:ascii="Calibri" w:hAnsi="Calibri"/>
      <w:b/>
      <w:color w:val="000000"/>
      <w:sz w:val="24"/>
      <w:szCs w:val="21"/>
    </w:rPr>
  </w:style>
  <w:style w:type="paragraph" w:styleId="14">
    <w:name w:val="Document Map"/>
    <w:basedOn w:val="1"/>
    <w:link w:val="69"/>
    <w:qFormat/>
    <w:locked/>
    <w:uiPriority w:val="0"/>
    <w:rPr>
      <w:rFonts w:ascii="宋体"/>
      <w:sz w:val="18"/>
      <w:szCs w:val="18"/>
    </w:rPr>
  </w:style>
  <w:style w:type="paragraph" w:styleId="15">
    <w:name w:val="annotation text"/>
    <w:basedOn w:val="1"/>
    <w:link w:val="47"/>
    <w:semiHidden/>
    <w:qFormat/>
    <w:uiPriority w:val="0"/>
    <w:pPr>
      <w:jc w:val="left"/>
    </w:pPr>
    <w:rPr>
      <w:kern w:val="0"/>
      <w:sz w:val="24"/>
      <w:szCs w:val="20"/>
    </w:rPr>
  </w:style>
  <w:style w:type="paragraph" w:styleId="16">
    <w:name w:val="Body Text"/>
    <w:basedOn w:val="1"/>
    <w:next w:val="17"/>
    <w:link w:val="49"/>
    <w:qFormat/>
    <w:uiPriority w:val="0"/>
    <w:pPr>
      <w:widowControl/>
      <w:snapToGrid w:val="0"/>
      <w:spacing w:before="60" w:after="160" w:line="259" w:lineRule="auto"/>
      <w:ind w:right="113"/>
    </w:pPr>
    <w:rPr>
      <w:kern w:val="0"/>
      <w:sz w:val="18"/>
      <w:szCs w:val="20"/>
    </w:rPr>
  </w:style>
  <w:style w:type="paragraph" w:customStyle="1" w:styleId="17">
    <w:name w:val="xl27"/>
    <w:basedOn w:val="10"/>
    <w:next w:val="18"/>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8">
    <w:name w:val="Body Text Indent 2"/>
    <w:basedOn w:val="1"/>
    <w:link w:val="64"/>
    <w:qFormat/>
    <w:locked/>
    <w:uiPriority w:val="0"/>
    <w:pPr>
      <w:spacing w:after="120" w:line="480" w:lineRule="auto"/>
      <w:ind w:left="420" w:leftChars="200"/>
    </w:pPr>
  </w:style>
  <w:style w:type="paragraph" w:styleId="19">
    <w:name w:val="Date"/>
    <w:basedOn w:val="1"/>
    <w:next w:val="1"/>
    <w:link w:val="35"/>
    <w:qFormat/>
    <w:uiPriority w:val="0"/>
    <w:pPr>
      <w:ind w:left="100" w:leftChars="2500"/>
    </w:pPr>
    <w:rPr>
      <w:kern w:val="0"/>
      <w:sz w:val="24"/>
      <w:szCs w:val="20"/>
    </w:rPr>
  </w:style>
  <w:style w:type="paragraph" w:styleId="20">
    <w:name w:val="Balloon Text"/>
    <w:basedOn w:val="1"/>
    <w:link w:val="43"/>
    <w:semiHidden/>
    <w:qFormat/>
    <w:uiPriority w:val="0"/>
    <w:rPr>
      <w:kern w:val="0"/>
      <w:sz w:val="18"/>
      <w:szCs w:val="20"/>
    </w:rPr>
  </w:style>
  <w:style w:type="paragraph" w:styleId="21">
    <w:name w:val="footer"/>
    <w:basedOn w:val="1"/>
    <w:link w:val="36"/>
    <w:qFormat/>
    <w:uiPriority w:val="99"/>
    <w:pPr>
      <w:tabs>
        <w:tab w:val="center" w:pos="4153"/>
        <w:tab w:val="right" w:pos="8306"/>
      </w:tabs>
      <w:snapToGrid w:val="0"/>
      <w:jc w:val="left"/>
    </w:pPr>
    <w:rPr>
      <w:kern w:val="0"/>
      <w:sz w:val="18"/>
      <w:szCs w:val="20"/>
    </w:rPr>
  </w:style>
  <w:style w:type="paragraph" w:styleId="22">
    <w:name w:val="toc 1"/>
    <w:basedOn w:val="1"/>
    <w:next w:val="1"/>
    <w:qFormat/>
    <w:locked/>
    <w:uiPriority w:val="39"/>
  </w:style>
  <w:style w:type="paragraph" w:styleId="23">
    <w:name w:val="table of figures"/>
    <w:basedOn w:val="1"/>
    <w:next w:val="1"/>
    <w:qFormat/>
    <w:locked/>
    <w:uiPriority w:val="0"/>
    <w:pPr>
      <w:ind w:left="200" w:leftChars="200" w:hanging="200" w:hangingChars="200"/>
    </w:pPr>
  </w:style>
  <w:style w:type="paragraph" w:styleId="24">
    <w:name w:val="Body Text 2"/>
    <w:basedOn w:val="1"/>
    <w:link w:val="82"/>
    <w:qFormat/>
    <w:locked/>
    <w:uiPriority w:val="0"/>
    <w:pPr>
      <w:spacing w:after="120" w:line="480" w:lineRule="auto"/>
    </w:pPr>
  </w:style>
  <w:style w:type="paragraph" w:styleId="25">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5"/>
    <w:next w:val="15"/>
    <w:link w:val="48"/>
    <w:semiHidden/>
    <w:qFormat/>
    <w:uiPriority w:val="0"/>
    <w:rPr>
      <w:b/>
    </w:rPr>
  </w:style>
  <w:style w:type="paragraph" w:styleId="27">
    <w:name w:val="Body Text First Indent"/>
    <w:basedOn w:val="16"/>
    <w:next w:val="5"/>
    <w:link w:val="57"/>
    <w:qFormat/>
    <w:locked/>
    <w:uiPriority w:val="0"/>
    <w:pPr>
      <w:widowControl w:val="0"/>
      <w:snapToGrid/>
      <w:spacing w:before="0" w:after="120" w:line="240" w:lineRule="auto"/>
      <w:ind w:right="0" w:firstLine="420" w:firstLineChars="100"/>
    </w:pPr>
    <w:rPr>
      <w:rFonts w:ascii="Calibri" w:hAnsi="Calibri"/>
      <w:kern w:val="2"/>
      <w:sz w:val="21"/>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locked/>
    <w:uiPriority w:val="0"/>
    <w:rPr>
      <w:b/>
      <w:bCs/>
    </w:rPr>
  </w:style>
  <w:style w:type="character" w:styleId="32">
    <w:name w:val="page number"/>
    <w:basedOn w:val="30"/>
    <w:qFormat/>
    <w:locked/>
    <w:uiPriority w:val="0"/>
  </w:style>
  <w:style w:type="character" w:styleId="33">
    <w:name w:val="Hyperlink"/>
    <w:basedOn w:val="30"/>
    <w:unhideWhenUsed/>
    <w:qFormat/>
    <w:locked/>
    <w:uiPriority w:val="99"/>
    <w:rPr>
      <w:color w:val="0000FF"/>
      <w:u w:val="single"/>
    </w:rPr>
  </w:style>
  <w:style w:type="character" w:styleId="34">
    <w:name w:val="annotation reference"/>
    <w:qFormat/>
    <w:uiPriority w:val="0"/>
    <w:rPr>
      <w:sz w:val="21"/>
    </w:rPr>
  </w:style>
  <w:style w:type="character" w:customStyle="1" w:styleId="35">
    <w:name w:val="日期 Char"/>
    <w:link w:val="19"/>
    <w:qFormat/>
    <w:locked/>
    <w:uiPriority w:val="0"/>
    <w:rPr>
      <w:rFonts w:ascii="Times New Roman" w:hAnsi="Times New Roman" w:eastAsia="宋体"/>
      <w:sz w:val="24"/>
    </w:rPr>
  </w:style>
  <w:style w:type="character" w:customStyle="1" w:styleId="36">
    <w:name w:val="页脚 Char"/>
    <w:link w:val="21"/>
    <w:qFormat/>
    <w:locked/>
    <w:uiPriority w:val="99"/>
    <w:rPr>
      <w:sz w:val="18"/>
    </w:rPr>
  </w:style>
  <w:style w:type="character" w:customStyle="1" w:styleId="37">
    <w:name w:val="正文文本缩进 Char"/>
    <w:link w:val="5"/>
    <w:semiHidden/>
    <w:qFormat/>
    <w:locked/>
    <w:uiPriority w:val="0"/>
    <w:rPr>
      <w:rFonts w:ascii="Times New Roman" w:hAnsi="Times New Roman" w:eastAsia="宋体"/>
      <w:sz w:val="24"/>
    </w:rPr>
  </w:style>
  <w:style w:type="character" w:customStyle="1" w:styleId="38">
    <w:name w:val="普通(网站) Char"/>
    <w:link w:val="25"/>
    <w:qFormat/>
    <w:locked/>
    <w:uiPriority w:val="0"/>
    <w:rPr>
      <w:rFonts w:ascii="宋体" w:hAnsi="宋体"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页眉 Char"/>
    <w:link w:val="6"/>
    <w:qFormat/>
    <w:locked/>
    <w:uiPriority w:val="0"/>
    <w:rPr>
      <w:sz w:val="18"/>
    </w:rPr>
  </w:style>
  <w:style w:type="character" w:customStyle="1" w:styleId="43">
    <w:name w:val="批注框文本 Char"/>
    <w:link w:val="20"/>
    <w:semiHidden/>
    <w:qFormat/>
    <w:locked/>
    <w:uiPriority w:val="0"/>
    <w:rPr>
      <w:rFonts w:ascii="Times New Roman" w:hAnsi="Times New Roman" w:eastAsia="宋体"/>
      <w:sz w:val="18"/>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页脚 字符"/>
    <w:basedOn w:val="30"/>
    <w:qFormat/>
    <w:uiPriority w:val="99"/>
  </w:style>
  <w:style w:type="character" w:customStyle="1" w:styleId="47">
    <w:name w:val="批注文字 Char"/>
    <w:link w:val="15"/>
    <w:qFormat/>
    <w:locked/>
    <w:uiPriority w:val="0"/>
    <w:rPr>
      <w:rFonts w:ascii="Times New Roman" w:hAnsi="Times New Roman" w:eastAsia="宋体"/>
      <w:sz w:val="24"/>
    </w:rPr>
  </w:style>
  <w:style w:type="character" w:customStyle="1" w:styleId="48">
    <w:name w:val="批注主题 Char"/>
    <w:link w:val="26"/>
    <w:semiHidden/>
    <w:qFormat/>
    <w:locked/>
    <w:uiPriority w:val="0"/>
    <w:rPr>
      <w:rFonts w:ascii="Times New Roman" w:hAnsi="Times New Roman" w:eastAsia="宋体"/>
      <w:b/>
      <w:kern w:val="2"/>
      <w:sz w:val="24"/>
    </w:rPr>
  </w:style>
  <w:style w:type="character" w:customStyle="1" w:styleId="49">
    <w:name w:val="正文文本 Char"/>
    <w:link w:val="16"/>
    <w:qFormat/>
    <w:locked/>
    <w:uiPriority w:val="0"/>
    <w:rPr>
      <w:sz w:val="18"/>
    </w:rPr>
  </w:style>
  <w:style w:type="paragraph" w:customStyle="1" w:styleId="5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ENFI正文"/>
    <w:basedOn w:val="1"/>
    <w:qFormat/>
    <w:uiPriority w:val="0"/>
    <w:pPr>
      <w:adjustRightInd w:val="0"/>
      <w:snapToGrid w:val="0"/>
      <w:spacing w:line="400" w:lineRule="exact"/>
      <w:ind w:firstLine="567"/>
    </w:pPr>
    <w:rPr>
      <w:rFonts w:eastAsia="仿宋_GB2312"/>
      <w:color w:val="000000"/>
      <w:sz w:val="24"/>
      <w:szCs w:val="22"/>
    </w:rPr>
  </w:style>
  <w:style w:type="character" w:customStyle="1" w:styleId="53">
    <w:name w:val="正文首行缩进 2 + Times New Roman Char"/>
    <w:link w:val="54"/>
    <w:qFormat/>
    <w:uiPriority w:val="0"/>
    <w:rPr>
      <w:sz w:val="24"/>
    </w:rPr>
  </w:style>
  <w:style w:type="paragraph" w:customStyle="1" w:styleId="54">
    <w:name w:val="正文首行缩进 2 + Times New Roman"/>
    <w:basedOn w:val="1"/>
    <w:link w:val="53"/>
    <w:qFormat/>
    <w:uiPriority w:val="0"/>
    <w:pPr>
      <w:tabs>
        <w:tab w:val="left" w:pos="0"/>
        <w:tab w:val="left" w:pos="870"/>
        <w:tab w:val="left" w:pos="3150"/>
      </w:tabs>
      <w:autoSpaceDE w:val="0"/>
      <w:autoSpaceDN w:val="0"/>
      <w:spacing w:line="360" w:lineRule="auto"/>
      <w:ind w:firstLine="480" w:firstLineChars="200"/>
    </w:pPr>
    <w:rPr>
      <w:kern w:val="0"/>
      <w:sz w:val="24"/>
      <w:szCs w:val="20"/>
    </w:rPr>
  </w:style>
  <w:style w:type="character" w:customStyle="1" w:styleId="55">
    <w:name w:val="题注 Char"/>
    <w:link w:val="13"/>
    <w:qFormat/>
    <w:uiPriority w:val="0"/>
    <w:rPr>
      <w:rFonts w:ascii="Calibri" w:hAnsi="Calibri"/>
      <w:b/>
      <w:color w:val="000000"/>
      <w:kern w:val="2"/>
      <w:sz w:val="24"/>
      <w:szCs w:val="21"/>
    </w:rPr>
  </w:style>
  <w:style w:type="paragraph" w:customStyle="1" w:styleId="56">
    <w:name w:val="Char Char Char Char Char Char Char Char Char Char Char Char"/>
    <w:basedOn w:val="1"/>
    <w:qFormat/>
    <w:uiPriority w:val="0"/>
  </w:style>
  <w:style w:type="character" w:customStyle="1" w:styleId="57">
    <w:name w:val="正文首行缩进 Char"/>
    <w:link w:val="27"/>
    <w:qFormat/>
    <w:uiPriority w:val="0"/>
    <w:rPr>
      <w:rFonts w:ascii="Calibri" w:hAnsi="Calibri"/>
      <w:kern w:val="2"/>
      <w:sz w:val="21"/>
      <w:szCs w:val="24"/>
    </w:rPr>
  </w:style>
  <w:style w:type="paragraph" w:customStyle="1" w:styleId="58">
    <w:name w:val="特殊标题３"/>
    <w:basedOn w:val="1"/>
    <w:qFormat/>
    <w:uiPriority w:val="0"/>
    <w:pPr>
      <w:overflowPunct w:val="0"/>
      <w:autoSpaceDE w:val="0"/>
      <w:autoSpaceDN w:val="0"/>
      <w:spacing w:line="360" w:lineRule="auto"/>
    </w:pPr>
    <w:rPr>
      <w:rFonts w:eastAsia="仿宋_GB2312"/>
      <w:sz w:val="28"/>
    </w:rPr>
  </w:style>
  <w:style w:type="character" w:customStyle="1" w:styleId="59">
    <w:name w:val="Default Char"/>
    <w:link w:val="2"/>
    <w:qFormat/>
    <w:uiPriority w:val="0"/>
    <w:rPr>
      <w:rFonts w:ascii="宋体" w:cs="宋体"/>
      <w:color w:val="000000"/>
      <w:sz w:val="24"/>
      <w:szCs w:val="24"/>
    </w:rPr>
  </w:style>
  <w:style w:type="character" w:customStyle="1" w:styleId="60">
    <w:name w:val="表格的字 Char"/>
    <w:link w:val="61"/>
    <w:qFormat/>
    <w:uiPriority w:val="0"/>
    <w:rPr>
      <w:szCs w:val="21"/>
    </w:rPr>
  </w:style>
  <w:style w:type="paragraph" w:customStyle="1" w:styleId="61">
    <w:name w:val="表格的字"/>
    <w:next w:val="1"/>
    <w:link w:val="60"/>
    <w:qFormat/>
    <w:uiPriority w:val="0"/>
    <w:pPr>
      <w:jc w:val="center"/>
    </w:pPr>
    <w:rPr>
      <w:rFonts w:ascii="Times New Roman" w:hAnsi="Times New Roman" w:eastAsia="宋体" w:cs="Times New Roman"/>
      <w:szCs w:val="21"/>
      <w:lang w:val="en-US" w:eastAsia="zh-CN" w:bidi="ar-SA"/>
    </w:rPr>
  </w:style>
  <w:style w:type="table" w:customStyle="1" w:styleId="62">
    <w:name w:val="(环评报告表）1"/>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3">
    <w:name w:val="List Paragraph"/>
    <w:basedOn w:val="1"/>
    <w:qFormat/>
    <w:uiPriority w:val="34"/>
    <w:pPr>
      <w:ind w:firstLine="420" w:firstLineChars="200"/>
    </w:pPr>
    <w:rPr>
      <w:rFonts w:ascii="Calibri" w:hAnsi="Calibri" w:eastAsia="等线"/>
    </w:rPr>
  </w:style>
  <w:style w:type="character" w:customStyle="1" w:styleId="64">
    <w:name w:val="正文文本缩进 2 Char"/>
    <w:link w:val="18"/>
    <w:qFormat/>
    <w:uiPriority w:val="0"/>
    <w:rPr>
      <w:kern w:val="2"/>
      <w:sz w:val="21"/>
      <w:szCs w:val="24"/>
    </w:rPr>
  </w:style>
  <w:style w:type="paragraph" w:customStyle="1" w:styleId="65">
    <w:name w:val="表格文字"/>
    <w:basedOn w:val="1"/>
    <w:link w:val="66"/>
    <w:qFormat/>
    <w:uiPriority w:val="0"/>
    <w:pPr>
      <w:widowControl/>
      <w:adjustRightInd w:val="0"/>
      <w:snapToGrid w:val="0"/>
      <w:jc w:val="center"/>
    </w:pPr>
    <w:rPr>
      <w:kern w:val="0"/>
      <w:sz w:val="20"/>
      <w:szCs w:val="20"/>
    </w:rPr>
  </w:style>
  <w:style w:type="character" w:customStyle="1" w:styleId="66">
    <w:name w:val="表格文字 Char"/>
    <w:link w:val="65"/>
    <w:qFormat/>
    <w:uiPriority w:val="99"/>
  </w:style>
  <w:style w:type="character" w:customStyle="1" w:styleId="67">
    <w:name w:val="标题 2 Char"/>
    <w:link w:val="9"/>
    <w:semiHidden/>
    <w:qFormat/>
    <w:uiPriority w:val="0"/>
    <w:rPr>
      <w:rFonts w:ascii="Cambria" w:hAnsi="Cambria" w:eastAsia="宋体" w:cs="Times New Roman"/>
      <w:b/>
      <w:bCs/>
      <w:kern w:val="2"/>
      <w:sz w:val="32"/>
      <w:szCs w:val="32"/>
    </w:rPr>
  </w:style>
  <w:style w:type="character" w:customStyle="1" w:styleId="68">
    <w:name w:val="正文首行缩进 2 Char"/>
    <w:link w:val="4"/>
    <w:qFormat/>
    <w:uiPriority w:val="0"/>
    <w:rPr>
      <w:rFonts w:ascii="Times New Roman" w:hAnsi="Times New Roman" w:eastAsia="宋体"/>
      <w:kern w:val="2"/>
      <w:sz w:val="21"/>
      <w:szCs w:val="24"/>
    </w:rPr>
  </w:style>
  <w:style w:type="character" w:customStyle="1" w:styleId="69">
    <w:name w:val="文档结构图 Char"/>
    <w:basedOn w:val="30"/>
    <w:link w:val="14"/>
    <w:qFormat/>
    <w:uiPriority w:val="0"/>
    <w:rPr>
      <w:rFonts w:ascii="宋体"/>
      <w:kern w:val="2"/>
      <w:sz w:val="18"/>
      <w:szCs w:val="18"/>
    </w:rPr>
  </w:style>
  <w:style w:type="character" w:customStyle="1" w:styleId="70">
    <w:name w:val="正文缩进 Char"/>
    <w:link w:val="12"/>
    <w:qFormat/>
    <w:locked/>
    <w:uiPriority w:val="0"/>
    <w:rPr>
      <w:kern w:val="2"/>
      <w:sz w:val="21"/>
    </w:rPr>
  </w:style>
  <w:style w:type="paragraph" w:customStyle="1" w:styleId="71">
    <w:name w:val="Char"/>
    <w:basedOn w:val="1"/>
    <w:qFormat/>
    <w:uiPriority w:val="0"/>
    <w:pPr>
      <w:spacing w:line="360" w:lineRule="auto"/>
    </w:pPr>
    <w:rPr>
      <w:rFonts w:ascii="宋体" w:hAnsi="宋体" w:cs="宋体"/>
      <w:spacing w:val="-10"/>
      <w:sz w:val="24"/>
      <w:szCs w:val="21"/>
    </w:rPr>
  </w:style>
  <w:style w:type="paragraph" w:customStyle="1" w:styleId="72">
    <w:name w:val="Table Paragraph"/>
    <w:basedOn w:val="1"/>
    <w:qFormat/>
    <w:uiPriority w:val="1"/>
    <w:pPr>
      <w:spacing w:line="360" w:lineRule="auto"/>
    </w:pPr>
    <w:rPr>
      <w:rFonts w:ascii="宋体" w:hAnsi="宋体" w:cs="宋体"/>
      <w:sz w:val="24"/>
      <w:szCs w:val="20"/>
    </w:rPr>
  </w:style>
  <w:style w:type="character" w:customStyle="1" w:styleId="73">
    <w:name w:val="题注 Char1"/>
    <w:qFormat/>
    <w:uiPriority w:val="0"/>
    <w:rPr>
      <w:rFonts w:ascii="Calibri" w:hAnsi="Calibri"/>
      <w:b/>
      <w:color w:val="000000"/>
      <w:kern w:val="2"/>
      <w:sz w:val="24"/>
      <w:szCs w:val="21"/>
    </w:rPr>
  </w:style>
  <w:style w:type="paragraph" w:customStyle="1" w:styleId="74">
    <w:name w:val="表文"/>
    <w:basedOn w:val="1"/>
    <w:qFormat/>
    <w:uiPriority w:val="0"/>
    <w:pPr>
      <w:tabs>
        <w:tab w:val="left" w:pos="1021"/>
      </w:tabs>
      <w:jc w:val="center"/>
    </w:pPr>
    <w:rPr>
      <w:kern w:val="0"/>
      <w:position w:val="-23"/>
      <w:szCs w:val="21"/>
    </w:rPr>
  </w:style>
  <w:style w:type="character" w:styleId="75">
    <w:name w:val="Placeholder Text"/>
    <w:basedOn w:val="30"/>
    <w:unhideWhenUsed/>
    <w:qFormat/>
    <w:uiPriority w:val="99"/>
    <w:rPr>
      <w:color w:val="808080"/>
    </w:rPr>
  </w:style>
  <w:style w:type="paragraph" w:customStyle="1" w:styleId="76">
    <w:name w:val="环评正文"/>
    <w:basedOn w:val="1"/>
    <w:qFormat/>
    <w:uiPriority w:val="0"/>
    <w:pPr>
      <w:spacing w:beforeLines="30" w:line="360" w:lineRule="auto"/>
      <w:ind w:firstLine="480" w:firstLineChars="200"/>
    </w:pPr>
    <w:rPr>
      <w:kern w:val="0"/>
      <w:sz w:val="24"/>
      <w:szCs w:val="20"/>
    </w:rPr>
  </w:style>
  <w:style w:type="paragraph" w:customStyle="1" w:styleId="77">
    <w:name w:val="B-表头"/>
    <w:basedOn w:val="1"/>
    <w:qFormat/>
    <w:uiPriority w:val="0"/>
    <w:pPr>
      <w:keepNext/>
      <w:spacing w:beforeLines="25" w:afterLines="25"/>
      <w:jc w:val="center"/>
    </w:pPr>
    <w:rPr>
      <w:b/>
      <w:sz w:val="24"/>
    </w:rPr>
  </w:style>
  <w:style w:type="paragraph" w:customStyle="1" w:styleId="78">
    <w:name w:val="表头2"/>
    <w:basedOn w:val="1"/>
    <w:qFormat/>
    <w:uiPriority w:val="0"/>
    <w:pPr>
      <w:spacing w:beforeLines="50" w:afterLines="50"/>
      <w:jc w:val="center"/>
    </w:pPr>
    <w:rPr>
      <w:b/>
      <w:bCs/>
      <w:szCs w:val="21"/>
    </w:rPr>
  </w:style>
  <w:style w:type="paragraph" w:customStyle="1" w:styleId="79">
    <w:name w:val="样式9"/>
    <w:basedOn w:val="1"/>
    <w:qFormat/>
    <w:uiPriority w:val="0"/>
    <w:pPr>
      <w:adjustRightInd w:val="0"/>
      <w:snapToGrid w:val="0"/>
      <w:spacing w:line="460" w:lineRule="exact"/>
      <w:ind w:firstLine="520"/>
    </w:pPr>
    <w:rPr>
      <w:sz w:val="26"/>
      <w:szCs w:val="26"/>
    </w:rPr>
  </w:style>
  <w:style w:type="character" w:customStyle="1" w:styleId="80">
    <w:name w:val="NormalCharacter"/>
    <w:qFormat/>
    <w:uiPriority w:val="0"/>
  </w:style>
  <w:style w:type="character" w:customStyle="1" w:styleId="81">
    <w:name w:val="ref"/>
    <w:basedOn w:val="30"/>
    <w:qFormat/>
    <w:uiPriority w:val="0"/>
  </w:style>
  <w:style w:type="character" w:customStyle="1" w:styleId="82">
    <w:name w:val="正文文本 2 Char"/>
    <w:basedOn w:val="30"/>
    <w:link w:val="24"/>
    <w:qFormat/>
    <w:uiPriority w:val="0"/>
    <w:rPr>
      <w:kern w:val="2"/>
      <w:sz w:val="21"/>
      <w:szCs w:val="24"/>
    </w:rPr>
  </w:style>
  <w:style w:type="paragraph" w:customStyle="1" w:styleId="83">
    <w:name w:val="表文字"/>
    <w:basedOn w:val="1"/>
    <w:qFormat/>
    <w:uiPriority w:val="0"/>
    <w:pPr>
      <w:overflowPunct w:val="0"/>
      <w:autoSpaceDE w:val="0"/>
      <w:autoSpaceDN w:val="0"/>
      <w:adjustRightInd w:val="0"/>
      <w:spacing w:line="240" w:lineRule="atLeast"/>
      <w:textAlignment w:val="baseline"/>
    </w:pPr>
    <w:rPr>
      <w:sz w:val="24"/>
      <w:szCs w:val="20"/>
    </w:rPr>
  </w:style>
  <w:style w:type="paragraph" w:customStyle="1" w:styleId="84">
    <w:name w:val="表图标题"/>
    <w:basedOn w:val="1"/>
    <w:next w:val="1"/>
    <w:qFormat/>
    <w:uiPriority w:val="0"/>
    <w:pPr>
      <w:spacing w:line="360" w:lineRule="auto"/>
      <w:jc w:val="center"/>
    </w:pPr>
    <w:rPr>
      <w:rFonts w:eastAsia="黑体"/>
      <w:b/>
      <w:bCs/>
      <w:kern w:val="0"/>
      <w:sz w:val="24"/>
    </w:rPr>
  </w:style>
  <w:style w:type="character" w:customStyle="1" w:styleId="85">
    <w:name w:val="注释标题 Char"/>
    <w:basedOn w:val="30"/>
    <w:link w:val="11"/>
    <w:qFormat/>
    <w:uiPriority w:val="99"/>
    <w:rPr>
      <w:kern w:val="2"/>
      <w:sz w:val="21"/>
      <w:szCs w:val="24"/>
    </w:rPr>
  </w:style>
  <w:style w:type="character" w:customStyle="1" w:styleId="86">
    <w:name w:val="fontstyle01"/>
    <w:basedOn w:val="30"/>
    <w:qFormat/>
    <w:uiPriority w:val="0"/>
    <w:rPr>
      <w:rFonts w:hint="eastAsia" w:ascii="宋体" w:hAnsi="宋体" w:eastAsia="宋体"/>
      <w:color w:val="000000"/>
      <w:sz w:val="24"/>
      <w:szCs w:val="24"/>
    </w:rPr>
  </w:style>
  <w:style w:type="character" w:customStyle="1" w:styleId="87">
    <w:name w:val="fontstyle11"/>
    <w:basedOn w:val="30"/>
    <w:qFormat/>
    <w:uiPriority w:val="0"/>
    <w:rPr>
      <w:rFonts w:hint="eastAsia" w:ascii="TimesNewRomanPSMT" w:hAnsi="TimesNewRomanPSMT" w:eastAsia="TimesNewRomanPSMT"/>
      <w:color w:val="000000"/>
      <w:sz w:val="24"/>
      <w:szCs w:val="24"/>
    </w:rPr>
  </w:style>
  <w:style w:type="character" w:customStyle="1" w:styleId="88">
    <w:name w:val="fontstyle21"/>
    <w:basedOn w:val="30"/>
    <w:qFormat/>
    <w:uiPriority w:val="0"/>
    <w:rPr>
      <w:rFonts w:hint="eastAsia" w:ascii="TimesNewRomanPSMT" w:hAnsi="TimesNewRomanPSMT" w:eastAsia="TimesNewRomanPSMT"/>
      <w:color w:val="000000"/>
      <w:sz w:val="24"/>
      <w:szCs w:val="24"/>
    </w:rPr>
  </w:style>
  <w:style w:type="paragraph" w:customStyle="1" w:styleId="89">
    <w:name w:val="四级条标题"/>
    <w:basedOn w:val="1"/>
    <w:next w:val="1"/>
    <w:qFormat/>
    <w:uiPriority w:val="0"/>
    <w:pPr>
      <w:widowControl/>
      <w:tabs>
        <w:tab w:val="left" w:pos="360"/>
      </w:tabs>
      <w:outlineLvl w:val="5"/>
    </w:pPr>
    <w:rPr>
      <w:rFonts w:ascii="黑体" w:eastAsia="黑体"/>
      <w:b/>
      <w:bCs/>
      <w:kern w:val="0"/>
      <w:sz w:val="32"/>
      <w:szCs w:val="20"/>
    </w:rPr>
  </w:style>
  <w:style w:type="paragraph" w:customStyle="1" w:styleId="90">
    <w:name w:val="样式6565656"/>
    <w:basedOn w:val="1"/>
    <w:link w:val="91"/>
    <w:qFormat/>
    <w:uiPriority w:val="0"/>
    <w:pPr>
      <w:adjustRightInd w:val="0"/>
      <w:snapToGrid w:val="0"/>
      <w:spacing w:line="460" w:lineRule="atLeast"/>
      <w:ind w:firstLine="480" w:firstLineChars="200"/>
      <w:jc w:val="left"/>
    </w:pPr>
    <w:rPr>
      <w:rFonts w:hAnsi="宋体"/>
      <w:bCs/>
      <w:sz w:val="24"/>
    </w:rPr>
  </w:style>
  <w:style w:type="character" w:customStyle="1" w:styleId="91">
    <w:name w:val="样式6565656 Char"/>
    <w:link w:val="90"/>
    <w:qFormat/>
    <w:uiPriority w:val="0"/>
    <w:rPr>
      <w:rFonts w:hAnsi="宋体"/>
      <w:bCs/>
      <w:kern w:val="2"/>
      <w:sz w:val="24"/>
      <w:szCs w:val="24"/>
    </w:rPr>
  </w:style>
  <w:style w:type="paragraph" w:customStyle="1" w:styleId="92">
    <w:name w:val="正本文字"/>
    <w:basedOn w:val="1"/>
    <w:qFormat/>
    <w:uiPriority w:val="0"/>
    <w:pPr>
      <w:adjustRightInd w:val="0"/>
      <w:snapToGrid w:val="0"/>
      <w:spacing w:line="360" w:lineRule="auto"/>
      <w:ind w:firstLine="480" w:firstLineChars="200"/>
      <w:jc w:val="left"/>
    </w:pPr>
    <w:rPr>
      <w:kern w:val="18"/>
      <w:sz w:val="24"/>
      <w:szCs w:val="20"/>
    </w:rPr>
  </w:style>
  <w:style w:type="character" w:customStyle="1" w:styleId="93">
    <w:name w:val="content1"/>
    <w:qFormat/>
    <w:uiPriority w:val="0"/>
    <w:rPr>
      <w:color w:val="000000"/>
      <w:sz w:val="20"/>
      <w:szCs w:val="20"/>
    </w:rPr>
  </w:style>
  <w:style w:type="paragraph" w:customStyle="1" w:styleId="94">
    <w:name w:val="YH正文"/>
    <w:basedOn w:val="1"/>
    <w:qFormat/>
    <w:uiPriority w:val="0"/>
    <w:pPr>
      <w:snapToGrid w:val="0"/>
      <w:spacing w:line="360" w:lineRule="auto"/>
      <w:ind w:firstLine="1044" w:firstLineChars="200"/>
    </w:pPr>
    <w:rPr>
      <w:sz w:val="24"/>
    </w:rPr>
  </w:style>
  <w:style w:type="paragraph" w:customStyle="1" w:styleId="95">
    <w:name w:val="BG"/>
    <w:basedOn w:val="1"/>
    <w:unhideWhenUsed/>
    <w:qFormat/>
    <w:uiPriority w:val="99"/>
    <w:pPr>
      <w:snapToGrid w:val="0"/>
      <w:jc w:val="center"/>
    </w:pPr>
  </w:style>
  <w:style w:type="paragraph" w:customStyle="1" w:styleId="96">
    <w:name w:val="【表格内】"/>
    <w:next w:val="27"/>
    <w:qFormat/>
    <w:uiPriority w:val="0"/>
    <w:pPr>
      <w:jc w:val="center"/>
    </w:pPr>
    <w:rPr>
      <w:rFonts w:ascii="Times New Roman" w:hAnsi="Times New Roman" w:eastAsia="宋体" w:cs="Times New Roman"/>
      <w:sz w:val="21"/>
      <w:szCs w:val="24"/>
      <w:lang w:val="en-US" w:eastAsia="zh-CN" w:bidi="ar-SA"/>
    </w:rPr>
  </w:style>
  <w:style w:type="paragraph" w:customStyle="1" w:styleId="97">
    <w:name w:val="WPS Plain"/>
    <w:qFormat/>
    <w:uiPriority w:val="0"/>
    <w:rPr>
      <w:rFonts w:ascii="Times New Roman" w:hAnsi="Times New Roman" w:eastAsia="宋体" w:cs="Times New Roman"/>
      <w:sz w:val="21"/>
      <w:szCs w:val="22"/>
      <w:lang w:val="en-US" w:eastAsia="zh-CN" w:bidi="ar-SA"/>
    </w:rPr>
  </w:style>
  <w:style w:type="paragraph" w:customStyle="1" w:styleId="98">
    <w:name w:val="HJ-正文"/>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99">
    <w:name w:val="表正文"/>
    <w:basedOn w:val="1"/>
    <w:qFormat/>
    <w:uiPriority w:val="0"/>
    <w:pPr>
      <w:wordWrap w:val="0"/>
      <w:spacing w:line="360" w:lineRule="auto"/>
      <w:ind w:firstLine="200" w:firstLineChars="200"/>
    </w:pPr>
    <w:rPr>
      <w:kern w:val="0"/>
      <w:sz w:val="24"/>
      <w:szCs w:val="21"/>
    </w:rPr>
  </w:style>
  <w:style w:type="paragraph" w:customStyle="1" w:styleId="100">
    <w:name w:val="Char Char Char Char Char Char Char Char Char Char Char Char1 Char Char Char Char"/>
    <w:basedOn w:val="1"/>
    <w:qFormat/>
    <w:uiPriority w:val="0"/>
    <w:pPr>
      <w:spacing w:line="360" w:lineRule="auto"/>
      <w:ind w:firstLine="200" w:firstLineChars="200"/>
    </w:pPr>
    <w:rPr>
      <w:rFonts w:ascii="宋体" w:hAnsi="宋体" w:cs="宋体"/>
      <w:sz w:val="24"/>
      <w:szCs w:val="20"/>
    </w:rPr>
  </w:style>
  <w:style w:type="paragraph" w:customStyle="1" w:styleId="101">
    <w:name w:val="表格标题"/>
    <w:basedOn w:val="27"/>
    <w:qFormat/>
    <w:uiPriority w:val="0"/>
    <w:pPr>
      <w:adjustRightInd w:val="0"/>
      <w:snapToGrid w:val="0"/>
      <w:spacing w:after="0" w:line="360" w:lineRule="auto"/>
      <w:ind w:firstLine="0" w:firstLineChars="0"/>
      <w:jc w:val="center"/>
    </w:pPr>
    <w:rPr>
      <w:rFonts w:ascii="Times New Roman" w:hAnsi="Times New Roman" w:eastAsia="黑体"/>
      <w:sz w:val="24"/>
    </w:rPr>
  </w:style>
  <w:style w:type="paragraph" w:customStyle="1" w:styleId="102">
    <w:name w:val="A表格和图"/>
    <w:next w:val="1"/>
    <w:autoRedefine/>
    <w:qFormat/>
    <w:uiPriority w:val="0"/>
    <w:pPr>
      <w:spacing w:line="360" w:lineRule="auto"/>
      <w:jc w:val="center"/>
    </w:pPr>
    <w:rPr>
      <w:rFonts w:ascii="Times New Roman" w:hAnsi="Times New Roman" w:eastAsia="宋体" w:cs="Times New Roman"/>
      <w:bCs/>
      <w:kern w:val="2"/>
      <w:sz w:val="24"/>
      <w:szCs w:val="36"/>
      <w:lang w:val="en-US" w:eastAsia="zh-CN" w:bidi="ar-SA"/>
    </w:rPr>
  </w:style>
  <w:style w:type="paragraph" w:customStyle="1" w:styleId="103">
    <w:name w:val="Table Text"/>
    <w:basedOn w:val="1"/>
    <w:autoRedefine/>
    <w:semiHidden/>
    <w:qFormat/>
    <w:uiPriority w:val="0"/>
    <w:rPr>
      <w:rFonts w:ascii="宋体" w:hAnsi="宋体" w:cs="宋体"/>
      <w:sz w:val="20"/>
      <w:szCs w:val="20"/>
      <w:lang w:eastAsia="en-US"/>
    </w:rPr>
  </w:style>
  <w:style w:type="paragraph" w:customStyle="1" w:styleId="104">
    <w:name w:val="报告正文"/>
    <w:basedOn w:val="12"/>
    <w:link w:val="105"/>
    <w:qFormat/>
    <w:uiPriority w:val="0"/>
    <w:pPr>
      <w:adjustRightInd w:val="0"/>
      <w:spacing w:line="360" w:lineRule="auto"/>
      <w:ind w:firstLine="720" w:firstLineChars="200"/>
      <w:jc w:val="left"/>
      <w:textAlignment w:val="baseline"/>
    </w:pPr>
    <w:rPr>
      <w:sz w:val="24"/>
    </w:rPr>
  </w:style>
  <w:style w:type="character" w:customStyle="1" w:styleId="105">
    <w:name w:val="报告正文 Char"/>
    <w:link w:val="104"/>
    <w:qFormat/>
    <w:uiPriority w:val="0"/>
    <w:rPr>
      <w:kern w:val="2"/>
      <w:sz w:val="24"/>
    </w:rPr>
  </w:style>
</w:styles>
</file>

<file path=word/_rels/document.xml.rels><?xml version="1.0" encoding="UTF-8" standalone="yes"?>
<Relationships xmlns="http://schemas.openxmlformats.org/package/2006/relationships"><Relationship Id="rId9" Type="http://schemas.openxmlformats.org/officeDocument/2006/relationships/package" Target="embeddings/Microsoft_Visio___1.vsdx"/><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package" Target="embeddings/Microsoft_Visio___2.vsdx"/><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5F737-2F6A-40F2-9C18-7707DF10B8B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117</Words>
  <Characters>143</Characters>
  <Lines>422</Lines>
  <Paragraphs>118</Paragraphs>
  <TotalTime>2</TotalTime>
  <ScaleCrop>false</ScaleCrop>
  <LinksUpToDate>false</LinksUpToDate>
  <CharactersWithSpaces>173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2022-07-03T22:17:00Z</dcterms:created>
  <dc:creator>lhj</dc:creator>
  <cp:lastModifiedBy>yan</cp:lastModifiedBy>
  <cp:lastPrinted>2026-03-24T12:38:00Z</cp:lastPrinted>
  <dcterms:modified xsi:type="dcterms:W3CDTF">2026-04-17T03:47:10Z</dcterms:modified>
  <dc:title>附件2</dc:title>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eyJoZGlkIjoiYzViZWZkZGVjYWNjNjc4MzM0NWQ3MDdmYTYzZDAxOWIiLCJ1c2VySWQiOiIzMzc5MTM0MzcifQ==</vt:lpwstr>
  </property>
  <property fmtid="{D5CDD505-2E9C-101B-9397-08002B2CF9AE}" pid="4" name="ICV">
    <vt:lpwstr>3C7BE7B44F9F4C7484791040A2C7AC66_13</vt:lpwstr>
  </property>
</Properties>
</file>