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0"/>
        <w:jc w:val="center"/>
        <w:rPr>
          <w:rFonts w:ascii="黑体" w:hAnsi="黑体" w:eastAsia="黑体"/>
          <w:sz w:val="52"/>
          <w:szCs w:val="52"/>
        </w:rPr>
      </w:pPr>
    </w:p>
    <w:p>
      <w:pPr>
        <w:ind w:firstLine="1040"/>
        <w:jc w:val="center"/>
        <w:rPr>
          <w:rFonts w:ascii="黑体" w:hAnsi="黑体" w:eastAsia="黑体"/>
          <w:sz w:val="52"/>
          <w:szCs w:val="52"/>
        </w:rPr>
      </w:pPr>
      <w:bookmarkStart w:id="88" w:name="_GoBack"/>
      <w:r>
        <w:rPr>
          <w:rFonts w:hint="eastAsia" w:ascii="黑体" w:hAnsi="黑体" w:eastAsia="黑体"/>
          <w:sz w:val="52"/>
          <w:szCs w:val="52"/>
        </w:rPr>
        <w:t>绩效评价报告</w:t>
      </w:r>
    </w:p>
    <w:p>
      <w:pPr>
        <w:ind w:firstLine="640"/>
      </w:pPr>
    </w:p>
    <w:p>
      <w:pPr>
        <w:ind w:firstLine="640"/>
        <w:jc w:val="center"/>
      </w:pPr>
    </w:p>
    <w:p>
      <w:pPr>
        <w:ind w:firstLine="640"/>
        <w:jc w:val="center"/>
      </w:pPr>
    </w:p>
    <w:p>
      <w:pPr>
        <w:ind w:firstLine="640"/>
        <w:jc w:val="center"/>
        <w:rPr>
          <w:rFonts w:hint="eastAsia" w:eastAsia="仿宋"/>
          <w:lang w:val="en-US" w:eastAsia="zh-CN"/>
        </w:rPr>
      </w:pPr>
      <w:r>
        <w:rPr>
          <w:rFonts w:hint="eastAsia"/>
          <w:lang w:val="en-US" w:eastAsia="zh-CN"/>
        </w:rPr>
        <w:t>衡山县医疗保障局</w:t>
      </w:r>
    </w:p>
    <w:bookmarkEnd w:id="88"/>
    <w:p>
      <w:pPr>
        <w:ind w:firstLine="640"/>
      </w:pPr>
    </w:p>
    <w:p>
      <w:pPr>
        <w:ind w:firstLine="640"/>
      </w:pPr>
    </w:p>
    <w:p>
      <w:pPr>
        <w:ind w:firstLine="640"/>
      </w:pPr>
    </w:p>
    <w:p>
      <w:pPr>
        <w:ind w:firstLine="640"/>
        <w:rPr>
          <w:u w:val="single"/>
        </w:rPr>
      </w:pPr>
    </w:p>
    <w:p>
      <w:pPr>
        <w:ind w:firstLine="640"/>
        <w:rPr>
          <w:u w:val="single"/>
        </w:rPr>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spacing w:line="600" w:lineRule="exact"/>
        <w:ind w:firstLine="320" w:firstLineChars="100"/>
      </w:pPr>
      <w:r>
        <w:rPr>
          <w:rFonts w:hint="eastAsia"/>
        </w:rPr>
        <w:t xml:space="preserve">  </w:t>
      </w:r>
    </w:p>
    <w:p>
      <w:pPr>
        <w:spacing w:line="600" w:lineRule="exact"/>
        <w:ind w:firstLine="320" w:firstLineChars="100"/>
        <w:rPr>
          <w:rFonts w:eastAsia="仿宋_GB2312"/>
          <w:szCs w:val="32"/>
          <w:u w:val="single"/>
        </w:rPr>
      </w:pPr>
      <w:r>
        <w:rPr>
          <w:rFonts w:hint="eastAsia" w:ascii="黑体" w:hAnsi="黑体" w:eastAsia="黑体"/>
          <w:szCs w:val="32"/>
        </w:rPr>
        <w:t>项目名称：</w:t>
      </w:r>
      <w:r>
        <w:rPr>
          <w:rFonts w:hint="eastAsia" w:eastAsia="仿宋_GB2312"/>
          <w:szCs w:val="32"/>
          <w:u w:val="single"/>
        </w:rPr>
        <w:t>2019年度衡山县医疗保障局部门整体支出绩效评价</w:t>
      </w:r>
    </w:p>
    <w:p>
      <w:pPr>
        <w:spacing w:line="600" w:lineRule="exact"/>
        <w:ind w:firstLine="320" w:firstLineChars="100"/>
        <w:jc w:val="left"/>
        <w:rPr>
          <w:rFonts w:eastAsia="仿宋_GB2312"/>
          <w:szCs w:val="32"/>
          <w:u w:val="single"/>
        </w:rPr>
      </w:pPr>
      <w:r>
        <w:rPr>
          <w:rFonts w:hint="eastAsia" w:ascii="黑体" w:hAnsi="黑体" w:eastAsia="黑体"/>
          <w:szCs w:val="32"/>
        </w:rPr>
        <w:t>主管部门：</w:t>
      </w:r>
      <w:r>
        <w:rPr>
          <w:rFonts w:hint="eastAsia" w:eastAsia="仿宋_GB2312"/>
          <w:szCs w:val="32"/>
          <w:u w:val="single"/>
        </w:rPr>
        <w:t>衡山县医疗保障局</w:t>
      </w:r>
      <w:r>
        <w:rPr>
          <w:rFonts w:eastAsia="仿宋_GB2312"/>
          <w:szCs w:val="32"/>
          <w:u w:val="single"/>
        </w:rPr>
        <w:t xml:space="preserve"> </w:t>
      </w:r>
    </w:p>
    <w:p>
      <w:pPr>
        <w:spacing w:line="600" w:lineRule="exact"/>
        <w:ind w:firstLine="320" w:firstLineChars="100"/>
        <w:jc w:val="left"/>
        <w:rPr>
          <w:rFonts w:eastAsia="仿宋_GB2312"/>
          <w:szCs w:val="32"/>
          <w:u w:val="single"/>
        </w:rPr>
      </w:pPr>
      <w:r>
        <w:rPr>
          <w:rFonts w:hint="eastAsia" w:ascii="黑体" w:hAnsi="黑体" w:eastAsia="黑体"/>
          <w:szCs w:val="32"/>
        </w:rPr>
        <w:t>组织单位：</w:t>
      </w:r>
      <w:r>
        <w:rPr>
          <w:rFonts w:hint="eastAsia" w:eastAsia="仿宋_GB2312"/>
          <w:szCs w:val="32"/>
          <w:u w:val="single"/>
        </w:rPr>
        <w:t>衡山县财政局</w:t>
      </w:r>
    </w:p>
    <w:p>
      <w:pPr>
        <w:spacing w:line="600" w:lineRule="exact"/>
        <w:ind w:firstLine="320" w:firstLineChars="100"/>
        <w:jc w:val="left"/>
        <w:rPr>
          <w:rFonts w:eastAsia="仿宋_GB2312"/>
          <w:szCs w:val="32"/>
          <w:u w:val="single"/>
        </w:rPr>
      </w:pPr>
      <w:r>
        <w:rPr>
          <w:rFonts w:hint="eastAsia" w:ascii="黑体" w:hAnsi="黑体" w:eastAsia="黑体"/>
          <w:szCs w:val="32"/>
        </w:rPr>
        <w:t>实施机构：</w:t>
      </w:r>
      <w:r>
        <w:rPr>
          <w:rFonts w:hint="eastAsia" w:eastAsia="仿宋_GB2312"/>
          <w:szCs w:val="32"/>
          <w:u w:val="single"/>
        </w:rPr>
        <w:t>湖南宏丰益联合会计师事务所</w:t>
      </w:r>
    </w:p>
    <w:p>
      <w:pPr>
        <w:ind w:firstLine="320" w:firstLineChars="100"/>
        <w:jc w:val="left"/>
        <w:rPr>
          <w:rFonts w:ascii="黑体" w:hAnsi="黑体" w:eastAsia="黑体"/>
          <w:szCs w:val="32"/>
          <w:u w:val="single"/>
        </w:rPr>
      </w:pPr>
    </w:p>
    <w:p>
      <w:pPr>
        <w:ind w:firstLine="320" w:firstLineChars="100"/>
        <w:jc w:val="left"/>
        <w:rPr>
          <w:rFonts w:ascii="黑体" w:hAnsi="黑体" w:eastAsia="黑体"/>
          <w:szCs w:val="32"/>
          <w:u w:val="single"/>
        </w:rPr>
      </w:pPr>
    </w:p>
    <w:p>
      <w:pPr>
        <w:ind w:firstLine="321" w:firstLineChars="100"/>
        <w:jc w:val="center"/>
        <w:rPr>
          <w:rFonts w:ascii="黑体" w:hAnsi="黑体" w:eastAsia="黑体"/>
          <w:b/>
          <w:szCs w:val="32"/>
        </w:rPr>
      </w:pPr>
      <w:r>
        <w:rPr>
          <w:rFonts w:hint="eastAsia" w:eastAsia="黑体"/>
          <w:b/>
          <w:szCs w:val="32"/>
        </w:rPr>
        <w:t>20</w:t>
      </w:r>
      <w:r>
        <w:rPr>
          <w:rFonts w:eastAsia="黑体"/>
          <w:b/>
          <w:szCs w:val="32"/>
        </w:rPr>
        <w:t>20</w:t>
      </w:r>
      <w:r>
        <w:rPr>
          <w:rFonts w:hint="eastAsia" w:ascii="黑体" w:hAnsi="黑体" w:eastAsia="黑体"/>
          <w:b/>
          <w:szCs w:val="32"/>
        </w:rPr>
        <w:t>年</w:t>
      </w:r>
      <w:r>
        <w:rPr>
          <w:rFonts w:hint="eastAsia" w:eastAsia="黑体"/>
          <w:b/>
          <w:szCs w:val="32"/>
        </w:rPr>
        <w:t>1</w:t>
      </w:r>
      <w:r>
        <w:rPr>
          <w:rFonts w:eastAsia="黑体"/>
          <w:b/>
          <w:szCs w:val="32"/>
        </w:rPr>
        <w:t>1</w:t>
      </w:r>
      <w:r>
        <w:rPr>
          <w:rFonts w:hint="eastAsia" w:ascii="黑体" w:hAnsi="黑体" w:eastAsia="黑体"/>
          <w:b/>
          <w:szCs w:val="32"/>
        </w:rPr>
        <w:t>月</w:t>
      </w:r>
      <w:r>
        <w:rPr>
          <w:rFonts w:eastAsia="黑体"/>
          <w:b/>
          <w:szCs w:val="32"/>
        </w:rPr>
        <w:t>10</w:t>
      </w:r>
      <w:r>
        <w:rPr>
          <w:rFonts w:hint="eastAsia" w:ascii="黑体" w:hAnsi="黑体" w:eastAsia="黑体"/>
          <w:b/>
          <w:szCs w:val="32"/>
        </w:rPr>
        <w:t>日</w:t>
      </w:r>
    </w:p>
    <w:p>
      <w:pPr>
        <w:pStyle w:val="7"/>
        <w:tabs>
          <w:tab w:val="right" w:leader="dot" w:pos="8949"/>
        </w:tabs>
        <w:spacing w:line="352" w:lineRule="exact"/>
        <w:ind w:firstLine="480"/>
        <w:rPr>
          <w:rFonts w:ascii="仿宋" w:hAnsi="仿宋"/>
          <w:sz w:val="24"/>
        </w:rPr>
        <w:sectPr>
          <w:headerReference r:id="rId5" w:type="first"/>
          <w:footerReference r:id="rId8" w:type="first"/>
          <w:headerReference r:id="rId3" w:type="default"/>
          <w:footerReference r:id="rId6" w:type="default"/>
          <w:headerReference r:id="rId4" w:type="even"/>
          <w:footerReference r:id="rId7" w:type="even"/>
          <w:pgSz w:w="11907" w:h="16840"/>
          <w:pgMar w:top="1134" w:right="1474" w:bottom="1134" w:left="1474" w:header="851" w:footer="1701" w:gutter="0"/>
          <w:pgNumType w:start="1"/>
          <w:cols w:space="720" w:num="1"/>
          <w:docGrid w:linePitch="312" w:charSpace="0"/>
        </w:sectPr>
      </w:pPr>
    </w:p>
    <w:p>
      <w:pPr>
        <w:spacing w:line="600" w:lineRule="exact"/>
        <w:ind w:firstLine="0" w:firstLineChars="0"/>
        <w:jc w:val="center"/>
        <w:rPr>
          <w:rFonts w:ascii="黑体" w:hAnsi="黑体" w:eastAsia="黑体"/>
          <w:b/>
          <w:color w:val="000000"/>
          <w:spacing w:val="-4"/>
          <w:sz w:val="44"/>
          <w:szCs w:val="44"/>
        </w:rPr>
      </w:pPr>
      <w:r>
        <w:rPr>
          <w:rFonts w:hint="eastAsia" w:eastAsia="黑体"/>
          <w:b/>
          <w:color w:val="000000"/>
          <w:spacing w:val="-4"/>
          <w:sz w:val="44"/>
          <w:szCs w:val="44"/>
        </w:rPr>
        <w:t>2019年</w:t>
      </w:r>
      <w:r>
        <w:rPr>
          <w:rFonts w:hint="eastAsia" w:ascii="黑体" w:hAnsi="黑体" w:eastAsia="黑体"/>
          <w:b/>
          <w:color w:val="000000"/>
          <w:spacing w:val="-4"/>
          <w:sz w:val="44"/>
          <w:szCs w:val="44"/>
        </w:rPr>
        <w:t>度衡山县医疗保障局部门整体支出</w:t>
      </w:r>
    </w:p>
    <w:p>
      <w:pPr>
        <w:spacing w:line="600" w:lineRule="exact"/>
        <w:ind w:firstLine="0" w:firstLineChars="0"/>
        <w:jc w:val="center"/>
        <w:rPr>
          <w:rFonts w:ascii="黑体" w:hAnsi="黑体" w:eastAsia="黑体"/>
          <w:b/>
          <w:color w:val="000000"/>
          <w:sz w:val="44"/>
          <w:szCs w:val="44"/>
        </w:rPr>
      </w:pPr>
      <w:r>
        <w:rPr>
          <w:rFonts w:ascii="黑体" w:hAnsi="黑体" w:eastAsia="黑体"/>
          <w:b/>
          <w:color w:val="000000"/>
          <w:spacing w:val="-4"/>
          <w:sz w:val="44"/>
          <w:szCs w:val="44"/>
        </w:rPr>
        <w:t>绩效评价</w:t>
      </w:r>
      <w:r>
        <w:rPr>
          <w:rFonts w:hint="eastAsia" w:ascii="黑体" w:hAnsi="黑体" w:eastAsia="黑体"/>
          <w:b/>
          <w:color w:val="000000"/>
          <w:spacing w:val="-4"/>
          <w:sz w:val="44"/>
          <w:szCs w:val="44"/>
        </w:rPr>
        <w:t>报告</w:t>
      </w:r>
    </w:p>
    <w:p>
      <w:pPr>
        <w:widowControl/>
        <w:adjustRightInd w:val="0"/>
        <w:snapToGrid w:val="0"/>
        <w:spacing w:line="600" w:lineRule="exact"/>
        <w:ind w:firstLine="0" w:firstLineChars="0"/>
        <w:jc w:val="left"/>
        <w:rPr>
          <w:rFonts w:ascii="黑体" w:hAnsi="黑体" w:eastAsia="黑体"/>
          <w:b/>
          <w:kern w:val="0"/>
          <w:sz w:val="36"/>
          <w:szCs w:val="36"/>
        </w:rPr>
      </w:pPr>
    </w:p>
    <w:p>
      <w:pPr>
        <w:widowControl/>
        <w:adjustRightInd w:val="0"/>
        <w:snapToGrid w:val="0"/>
        <w:spacing w:line="600" w:lineRule="exact"/>
        <w:ind w:firstLine="0" w:firstLineChars="0"/>
        <w:jc w:val="left"/>
        <w:rPr>
          <w:rFonts w:ascii="黑体" w:hAnsi="黑体" w:eastAsia="黑体"/>
          <w:b/>
          <w:kern w:val="0"/>
          <w:szCs w:val="32"/>
        </w:rPr>
      </w:pPr>
      <w:r>
        <w:rPr>
          <w:rFonts w:hint="eastAsia" w:ascii="黑体" w:hAnsi="黑体" w:eastAsia="黑体"/>
          <w:b/>
          <w:kern w:val="0"/>
          <w:szCs w:val="32"/>
        </w:rPr>
        <w:t>衡山县</w:t>
      </w:r>
      <w:r>
        <w:rPr>
          <w:rFonts w:ascii="黑体" w:hAnsi="黑体" w:eastAsia="黑体"/>
          <w:b/>
          <w:kern w:val="0"/>
          <w:szCs w:val="32"/>
        </w:rPr>
        <w:t>财政局：</w:t>
      </w:r>
    </w:p>
    <w:p>
      <w:pPr>
        <w:ind w:firstLine="594"/>
        <w:rPr>
          <w:kern w:val="0"/>
        </w:rPr>
      </w:pPr>
      <w:r>
        <w:rPr>
          <w:rFonts w:hint="eastAsia"/>
          <w:kern w:val="0"/>
        </w:rPr>
        <w:t>为进一步规范财政资金管理，强化绩效和责任意识，切实提高财政资金使用效益，根据《中华人民共和国预算法》、《中共中央国务院关于全面实施预算绩效管理的意见》（中发﹝2018﹞34号）、《衡山县财政局关于对2019年度部分县级财政支出项目及部门整体支出开展现场绩效评价的通知》（山财绩﹝20</w:t>
      </w:r>
      <w:r>
        <w:rPr>
          <w:kern w:val="0"/>
        </w:rPr>
        <w:t>20</w:t>
      </w:r>
      <w:r>
        <w:rPr>
          <w:rFonts w:hint="eastAsia"/>
          <w:kern w:val="0"/>
        </w:rPr>
        <w:t>﹞</w:t>
      </w:r>
      <w:r>
        <w:rPr>
          <w:kern w:val="0"/>
        </w:rPr>
        <w:t>18</w:t>
      </w:r>
      <w:r>
        <w:rPr>
          <w:rFonts w:hint="eastAsia"/>
          <w:kern w:val="0"/>
        </w:rPr>
        <w:t>0号）等文件精神，受衡山县财政局委托，湖南宏丰益联合会计师事务所成立绩效评价工作组（简称“评价工作组”），于20</w:t>
      </w:r>
      <w:r>
        <w:rPr>
          <w:kern w:val="0"/>
        </w:rPr>
        <w:t>20</w:t>
      </w:r>
      <w:r>
        <w:rPr>
          <w:rFonts w:hint="eastAsia"/>
          <w:kern w:val="0"/>
        </w:rPr>
        <w:t>年</w:t>
      </w:r>
      <w:r>
        <w:rPr>
          <w:kern w:val="0"/>
        </w:rPr>
        <w:t>1</w:t>
      </w:r>
      <w:r>
        <w:rPr>
          <w:rFonts w:hint="eastAsia"/>
          <w:kern w:val="0"/>
        </w:rPr>
        <w:t>1月09日对衡山县医疗保障局2019年度部门整体支出资金项目实施了绩效评价。评价采用定量分析和定性分析相结合的方法，从预算配置、预算执行、预算管理、职责履行和履职效益等方面对部门整体进行了综合评价。现将绩效评价情况报告如下：</w:t>
      </w:r>
    </w:p>
    <w:p>
      <w:pPr>
        <w:pStyle w:val="2"/>
        <w:ind w:firstLine="594"/>
        <w:rPr>
          <w:kern w:val="0"/>
        </w:rPr>
      </w:pPr>
      <w:bookmarkStart w:id="0" w:name="_Toc57542527"/>
      <w:bookmarkStart w:id="1" w:name="_Toc29044588"/>
      <w:r>
        <w:rPr>
          <w:kern w:val="0"/>
        </w:rPr>
        <w:t>一、</w:t>
      </w:r>
      <w:r>
        <w:rPr>
          <w:rFonts w:hint="eastAsia"/>
          <w:kern w:val="0"/>
        </w:rPr>
        <w:t>部门</w:t>
      </w:r>
      <w:r>
        <w:rPr>
          <w:kern w:val="0"/>
        </w:rPr>
        <w:t>概况</w:t>
      </w:r>
      <w:bookmarkEnd w:id="0"/>
      <w:bookmarkEnd w:id="1"/>
    </w:p>
    <w:p>
      <w:pPr>
        <w:ind w:firstLine="596"/>
        <w:outlineLvl w:val="1"/>
        <w:rPr>
          <w:rFonts w:ascii="Cambria" w:hAnsi="Cambria" w:eastAsia="楷体"/>
          <w:b/>
          <w:bCs/>
          <w:kern w:val="0"/>
          <w:szCs w:val="32"/>
        </w:rPr>
      </w:pPr>
      <w:bookmarkStart w:id="2" w:name="_Toc29637026"/>
      <w:bookmarkStart w:id="3" w:name="_Toc57542528"/>
      <w:bookmarkStart w:id="4" w:name="_Toc29044589"/>
      <w:r>
        <w:rPr>
          <w:rFonts w:ascii="Cambria" w:hAnsi="Cambria" w:eastAsia="楷体"/>
          <w:b/>
          <w:bCs/>
          <w:kern w:val="0"/>
          <w:szCs w:val="32"/>
        </w:rPr>
        <w:t>（一）</w:t>
      </w:r>
      <w:r>
        <w:rPr>
          <w:rFonts w:hint="eastAsia" w:ascii="Cambria" w:hAnsi="Cambria" w:eastAsia="楷体"/>
          <w:b/>
          <w:bCs/>
          <w:kern w:val="0"/>
          <w:szCs w:val="32"/>
        </w:rPr>
        <w:t>部门基本情况</w:t>
      </w:r>
      <w:bookmarkEnd w:id="2"/>
      <w:bookmarkEnd w:id="3"/>
    </w:p>
    <w:p>
      <w:pPr>
        <w:ind w:firstLine="594"/>
        <w:rPr>
          <w:rFonts w:ascii="仿宋" w:hAnsi="仿宋"/>
          <w:kern w:val="0"/>
        </w:rPr>
      </w:pPr>
      <w:r>
        <w:fldChar w:fldCharType="begin"/>
      </w:r>
      <w:r>
        <w:instrText xml:space="preserve"> HYPERLINK "https://baike.so.com/doc/5330026-5565200.html" \t "_blank" </w:instrText>
      </w:r>
      <w:r>
        <w:fldChar w:fldCharType="separate"/>
      </w:r>
      <w:r>
        <w:rPr>
          <w:rFonts w:hint="eastAsia" w:ascii="仿宋" w:hAnsi="仿宋"/>
          <w:kern w:val="0"/>
        </w:rPr>
        <w:t>衡山县</w:t>
      </w:r>
      <w:r>
        <w:rPr>
          <w:rFonts w:hint="eastAsia" w:ascii="仿宋" w:hAnsi="仿宋"/>
          <w:kern w:val="0"/>
        </w:rPr>
        <w:fldChar w:fldCharType="end"/>
      </w:r>
      <w:r>
        <w:rPr>
          <w:rFonts w:hint="eastAsia" w:ascii="仿宋" w:hAnsi="仿宋"/>
          <w:kern w:val="0"/>
        </w:rPr>
        <w:t>医疗</w:t>
      </w:r>
      <w:r>
        <w:rPr>
          <w:rFonts w:ascii="仿宋" w:hAnsi="仿宋"/>
          <w:kern w:val="0"/>
        </w:rPr>
        <w:t>保障局</w:t>
      </w:r>
      <w:r>
        <w:rPr>
          <w:rFonts w:hint="eastAsia" w:ascii="仿宋" w:hAnsi="仿宋"/>
          <w:kern w:val="0"/>
        </w:rPr>
        <w:t>是县政府工作部门，为正科级。负责人：江南，机构地址：衡山县开云镇人民西路28号，统一社会信用代码</w:t>
      </w:r>
      <w:r>
        <w:rPr>
          <w:rFonts w:ascii="仿宋" w:hAnsi="仿宋"/>
          <w:kern w:val="0"/>
        </w:rPr>
        <w:t>11430423</w:t>
      </w:r>
      <w:r>
        <w:rPr>
          <w:rFonts w:hint="eastAsia" w:ascii="仿宋" w:hAnsi="仿宋"/>
          <w:kern w:val="0"/>
        </w:rPr>
        <w:t>MB1855860G。</w:t>
      </w:r>
    </w:p>
    <w:p>
      <w:pPr>
        <w:ind w:firstLine="596"/>
        <w:outlineLvl w:val="1"/>
        <w:rPr>
          <w:rFonts w:ascii="Cambria" w:hAnsi="Cambria" w:eastAsia="楷体"/>
          <w:b/>
          <w:bCs/>
          <w:kern w:val="0"/>
          <w:szCs w:val="32"/>
        </w:rPr>
      </w:pPr>
      <w:bookmarkStart w:id="5" w:name="_Toc29637027"/>
      <w:bookmarkStart w:id="6" w:name="_Toc57542529"/>
      <w:r>
        <w:rPr>
          <w:rFonts w:hint="eastAsia" w:ascii="Cambria" w:hAnsi="Cambria" w:eastAsia="楷体"/>
          <w:b/>
          <w:bCs/>
          <w:kern w:val="0"/>
          <w:szCs w:val="32"/>
        </w:rPr>
        <w:t>（二）机构设置情况</w:t>
      </w:r>
      <w:bookmarkEnd w:id="5"/>
      <w:bookmarkEnd w:id="6"/>
    </w:p>
    <w:p>
      <w:pPr>
        <w:ind w:firstLine="594"/>
        <w:rPr>
          <w:rFonts w:ascii="仿宋" w:hAnsi="仿宋"/>
          <w:kern w:val="0"/>
          <w:szCs w:val="32"/>
        </w:rPr>
      </w:pPr>
      <w:bookmarkStart w:id="7" w:name="_Toc29637028"/>
      <w:r>
        <w:rPr>
          <w:rFonts w:hint="eastAsia" w:ascii="仿宋" w:hAnsi="仿宋"/>
          <w:kern w:val="0"/>
          <w:szCs w:val="32"/>
        </w:rPr>
        <w:t>衡山县医疗保障局内设构7个股室，</w:t>
      </w:r>
      <w:r>
        <w:rPr>
          <w:rFonts w:hint="eastAsia" w:ascii="仿宋" w:hAnsi="仿宋"/>
          <w:szCs w:val="32"/>
        </w:rPr>
        <w:t>衡</w:t>
      </w:r>
      <w:r>
        <w:rPr>
          <w:rFonts w:hint="eastAsia" w:ascii="仿宋" w:hAnsi="仿宋"/>
          <w:kern w:val="0"/>
          <w:szCs w:val="32"/>
        </w:rPr>
        <w:t>山县医疗保障局内设构7个股室，分别为办公室、计划财务股、待遇保障股、医药管理股、基金监管股、政策法规股、政工人事股；</w:t>
      </w:r>
    </w:p>
    <w:p>
      <w:pPr>
        <w:ind w:firstLine="594"/>
        <w:rPr>
          <w:rFonts w:ascii="仿宋" w:hAnsi="仿宋"/>
          <w:kern w:val="0"/>
          <w:szCs w:val="32"/>
        </w:rPr>
      </w:pPr>
      <w:r>
        <w:rPr>
          <w:rFonts w:hint="eastAsia" w:ascii="仿宋" w:hAnsi="仿宋"/>
          <w:kern w:val="0"/>
          <w:szCs w:val="32"/>
        </w:rPr>
        <w:t>所属副科级公益类事业单位1个，为衡山县医疗保障事务中心。</w:t>
      </w:r>
    </w:p>
    <w:p>
      <w:pPr>
        <w:ind w:firstLine="596"/>
        <w:outlineLvl w:val="1"/>
        <w:rPr>
          <w:rFonts w:ascii="Cambria" w:hAnsi="Cambria" w:eastAsia="楷体"/>
          <w:b/>
          <w:bCs/>
          <w:kern w:val="0"/>
          <w:szCs w:val="32"/>
        </w:rPr>
      </w:pPr>
      <w:bookmarkStart w:id="8" w:name="_Toc57542530"/>
      <w:r>
        <w:rPr>
          <w:rFonts w:hint="eastAsia" w:ascii="Cambria" w:hAnsi="Cambria" w:eastAsia="楷体"/>
          <w:b/>
          <w:bCs/>
          <w:kern w:val="0"/>
          <w:szCs w:val="32"/>
        </w:rPr>
        <w:t>（三）人员编制情况</w:t>
      </w:r>
      <w:bookmarkEnd w:id="7"/>
      <w:bookmarkEnd w:id="8"/>
    </w:p>
    <w:p>
      <w:pPr>
        <w:ind w:firstLine="274"/>
        <w:rPr>
          <w:kern w:val="0"/>
        </w:rPr>
      </w:pPr>
      <w:r>
        <w:rPr>
          <w:rFonts w:ascii="Arial" w:hAnsi="Arial" w:cs="Arial"/>
          <w:color w:val="333333"/>
          <w:kern w:val="0"/>
          <w:sz w:val="16"/>
          <w:szCs w:val="16"/>
        </w:rPr>
        <w:t>　</w:t>
      </w:r>
      <w:r>
        <w:rPr>
          <w:rFonts w:hint="eastAsia"/>
          <w:kern w:val="0"/>
        </w:rPr>
        <w:t>截止2019年12月31日，衡山县医疗保障局编制人数58人，其中行政编制5人，事业编制53人；在职人员69人，其中一般公共预算财政补助开支人数47人、经费自理人数22人。</w:t>
      </w:r>
    </w:p>
    <w:p>
      <w:pPr>
        <w:ind w:firstLine="596"/>
        <w:outlineLvl w:val="1"/>
        <w:rPr>
          <w:rFonts w:ascii="Cambria" w:hAnsi="Cambria" w:eastAsia="楷体"/>
          <w:b/>
          <w:bCs/>
          <w:kern w:val="0"/>
          <w:szCs w:val="32"/>
        </w:rPr>
      </w:pPr>
      <w:bookmarkStart w:id="9" w:name="_Toc57542531"/>
      <w:r>
        <w:rPr>
          <w:rFonts w:ascii="Cambria" w:hAnsi="Cambria" w:eastAsia="楷体"/>
          <w:b/>
          <w:bCs/>
          <w:kern w:val="0"/>
          <w:szCs w:val="32"/>
        </w:rPr>
        <w:t>（</w:t>
      </w:r>
      <w:r>
        <w:rPr>
          <w:rFonts w:hint="eastAsia" w:ascii="Cambria" w:hAnsi="Cambria" w:eastAsia="楷体"/>
          <w:b/>
          <w:bCs/>
          <w:kern w:val="0"/>
          <w:szCs w:val="32"/>
        </w:rPr>
        <w:t>四</w:t>
      </w:r>
      <w:r>
        <w:rPr>
          <w:rFonts w:ascii="Cambria" w:hAnsi="Cambria" w:eastAsia="楷体"/>
          <w:b/>
          <w:bCs/>
          <w:kern w:val="0"/>
          <w:szCs w:val="32"/>
        </w:rPr>
        <w:t>）</w:t>
      </w:r>
      <w:r>
        <w:rPr>
          <w:rFonts w:hint="eastAsia" w:ascii="Cambria" w:hAnsi="Cambria" w:eastAsia="楷体"/>
          <w:b/>
          <w:bCs/>
          <w:kern w:val="0"/>
          <w:szCs w:val="32"/>
        </w:rPr>
        <w:t>部门职能职责</w:t>
      </w:r>
      <w:bookmarkEnd w:id="4"/>
      <w:bookmarkEnd w:id="9"/>
    </w:p>
    <w:p>
      <w:pPr>
        <w:ind w:firstLine="594"/>
        <w:rPr>
          <w:kern w:val="0"/>
        </w:rPr>
      </w:pPr>
      <w:r>
        <w:rPr>
          <w:kern w:val="0"/>
        </w:rPr>
        <w:t>1</w:t>
      </w:r>
      <w:r>
        <w:rPr>
          <w:rFonts w:hint="eastAsia"/>
          <w:kern w:val="0"/>
        </w:rPr>
        <w:t>、贯彻执行国家、省、市有关医疗保险、生育保险、医疗救助(以下统称医疗保障)的法律法规和政策规定，拟定全县医疗保障相关政策、规划、标准、办法并组织实施。</w:t>
      </w:r>
    </w:p>
    <w:p>
      <w:pPr>
        <w:ind w:firstLine="594"/>
        <w:rPr>
          <w:kern w:val="0"/>
        </w:rPr>
      </w:pPr>
      <w:r>
        <w:rPr>
          <w:kern w:val="0"/>
        </w:rPr>
        <w:t>2</w:t>
      </w:r>
      <w:r>
        <w:rPr>
          <w:rFonts w:hint="eastAsia"/>
          <w:kern w:val="0"/>
        </w:rPr>
        <w:t>、组织拟定并实施全县医疗保障基金监督管理办法，监督管理相关医疗保障基金。建立健全医疗保障基金安全防控机制，推进医疗保障基金支付方式改革。</w:t>
      </w:r>
    </w:p>
    <w:p>
      <w:pPr>
        <w:ind w:firstLine="582" w:firstLineChars="196"/>
        <w:rPr>
          <w:kern w:val="0"/>
        </w:rPr>
      </w:pPr>
      <w:r>
        <w:rPr>
          <w:kern w:val="0"/>
        </w:rPr>
        <w:t>3</w:t>
      </w:r>
      <w:r>
        <w:rPr>
          <w:rFonts w:hint="eastAsia"/>
          <w:kern w:val="0"/>
        </w:rPr>
        <w:t>、组织拟定全县医疗保障筹资和待遇政策，完善动态调整和区域调剂平衡机制，统筹城乡医疗保障待遇标准，建立健全与筹资水平相适应的待遇调整机制。组织拟订并实施长期护理保险制度改革方案。</w:t>
      </w:r>
    </w:p>
    <w:p>
      <w:pPr>
        <w:ind w:firstLine="594"/>
        <w:rPr>
          <w:kern w:val="0"/>
        </w:rPr>
      </w:pPr>
      <w:r>
        <w:rPr>
          <w:kern w:val="0"/>
        </w:rPr>
        <w:t>4</w:t>
      </w:r>
      <w:r>
        <w:rPr>
          <w:rFonts w:hint="eastAsia"/>
          <w:kern w:val="0"/>
        </w:rPr>
        <w:t>、执行上级医疗保障部门拟定的城乡统一的药品、医用耗材价格和医疗服务项目、医疗服务设施医保目录和支付标准，做好目录准入和支付标准，配合上级医疗保障部门建立动态调整机制。</w:t>
      </w:r>
    </w:p>
    <w:p>
      <w:pPr>
        <w:ind w:firstLine="594"/>
        <w:rPr>
          <w:kern w:val="0"/>
        </w:rPr>
      </w:pPr>
      <w:r>
        <w:rPr>
          <w:kern w:val="0"/>
        </w:rPr>
        <w:t>5</w:t>
      </w:r>
      <w:r>
        <w:rPr>
          <w:rFonts w:hint="eastAsia"/>
          <w:kern w:val="0"/>
        </w:rPr>
        <w:t>、组织拟定由县级管理的药品、医用耗材价格和医疗服务项目、医疗服务设施收费政策;建立医保支付医药服务价格合理确定和动态调整机制，承担政府定价药品、医用耗材和医疗机构医疗服务、医疗服务设施的价格谈判、确定及管理工作，并参与药品和医用耗材的集中采购和医疗机构价格类别等级评定工作;推动建立市场主导的社会医药服务价格形成机制，建立价格信息监测和信息发布制度。</w:t>
      </w:r>
    </w:p>
    <w:p>
      <w:pPr>
        <w:ind w:firstLine="594"/>
        <w:rPr>
          <w:kern w:val="0"/>
        </w:rPr>
      </w:pPr>
      <w:r>
        <w:rPr>
          <w:kern w:val="0"/>
        </w:rPr>
        <w:t>6</w:t>
      </w:r>
      <w:r>
        <w:rPr>
          <w:rFonts w:hint="eastAsia"/>
          <w:kern w:val="0"/>
        </w:rPr>
        <w:t>、拟定全县药品、医用耗材的招标采购办法并监督实施，指导药品、医用耗材、医疗服务项目和医疗服务设施招标采购平台建设。</w:t>
      </w:r>
    </w:p>
    <w:p>
      <w:pPr>
        <w:ind w:firstLine="594"/>
        <w:rPr>
          <w:kern w:val="0"/>
        </w:rPr>
      </w:pPr>
      <w:r>
        <w:rPr>
          <w:kern w:val="0"/>
        </w:rPr>
        <w:t>7</w:t>
      </w:r>
      <w:r>
        <w:rPr>
          <w:rFonts w:hint="eastAsia"/>
          <w:kern w:val="0"/>
        </w:rPr>
        <w:t>、拟定全县定点医药机构协议和支付管理办法并组织实施，建立健全医疗保障信用评价体系和信息披露制度，建立健全县级定点医药服务考核评价机制和动态的准入退出机制，监督、管理纳入医保范围内的医疗服务行为和医疗费用，依法查处医疗保障领域违法违规行为。</w:t>
      </w:r>
    </w:p>
    <w:p>
      <w:pPr>
        <w:ind w:firstLine="594"/>
        <w:rPr>
          <w:kern w:val="0"/>
        </w:rPr>
      </w:pPr>
      <w:r>
        <w:rPr>
          <w:kern w:val="0"/>
        </w:rPr>
        <w:t>8</w:t>
      </w:r>
      <w:r>
        <w:rPr>
          <w:rFonts w:hint="eastAsia"/>
          <w:kern w:val="0"/>
        </w:rPr>
        <w:t>、负责县本级医疗保障经办管理、公共服务体系和信息化建设。负责县本级开展医疗保险、生育保险、医疗救助等业务工作；组织拟定和完善异地就医管理和费用结算政策，建立健全医疗保障关系转移接续制度，参与和开展医疗保障领域国内外合作交流。</w:t>
      </w:r>
    </w:p>
    <w:p>
      <w:pPr>
        <w:ind w:firstLine="594"/>
        <w:rPr>
          <w:kern w:val="0"/>
        </w:rPr>
      </w:pPr>
      <w:r>
        <w:rPr>
          <w:kern w:val="0"/>
        </w:rPr>
        <w:t>9</w:t>
      </w:r>
      <w:r>
        <w:rPr>
          <w:rFonts w:hint="eastAsia"/>
          <w:kern w:val="0"/>
        </w:rPr>
        <w:t>、完善统一的城乡居民基本医疗保险制度和大病保险制度，巩固完善城乡居民医疗救助制度，建立健全覆盖全民、城乡统筹的多层次医疗保障体系，不断提高医疗保障水平，确保医保资金合理使用、安全可控;推进医疗、医保、医药“三医联动”改革，更好保障人民群众就医需求、减轻医药费用负担。</w:t>
      </w:r>
    </w:p>
    <w:p>
      <w:pPr>
        <w:ind w:firstLine="594"/>
        <w:rPr>
          <w:kern w:val="0"/>
        </w:rPr>
      </w:pPr>
      <w:r>
        <w:rPr>
          <w:kern w:val="0"/>
        </w:rPr>
        <w:t>10</w:t>
      </w:r>
      <w:r>
        <w:rPr>
          <w:rFonts w:hint="eastAsia"/>
          <w:kern w:val="0"/>
        </w:rPr>
        <w:t>、加强与县卫生健康局等部门在医疗、医保、医药等方面的制度、政策衔接，建立沟通协商机制，协同推进改革，提高医疗资源使用效率和医疗保障水平。</w:t>
      </w:r>
    </w:p>
    <w:p>
      <w:pPr>
        <w:ind w:firstLine="594"/>
        <w:rPr>
          <w:kern w:val="0"/>
        </w:rPr>
      </w:pPr>
      <w:r>
        <w:rPr>
          <w:kern w:val="0"/>
        </w:rPr>
        <w:t>11</w:t>
      </w:r>
      <w:r>
        <w:rPr>
          <w:rFonts w:hint="eastAsia"/>
          <w:kern w:val="0"/>
        </w:rPr>
        <w:t>、负责本行业、领域的应急管理工作，对本行业、领域的安全生产工作实施监督管理。</w:t>
      </w:r>
    </w:p>
    <w:p>
      <w:pPr>
        <w:ind w:firstLine="594"/>
        <w:rPr>
          <w:kern w:val="0"/>
        </w:rPr>
      </w:pPr>
      <w:r>
        <w:rPr>
          <w:kern w:val="0"/>
        </w:rPr>
        <w:t>12</w:t>
      </w:r>
      <w:r>
        <w:rPr>
          <w:rFonts w:hint="eastAsia"/>
          <w:kern w:val="0"/>
        </w:rPr>
        <w:t>、完成县委、县政府交办的其他任务</w:t>
      </w:r>
      <w:r>
        <w:rPr>
          <w:kern w:val="0"/>
        </w:rPr>
        <w:t>。</w:t>
      </w:r>
    </w:p>
    <w:p>
      <w:pPr>
        <w:pStyle w:val="2"/>
        <w:ind w:firstLine="594"/>
        <w:rPr>
          <w:kern w:val="0"/>
        </w:rPr>
      </w:pPr>
      <w:bookmarkStart w:id="10" w:name="_Toc57542532"/>
      <w:bookmarkStart w:id="11" w:name="_Toc29044592"/>
      <w:r>
        <w:rPr>
          <w:kern w:val="0"/>
        </w:rPr>
        <w:t>二、</w:t>
      </w:r>
      <w:r>
        <w:rPr>
          <w:rFonts w:hint="eastAsia"/>
          <w:kern w:val="0"/>
        </w:rPr>
        <w:t>部门</w:t>
      </w:r>
      <w:r>
        <w:rPr>
          <w:kern w:val="0"/>
        </w:rPr>
        <w:t>整体支出管理及使用情况</w:t>
      </w:r>
      <w:bookmarkEnd w:id="10"/>
      <w:bookmarkEnd w:id="11"/>
    </w:p>
    <w:p>
      <w:pPr>
        <w:pStyle w:val="3"/>
        <w:ind w:firstLine="596"/>
        <w:rPr>
          <w:kern w:val="0"/>
        </w:rPr>
      </w:pPr>
      <w:bookmarkStart w:id="12" w:name="_Toc29044593"/>
      <w:bookmarkStart w:id="13" w:name="_Toc57542533"/>
      <w:r>
        <w:rPr>
          <w:kern w:val="0"/>
        </w:rPr>
        <w:t>（一）</w:t>
      </w:r>
      <w:bookmarkStart w:id="14" w:name="_Hlk518291918"/>
      <w:r>
        <w:rPr>
          <w:rFonts w:hint="eastAsia" w:ascii="Times New Roman" w:hAnsi="Times New Roman"/>
          <w:kern w:val="0"/>
        </w:rPr>
        <w:t>2019年</w:t>
      </w:r>
      <w:r>
        <w:rPr>
          <w:rFonts w:hint="eastAsia"/>
          <w:kern w:val="0"/>
        </w:rPr>
        <w:t>部门预算情况</w:t>
      </w:r>
      <w:bookmarkEnd w:id="12"/>
      <w:bookmarkEnd w:id="13"/>
    </w:p>
    <w:bookmarkEnd w:id="14"/>
    <w:p>
      <w:pPr>
        <w:pStyle w:val="3"/>
        <w:ind w:firstLine="594"/>
        <w:rPr>
          <w:rFonts w:ascii="Times New Roman" w:hAnsi="Times New Roman" w:eastAsia="仿宋" w:cs="Times New Roman"/>
          <w:b w:val="0"/>
          <w:bCs w:val="0"/>
          <w:kern w:val="0"/>
          <w:szCs w:val="24"/>
        </w:rPr>
      </w:pPr>
      <w:bookmarkStart w:id="15" w:name="_Toc57390234"/>
      <w:bookmarkStart w:id="16" w:name="_Toc57542534"/>
      <w:bookmarkStart w:id="17" w:name="_Toc29044594"/>
      <w:r>
        <w:rPr>
          <w:rFonts w:hint="eastAsia" w:ascii="Times New Roman" w:hAnsi="Times New Roman" w:eastAsia="仿宋" w:cs="Times New Roman"/>
          <w:b w:val="0"/>
          <w:bCs w:val="0"/>
          <w:kern w:val="0"/>
          <w:szCs w:val="24"/>
        </w:rPr>
        <w:t>经衡山县财政局通过的2019年部门预算批复，全年收入预算总计635.83万元，其中：经费拨款635.83万元，纳入预算管理的非税收入拨款0万元，转移支付安排0万元，基金预算拨款0万元，财政专户管理的非税收入拨款0万元，经营收入0万元，上级补助收入0万元，附属单位缴款0万元，其他收入0万元。</w:t>
      </w:r>
      <w:bookmarkEnd w:id="15"/>
      <w:bookmarkEnd w:id="16"/>
    </w:p>
    <w:p>
      <w:pPr>
        <w:pStyle w:val="3"/>
        <w:ind w:firstLine="594"/>
        <w:rPr>
          <w:rFonts w:ascii="Times New Roman" w:hAnsi="Times New Roman" w:eastAsia="仿宋" w:cs="Times New Roman"/>
          <w:b w:val="0"/>
          <w:bCs w:val="0"/>
          <w:kern w:val="0"/>
          <w:szCs w:val="24"/>
        </w:rPr>
      </w:pPr>
      <w:bookmarkStart w:id="18" w:name="_Toc57542535"/>
      <w:bookmarkStart w:id="19" w:name="_Toc57390235"/>
      <w:r>
        <w:rPr>
          <w:rFonts w:hint="eastAsia" w:ascii="Times New Roman" w:hAnsi="Times New Roman" w:eastAsia="仿宋" w:cs="Times New Roman"/>
          <w:b w:val="0"/>
          <w:bCs w:val="0"/>
          <w:kern w:val="0"/>
          <w:szCs w:val="24"/>
        </w:rPr>
        <w:t>全年支出预算总计635.83万元，其中：基本支出383.43万元（工资福利支出345.13万元、一般商品和服务支出38.30万元、对个人和家庭的补助0万元），项目支出252.40万元、经营支出0万元，对附属单位补助支出0万元，上缴上级支出0万元，结转自筹基建0万元。全年预算收支平衡。</w:t>
      </w:r>
      <w:bookmarkEnd w:id="18"/>
      <w:bookmarkEnd w:id="19"/>
    </w:p>
    <w:p>
      <w:pPr>
        <w:pStyle w:val="3"/>
        <w:ind w:firstLine="596"/>
      </w:pPr>
      <w:bookmarkStart w:id="20" w:name="_Toc57542536"/>
      <w:r>
        <w:t>（二）</w:t>
      </w:r>
      <w:r>
        <w:rPr>
          <w:rFonts w:hint="eastAsia" w:ascii="Times New Roman" w:hAnsi="Times New Roman"/>
        </w:rPr>
        <w:t>2019年</w:t>
      </w:r>
      <w:r>
        <w:rPr>
          <w:rFonts w:hint="eastAsia"/>
        </w:rPr>
        <w:t>部门决算情况</w:t>
      </w:r>
      <w:bookmarkEnd w:id="17"/>
      <w:bookmarkEnd w:id="20"/>
    </w:p>
    <w:p>
      <w:pPr>
        <w:pStyle w:val="3"/>
        <w:ind w:firstLine="594"/>
        <w:rPr>
          <w:rFonts w:ascii="Times New Roman" w:hAnsi="Times New Roman" w:eastAsia="仿宋" w:cs="Times New Roman"/>
          <w:b w:val="0"/>
          <w:bCs w:val="0"/>
          <w:kern w:val="0"/>
          <w:szCs w:val="24"/>
        </w:rPr>
      </w:pPr>
      <w:bookmarkStart w:id="21" w:name="_Toc57542537"/>
      <w:bookmarkStart w:id="22" w:name="_Toc57390237"/>
      <w:bookmarkStart w:id="23" w:name="_Toc29044595"/>
      <w:r>
        <w:rPr>
          <w:rFonts w:hint="eastAsia" w:ascii="Times New Roman" w:hAnsi="Times New Roman" w:eastAsia="仿宋" w:cs="Times New Roman"/>
          <w:b w:val="0"/>
          <w:bCs w:val="0"/>
          <w:kern w:val="0"/>
          <w:szCs w:val="24"/>
        </w:rPr>
        <w:t>2019年度决算总收入864.26万元，其中：一般公共预算财政拨款收入738.78万元，政府性基金预算财政拨款收入125.49万元。</w:t>
      </w:r>
      <w:bookmarkEnd w:id="21"/>
      <w:bookmarkEnd w:id="22"/>
    </w:p>
    <w:p>
      <w:pPr>
        <w:pStyle w:val="3"/>
        <w:ind w:firstLine="594"/>
        <w:rPr>
          <w:rFonts w:ascii="Times New Roman" w:hAnsi="Times New Roman" w:eastAsia="仿宋" w:cs="Times New Roman"/>
          <w:b w:val="0"/>
          <w:bCs w:val="0"/>
          <w:kern w:val="0"/>
          <w:szCs w:val="24"/>
        </w:rPr>
      </w:pPr>
      <w:bookmarkStart w:id="24" w:name="_Toc57390238"/>
      <w:bookmarkStart w:id="25" w:name="_Toc57542538"/>
      <w:r>
        <w:rPr>
          <w:rFonts w:hint="eastAsia" w:ascii="Times New Roman" w:hAnsi="Times New Roman" w:eastAsia="仿宋" w:cs="Times New Roman"/>
          <w:b w:val="0"/>
          <w:bCs w:val="0"/>
          <w:kern w:val="0"/>
          <w:szCs w:val="24"/>
        </w:rPr>
        <w:t>2019年度决算总支出948.41万元，其中：基本支出822.92万元，占总支出的86.77%；项目支出125.49万元，占总支出的13.23%。</w:t>
      </w:r>
      <w:bookmarkEnd w:id="24"/>
      <w:bookmarkEnd w:id="25"/>
    </w:p>
    <w:p>
      <w:pPr>
        <w:pStyle w:val="3"/>
        <w:ind w:firstLine="594"/>
        <w:rPr>
          <w:rFonts w:ascii="Times New Roman" w:hAnsi="Times New Roman" w:eastAsia="仿宋" w:cs="Times New Roman"/>
          <w:b w:val="0"/>
          <w:bCs w:val="0"/>
          <w:kern w:val="0"/>
          <w:szCs w:val="24"/>
        </w:rPr>
      </w:pPr>
      <w:bookmarkStart w:id="26" w:name="_Toc57390239"/>
      <w:bookmarkStart w:id="27" w:name="_Toc57542539"/>
      <w:r>
        <w:rPr>
          <w:rFonts w:hint="eastAsia" w:ascii="Times New Roman" w:hAnsi="Times New Roman" w:eastAsia="仿宋" w:cs="Times New Roman"/>
          <w:b w:val="0"/>
          <w:bCs w:val="0"/>
          <w:kern w:val="0"/>
          <w:szCs w:val="24"/>
        </w:rPr>
        <w:t>2019年年初结转和结余117.06万元，2019年年末结转和结余32.91万元。</w:t>
      </w:r>
      <w:bookmarkEnd w:id="26"/>
      <w:bookmarkEnd w:id="27"/>
    </w:p>
    <w:p>
      <w:pPr>
        <w:pStyle w:val="3"/>
        <w:ind w:firstLine="596"/>
      </w:pPr>
      <w:bookmarkStart w:id="28" w:name="_Toc57542540"/>
      <w:r>
        <w:t>（</w:t>
      </w:r>
      <w:r>
        <w:rPr>
          <w:rFonts w:hint="eastAsia"/>
        </w:rPr>
        <w:t>三</w:t>
      </w:r>
      <w:r>
        <w:t>）</w:t>
      </w:r>
      <w:r>
        <w:rPr>
          <w:rFonts w:hint="eastAsia" w:ascii="Times New Roman" w:hAnsi="Times New Roman"/>
        </w:rPr>
        <w:t>2019年</w:t>
      </w:r>
      <w:r>
        <w:rPr>
          <w:rFonts w:hint="eastAsia"/>
        </w:rPr>
        <w:t>支出分类情况</w:t>
      </w:r>
      <w:bookmarkEnd w:id="23"/>
      <w:bookmarkEnd w:id="28"/>
    </w:p>
    <w:p>
      <w:pPr>
        <w:pStyle w:val="4"/>
        <w:ind w:firstLine="596"/>
        <w:rPr>
          <w:kern w:val="0"/>
        </w:rPr>
      </w:pPr>
      <w:bookmarkStart w:id="29" w:name="_Toc29044596"/>
      <w:bookmarkStart w:id="30" w:name="_Toc57542541"/>
      <w:r>
        <w:rPr>
          <w:rFonts w:hint="eastAsia"/>
          <w:kern w:val="0"/>
        </w:rPr>
        <w:t>1、</w:t>
      </w:r>
      <w:r>
        <w:rPr>
          <w:kern w:val="0"/>
        </w:rPr>
        <w:t>基本支出</w:t>
      </w:r>
      <w:bookmarkEnd w:id="29"/>
      <w:bookmarkEnd w:id="30"/>
    </w:p>
    <w:p>
      <w:pPr>
        <w:pStyle w:val="3"/>
        <w:ind w:firstLine="594"/>
        <w:rPr>
          <w:rFonts w:ascii="Times New Roman" w:hAnsi="Times New Roman" w:eastAsia="仿宋" w:cs="Times New Roman"/>
          <w:b w:val="0"/>
          <w:bCs w:val="0"/>
          <w:kern w:val="0"/>
          <w:szCs w:val="24"/>
        </w:rPr>
      </w:pPr>
      <w:bookmarkStart w:id="31" w:name="_Toc57542542"/>
      <w:bookmarkStart w:id="32" w:name="_Toc57390242"/>
      <w:bookmarkStart w:id="33" w:name="_Toc29044598"/>
      <w:r>
        <w:rPr>
          <w:rFonts w:hint="eastAsia" w:ascii="Times New Roman" w:hAnsi="Times New Roman" w:eastAsia="仿宋" w:cs="Times New Roman"/>
          <w:b w:val="0"/>
          <w:bCs w:val="0"/>
          <w:kern w:val="0"/>
          <w:szCs w:val="24"/>
        </w:rPr>
        <w:t>基本支出是指为保障单位机构正常运转、完成日常工作任务而发生的各项支出，包括用于在职和离退休人员基本工资、津贴补贴等人员经费以及办公费、印刷费、水电费、差旅费、维修（护）费等日常公用经费。衡山县医疗保障局2019年基本支出822.92万元，较上年增加7.71万元，增长0.95%。基本支出中人员经费593.81万元，占基本支出的72.16%，较上年减少20.49%，日常公用经费229.12万元，占基本支出的27.84%，较上年增加235.17%。</w:t>
      </w:r>
      <w:bookmarkEnd w:id="31"/>
      <w:bookmarkEnd w:id="32"/>
    </w:p>
    <w:p>
      <w:pPr>
        <w:pStyle w:val="4"/>
        <w:ind w:firstLine="596"/>
        <w:rPr>
          <w:kern w:val="0"/>
        </w:rPr>
      </w:pPr>
      <w:bookmarkStart w:id="34" w:name="_Toc57542543"/>
      <w:r>
        <w:rPr>
          <w:rFonts w:hint="eastAsia"/>
          <w:kern w:val="0"/>
        </w:rPr>
        <w:t>2、项目支出</w:t>
      </w:r>
      <w:bookmarkEnd w:id="34"/>
    </w:p>
    <w:p>
      <w:pPr>
        <w:pStyle w:val="3"/>
        <w:ind w:firstLine="594"/>
        <w:rPr>
          <w:rFonts w:ascii="Times New Roman" w:hAnsi="Times New Roman" w:eastAsia="仿宋" w:cs="Times New Roman"/>
          <w:b w:val="0"/>
          <w:bCs w:val="0"/>
          <w:kern w:val="0"/>
          <w:szCs w:val="24"/>
        </w:rPr>
      </w:pPr>
      <w:bookmarkStart w:id="35" w:name="_Toc57542544"/>
      <w:bookmarkStart w:id="36" w:name="_Toc57390244"/>
      <w:r>
        <w:rPr>
          <w:rFonts w:hint="eastAsia" w:ascii="Times New Roman" w:hAnsi="Times New Roman" w:eastAsia="仿宋" w:cs="Times New Roman"/>
          <w:b w:val="0"/>
          <w:bCs w:val="0"/>
          <w:kern w:val="0"/>
          <w:szCs w:val="24"/>
        </w:rPr>
        <w:t>项目支出指单位为完成特定工作任务或事业发展目标而发生的支出，包括基本建设类项目支出和行政事业类项目支出。衡山县医疗保障局2019年项目支出125.49万元，比上年减少43.82万元，下降25.88%，其中基本建设类项目支出125.49万元，行政事业类项目0万元，上年度基本建设类项目支出为130.59万元，行政类事业项目38.73万元。</w:t>
      </w:r>
      <w:bookmarkEnd w:id="35"/>
      <w:bookmarkEnd w:id="36"/>
      <w:r>
        <w:rPr>
          <w:rFonts w:hint="eastAsia" w:ascii="Times New Roman" w:hAnsi="Times New Roman" w:eastAsia="仿宋" w:cs="Times New Roman"/>
          <w:b w:val="0"/>
          <w:bCs w:val="0"/>
          <w:kern w:val="0"/>
          <w:szCs w:val="24"/>
        </w:rPr>
        <w:t xml:space="preserve"> </w:t>
      </w:r>
    </w:p>
    <w:p>
      <w:pPr>
        <w:pStyle w:val="3"/>
        <w:ind w:firstLine="596"/>
      </w:pPr>
      <w:bookmarkStart w:id="37" w:name="_Toc57542545"/>
      <w:r>
        <w:rPr>
          <w:rFonts w:hint="eastAsia"/>
        </w:rPr>
        <w:t>（四）“三公”经费情况</w:t>
      </w:r>
      <w:bookmarkEnd w:id="33"/>
      <w:bookmarkEnd w:id="37"/>
    </w:p>
    <w:p>
      <w:pPr>
        <w:ind w:firstLine="594"/>
        <w:rPr>
          <w:kern w:val="0"/>
        </w:rPr>
      </w:pPr>
      <w:bookmarkStart w:id="38" w:name="_Toc29044599"/>
      <w:r>
        <w:rPr>
          <w:rFonts w:hint="eastAsia"/>
          <w:kern w:val="0"/>
        </w:rPr>
        <w:t>2019年“三公”经费支出2.94万元，其中公务接待2.94万元、公务用车运行维护费0万元，“三公”经费年初预算3.00万元，其中公务接待费3.00万元、公务用车运行维护费0万元，“三公”经费实际支出占年初预算的98.00%，“三公”经费实际支出同比上年下降38%。下降的主要原因是公务接待费减少。</w:t>
      </w:r>
    </w:p>
    <w:p>
      <w:pPr>
        <w:pStyle w:val="2"/>
        <w:ind w:firstLine="594"/>
        <w:rPr>
          <w:kern w:val="0"/>
        </w:rPr>
      </w:pPr>
      <w:bookmarkStart w:id="39" w:name="_Toc57542546"/>
      <w:r>
        <w:rPr>
          <w:rFonts w:hint="eastAsia"/>
          <w:kern w:val="0"/>
        </w:rPr>
        <w:t>三、资产管理情况</w:t>
      </w:r>
      <w:bookmarkEnd w:id="38"/>
      <w:bookmarkEnd w:id="39"/>
    </w:p>
    <w:p>
      <w:pPr>
        <w:pStyle w:val="2"/>
        <w:ind w:firstLine="594"/>
        <w:rPr>
          <w:rFonts w:eastAsia="仿宋"/>
          <w:bCs w:val="0"/>
          <w:kern w:val="0"/>
          <w:szCs w:val="24"/>
        </w:rPr>
      </w:pPr>
      <w:bookmarkStart w:id="40" w:name="_Toc57390247"/>
      <w:bookmarkStart w:id="41" w:name="_Toc57542547"/>
      <w:bookmarkStart w:id="42" w:name="_Toc29044600"/>
      <w:r>
        <w:rPr>
          <w:rFonts w:hint="eastAsia" w:eastAsia="仿宋"/>
          <w:bCs w:val="0"/>
          <w:kern w:val="0"/>
          <w:szCs w:val="24"/>
        </w:rPr>
        <w:t>截至2019年12月31日，资产总额为797.50万元，其中：流动资产760.77万元，占95.39%；固定资产净值36.73万元，占4.61%，其中房屋建筑物3.13万元，占固定资产的8.52%，</w:t>
      </w:r>
      <w:r>
        <w:rPr>
          <w:rFonts w:hint="eastAsia" w:eastAsia="仿宋"/>
          <w:kern w:val="0"/>
        </w:rPr>
        <w:t>通用设备22.23万元，占固定资产的60.52</w:t>
      </w:r>
      <w:r>
        <w:rPr>
          <w:rFonts w:eastAsia="仿宋"/>
          <w:kern w:val="0"/>
        </w:rPr>
        <w:t>%，</w:t>
      </w:r>
      <w:r>
        <w:rPr>
          <w:rFonts w:hint="eastAsia" w:eastAsia="仿宋"/>
          <w:kern w:val="0"/>
        </w:rPr>
        <w:t>专用设备2.03万元，占固定资产的5.53</w:t>
      </w:r>
      <w:r>
        <w:rPr>
          <w:rFonts w:eastAsia="仿宋"/>
          <w:kern w:val="0"/>
        </w:rPr>
        <w:t>%，</w:t>
      </w:r>
      <w:r>
        <w:rPr>
          <w:rFonts w:hint="eastAsia" w:eastAsia="仿宋"/>
          <w:kern w:val="0"/>
        </w:rPr>
        <w:t>家具、用具、装具及动植物其他固定资产9.33万元，占固定资产的25.40</w:t>
      </w:r>
      <w:r>
        <w:rPr>
          <w:rFonts w:eastAsia="仿宋"/>
          <w:kern w:val="0"/>
        </w:rPr>
        <w:t>%</w:t>
      </w:r>
      <w:r>
        <w:rPr>
          <w:rFonts w:hint="eastAsia" w:eastAsia="仿宋"/>
          <w:kern w:val="0"/>
        </w:rPr>
        <w:t>；无单价</w:t>
      </w:r>
      <w:r>
        <w:rPr>
          <w:rFonts w:eastAsia="仿宋"/>
          <w:kern w:val="0"/>
        </w:rPr>
        <w:t>50.00</w:t>
      </w:r>
      <w:r>
        <w:rPr>
          <w:rFonts w:hint="eastAsia" w:eastAsia="仿宋"/>
          <w:kern w:val="0"/>
        </w:rPr>
        <w:t>万元以上的通用设备；无单价</w:t>
      </w:r>
      <w:r>
        <w:rPr>
          <w:rFonts w:eastAsia="仿宋"/>
          <w:kern w:val="0"/>
        </w:rPr>
        <w:t>100.00</w:t>
      </w:r>
      <w:r>
        <w:rPr>
          <w:rFonts w:hint="eastAsia" w:eastAsia="仿宋"/>
          <w:kern w:val="0"/>
        </w:rPr>
        <w:t>万元以上的专用设备。</w:t>
      </w:r>
      <w:bookmarkEnd w:id="40"/>
      <w:bookmarkEnd w:id="41"/>
    </w:p>
    <w:p>
      <w:pPr>
        <w:ind w:firstLine="594"/>
        <w:rPr>
          <w:kern w:val="0"/>
        </w:rPr>
      </w:pPr>
      <w:r>
        <w:rPr>
          <w:rFonts w:hint="eastAsia"/>
          <w:bCs/>
          <w:kern w:val="0"/>
        </w:rPr>
        <w:t xml:space="preserve"> </w:t>
      </w:r>
      <w:r>
        <w:rPr>
          <w:kern w:val="0"/>
        </w:rPr>
        <w:t>2019年</w:t>
      </w:r>
      <w:r>
        <w:rPr>
          <w:rFonts w:hint="eastAsia"/>
          <w:kern w:val="0"/>
        </w:rPr>
        <w:t>固定资产</w:t>
      </w:r>
      <w:r>
        <w:rPr>
          <w:kern w:val="0"/>
        </w:rPr>
        <w:t>增加</w:t>
      </w:r>
      <w:r>
        <w:rPr>
          <w:rFonts w:hint="eastAsia"/>
          <w:kern w:val="0"/>
        </w:rPr>
        <w:t>57.42万元，其中房屋及建筑物3.35万元，通用设备39.41万元，专用设备2.03万元，家具、用具、具及动植物12.63万元。</w:t>
      </w:r>
      <w:r>
        <w:rPr>
          <w:kern w:val="0"/>
        </w:rPr>
        <w:t>2019年</w:t>
      </w:r>
      <w:r>
        <w:rPr>
          <w:rFonts w:hint="eastAsia"/>
          <w:kern w:val="0"/>
        </w:rPr>
        <w:t>减少固定资产34.80万元，其中通用设备31.76万元，家具、用具、具及动植物2.37万元。</w:t>
      </w:r>
    </w:p>
    <w:p>
      <w:pPr>
        <w:pStyle w:val="2"/>
        <w:ind w:firstLine="594"/>
        <w:rPr>
          <w:rFonts w:eastAsia="仿宋"/>
          <w:bCs w:val="0"/>
          <w:kern w:val="0"/>
          <w:szCs w:val="24"/>
        </w:rPr>
      </w:pPr>
      <w:bookmarkStart w:id="43" w:name="_Toc57542548"/>
      <w:r>
        <w:rPr>
          <w:rFonts w:hint="eastAsia" w:eastAsia="仿宋"/>
          <w:bCs w:val="0"/>
          <w:kern w:val="0"/>
          <w:szCs w:val="24"/>
        </w:rPr>
        <w:t>2019年固定资产计提折旧80.37万元，其中房屋及构筑物0.22万元，通用设备79.90万元，家具、用具、具及动植物0.26万元。</w:t>
      </w:r>
      <w:bookmarkEnd w:id="43"/>
    </w:p>
    <w:p>
      <w:pPr>
        <w:pStyle w:val="2"/>
        <w:ind w:firstLine="594"/>
        <w:rPr>
          <w:rFonts w:eastAsia="仿宋"/>
          <w:bCs w:val="0"/>
          <w:kern w:val="0"/>
          <w:szCs w:val="24"/>
        </w:rPr>
      </w:pPr>
      <w:bookmarkStart w:id="44" w:name="_Toc57542549"/>
      <w:r>
        <w:rPr>
          <w:rFonts w:hint="eastAsia"/>
          <w:kern w:val="0"/>
        </w:rPr>
        <w:t>四、部门整体绩效情况</w:t>
      </w:r>
      <w:bookmarkEnd w:id="42"/>
      <w:bookmarkEnd w:id="44"/>
    </w:p>
    <w:p>
      <w:pPr>
        <w:pStyle w:val="3"/>
        <w:numPr>
          <w:ilvl w:val="0"/>
          <w:numId w:val="1"/>
        </w:numPr>
        <w:ind w:firstLineChars="0"/>
      </w:pPr>
      <w:bookmarkStart w:id="45" w:name="_Toc29044601"/>
      <w:bookmarkStart w:id="46" w:name="_Toc57542550"/>
      <w:r>
        <w:rPr>
          <w:rFonts w:hint="eastAsia"/>
        </w:rPr>
        <w:t>部门整体绩效目标</w:t>
      </w:r>
      <w:bookmarkEnd w:id="45"/>
      <w:bookmarkEnd w:id="46"/>
    </w:p>
    <w:p>
      <w:pPr>
        <w:ind w:firstLine="594"/>
      </w:pPr>
      <w:r>
        <w:rPr>
          <w:rFonts w:hint="eastAsia"/>
        </w:rPr>
        <w:t>1、</w:t>
      </w:r>
      <w:r>
        <w:t>进一步加大监管力度</w:t>
      </w:r>
    </w:p>
    <w:p>
      <w:pPr>
        <w:ind w:firstLine="594"/>
      </w:pPr>
      <w:r>
        <w:rPr>
          <w:rFonts w:hint="eastAsia"/>
        </w:rPr>
        <w:t>根据各协议医疗机构存在的问题，进一步加大监管力度和处罚力度，规范各协议机构的执业行为，杜绝欺诈骗取医保基金行为，确保基金合理使用、安全。</w:t>
      </w:r>
    </w:p>
    <w:p>
      <w:pPr>
        <w:ind w:firstLine="594"/>
      </w:pPr>
      <w:r>
        <w:rPr>
          <w:rFonts w:hint="eastAsia"/>
        </w:rPr>
        <w:t>2、异地就医结算</w:t>
      </w:r>
    </w:p>
    <w:p>
      <w:pPr>
        <w:ind w:firstLine="594"/>
      </w:pPr>
      <w:r>
        <w:rPr>
          <w:rFonts w:hint="eastAsia"/>
        </w:rPr>
        <w:t>我中心根据中央、省、市有关文件精神，2019年确保能够全面实行异地就医住院的备案和结算</w:t>
      </w:r>
    </w:p>
    <w:p>
      <w:pPr>
        <w:ind w:firstLine="594"/>
      </w:pPr>
      <w:r>
        <w:rPr>
          <w:rFonts w:hint="eastAsia"/>
        </w:rPr>
        <w:t>3、两保合一</w:t>
      </w:r>
    </w:p>
    <w:p>
      <w:pPr>
        <w:ind w:firstLine="594"/>
      </w:pPr>
      <w:r>
        <w:rPr>
          <w:rFonts w:hint="eastAsia"/>
        </w:rPr>
        <w:t>根据中央、省、市有关文件精神，做好前期准备确保城乡居民医保和城镇职工医保顺利合并。</w:t>
      </w:r>
    </w:p>
    <w:p>
      <w:pPr>
        <w:pStyle w:val="3"/>
        <w:ind w:firstLine="596"/>
      </w:pPr>
      <w:bookmarkStart w:id="47" w:name="_Toc29044602"/>
      <w:bookmarkStart w:id="48" w:name="_Toc57542551"/>
      <w:r>
        <w:rPr>
          <w:rFonts w:hint="eastAsia"/>
        </w:rPr>
        <w:t>（二）部门整体绩效情况</w:t>
      </w:r>
      <w:bookmarkEnd w:id="47"/>
      <w:bookmarkEnd w:id="48"/>
    </w:p>
    <w:p>
      <w:pPr>
        <w:ind w:firstLine="594"/>
        <w:rPr>
          <w:kern w:val="0"/>
        </w:rPr>
      </w:pPr>
      <w:bookmarkStart w:id="49" w:name="_Toc29044603"/>
      <w:r>
        <w:rPr>
          <w:rFonts w:hint="eastAsia"/>
          <w:kern w:val="0"/>
        </w:rPr>
        <w:t>1、机构改革有序推进，“三定方案”顺利执行。</w:t>
      </w:r>
    </w:p>
    <w:p>
      <w:pPr>
        <w:ind w:firstLine="635" w:firstLineChars="214"/>
        <w:rPr>
          <w:kern w:val="0"/>
        </w:rPr>
      </w:pPr>
      <w:r>
        <w:rPr>
          <w:rFonts w:hint="eastAsia"/>
          <w:kern w:val="0"/>
        </w:rPr>
        <w:t>2、医保扶贫工作的大力开展，建档立卡贫困户基金征缴和缴费补贴到位率100%，参保信息精准率100%。健康扶贫“一站式”结算工作规范有序开展，系统运转正常，结算流程规范；2019年度城乡居民医保参保率99.89%，高于省市参保率95%的指标；筹集医保基金2.49亿余元；2019年度医保基金运行总体平稳，基金风险在可控范围以内。</w:t>
      </w:r>
    </w:p>
    <w:p>
      <w:pPr>
        <w:ind w:firstLine="635" w:firstLineChars="214"/>
        <w:rPr>
          <w:kern w:val="0"/>
        </w:rPr>
      </w:pPr>
      <w:r>
        <w:rPr>
          <w:rFonts w:hint="eastAsia"/>
          <w:kern w:val="0"/>
        </w:rPr>
        <w:t>3、医保政策执行到位，城镇职工医保和城乡居民医保都严格按照省市规定的医保待遇落实到位。住院统筹、慢性特殊门镇政策参照省市主管局文件要求执行；城乡居民医保继续推行普通门诊统筹，并完善相关的管理制度。今年我县没有因医保政策执行不到位而造成参保人员到省市上访的情况发生；严控不合理医疗费用的增加，减少医药费用支出，对协议医药机构实行协议管理。</w:t>
      </w:r>
    </w:p>
    <w:p>
      <w:pPr>
        <w:ind w:firstLine="635" w:firstLineChars="214"/>
        <w:rPr>
          <w:kern w:val="0"/>
        </w:rPr>
      </w:pPr>
      <w:r>
        <w:rPr>
          <w:rFonts w:hint="eastAsia"/>
          <w:kern w:val="0"/>
        </w:rPr>
        <w:t>4、全面核实参保人员有效身份信息，为两保信息管理系统统一做好前期工作，</w:t>
      </w:r>
    </w:p>
    <w:p>
      <w:pPr>
        <w:ind w:firstLine="635" w:firstLineChars="214"/>
        <w:rPr>
          <w:kern w:val="0"/>
        </w:rPr>
      </w:pPr>
      <w:r>
        <w:rPr>
          <w:rFonts w:hint="eastAsia"/>
          <w:kern w:val="0"/>
        </w:rPr>
        <w:t>5、根据《衡阳市城乡居民医保大病医疗保险实施方案》，由衡山市医疗保障局委托中华联合财产保险衡阳分公司代办。减少广大病患，尤其是重病患者因病返贫的情况出现；开展了异地就医宣传活动，进一步简化异地就医申报备案程序，有效缓解了群众“看病难、报销烦的现象”。</w:t>
      </w:r>
    </w:p>
    <w:p>
      <w:pPr>
        <w:ind w:firstLine="635" w:firstLineChars="214"/>
        <w:rPr>
          <w:kern w:val="0"/>
        </w:rPr>
      </w:pPr>
      <w:r>
        <w:rPr>
          <w:rFonts w:hint="eastAsia"/>
          <w:kern w:val="0"/>
        </w:rPr>
        <w:t>6、医疗救助职能划入我局后，积极与民政部门衔接，了解往年政策执行标准、基金支付情况，根据省市主管局新的指导意见和精神，我局出台了《衡山县医疗保障局关于切实做好全县医疗救助工作的通知》，按标准和规定进行救助。</w:t>
      </w:r>
    </w:p>
    <w:p>
      <w:pPr>
        <w:pStyle w:val="2"/>
        <w:ind w:firstLine="594"/>
        <w:rPr>
          <w:kern w:val="0"/>
        </w:rPr>
      </w:pPr>
      <w:bookmarkStart w:id="50" w:name="_Toc57542552"/>
      <w:r>
        <w:rPr>
          <w:rFonts w:hint="eastAsia"/>
          <w:kern w:val="0"/>
        </w:rPr>
        <w:t>五、综合评价情况及评价结论</w:t>
      </w:r>
      <w:bookmarkEnd w:id="49"/>
      <w:bookmarkEnd w:id="50"/>
    </w:p>
    <w:p>
      <w:pPr>
        <w:pStyle w:val="3"/>
        <w:ind w:firstLine="596"/>
      </w:pPr>
      <w:bookmarkStart w:id="51" w:name="_Toc29044604"/>
      <w:bookmarkStart w:id="52" w:name="_Toc57542553"/>
      <w:r>
        <w:rPr>
          <w:rFonts w:hint="eastAsia"/>
        </w:rPr>
        <w:t>（一）绩效评价结论</w:t>
      </w:r>
      <w:bookmarkEnd w:id="51"/>
      <w:bookmarkEnd w:id="52"/>
    </w:p>
    <w:p>
      <w:pPr>
        <w:ind w:firstLine="594"/>
        <w:rPr>
          <w:kern w:val="0"/>
        </w:rPr>
      </w:pPr>
      <w:r>
        <w:rPr>
          <w:rFonts w:hint="eastAsia"/>
          <w:kern w:val="0"/>
        </w:rPr>
        <w:t>经评价工作组从预算配置、预算执行、预算管理、职责履行和履职效益等方面对衡山县医疗保障局2019年度部门整体支出资金项目进行综合评定，该项目绩效评价得分为</w:t>
      </w:r>
      <w:r>
        <w:rPr>
          <w:kern w:val="0"/>
        </w:rPr>
        <w:t>75</w:t>
      </w:r>
      <w:r>
        <w:rPr>
          <w:rFonts w:hint="eastAsia"/>
          <w:kern w:val="0"/>
        </w:rPr>
        <w:t>分。具体指标评分情况见附件一。</w:t>
      </w:r>
    </w:p>
    <w:p>
      <w:pPr>
        <w:pStyle w:val="3"/>
        <w:ind w:firstLine="596"/>
      </w:pPr>
      <w:bookmarkStart w:id="53" w:name="_Toc29044605"/>
      <w:bookmarkStart w:id="54" w:name="_Toc57542554"/>
      <w:r>
        <w:rPr>
          <w:rFonts w:hint="eastAsia"/>
        </w:rPr>
        <w:t>（二）简析指标评分情况</w:t>
      </w:r>
      <w:bookmarkEnd w:id="53"/>
      <w:bookmarkEnd w:id="54"/>
    </w:p>
    <w:p>
      <w:pPr>
        <w:pStyle w:val="4"/>
        <w:ind w:firstLine="596"/>
        <w:rPr>
          <w:kern w:val="0"/>
        </w:rPr>
      </w:pPr>
      <w:bookmarkStart w:id="55" w:name="_Toc57542555"/>
      <w:bookmarkStart w:id="56" w:name="_Toc29044606"/>
      <w:r>
        <w:rPr>
          <w:rFonts w:hint="eastAsia"/>
          <w:kern w:val="0"/>
        </w:rPr>
        <w:t>1、预算配置控制存在不足，得分为5分</w:t>
      </w:r>
      <w:bookmarkEnd w:id="55"/>
      <w:bookmarkEnd w:id="56"/>
    </w:p>
    <w:p>
      <w:pPr>
        <w:ind w:firstLine="594"/>
        <w:rPr>
          <w:kern w:val="0"/>
        </w:rPr>
      </w:pPr>
      <w:r>
        <w:rPr>
          <w:rFonts w:hint="eastAsia"/>
          <w:kern w:val="0"/>
        </w:rPr>
        <w:t>（1）在职人员控制率=（在职人员69人/编制58人）×100%=118.97%，≦100%得满分5分，每超过一个百分点扣0.5分，扣完为止。本项扣5分，得0分。</w:t>
      </w:r>
    </w:p>
    <w:p>
      <w:pPr>
        <w:ind w:firstLine="594"/>
        <w:rPr>
          <w:kern w:val="0"/>
        </w:rPr>
      </w:pPr>
      <w:r>
        <w:rPr>
          <w:rFonts w:hint="eastAsia"/>
          <w:kern w:val="0"/>
        </w:rPr>
        <w:t>（2）“三公经费”变动率=（本年度“三公经费”预算数</w:t>
      </w:r>
      <w:r>
        <w:rPr>
          <w:kern w:val="0"/>
        </w:rPr>
        <w:t>3</w:t>
      </w:r>
      <w:r>
        <w:rPr>
          <w:rFonts w:hint="eastAsia"/>
          <w:kern w:val="0"/>
        </w:rPr>
        <w:t>.00万元-上年度“三公经费”预算16.71万元）/上年度“三公经费”预算数16.71万元×100%=</w:t>
      </w:r>
      <w:r>
        <w:rPr>
          <w:kern w:val="0"/>
        </w:rPr>
        <w:t>-</w:t>
      </w:r>
      <w:r>
        <w:rPr>
          <w:rFonts w:hint="eastAsia"/>
          <w:kern w:val="0"/>
        </w:rPr>
        <w:t>82.05%，“三公经费”变动率≦0，得5分。</w:t>
      </w:r>
    </w:p>
    <w:p>
      <w:pPr>
        <w:pStyle w:val="4"/>
        <w:ind w:firstLine="596"/>
        <w:rPr>
          <w:kern w:val="0"/>
        </w:rPr>
      </w:pPr>
      <w:bookmarkStart w:id="57" w:name="_Toc57542556"/>
      <w:bookmarkStart w:id="58" w:name="_Toc29044607"/>
      <w:r>
        <w:rPr>
          <w:rFonts w:hint="eastAsia"/>
          <w:kern w:val="0"/>
        </w:rPr>
        <w:t>2、预算执行存在较大不足之处，得分为</w:t>
      </w:r>
      <w:r>
        <w:rPr>
          <w:kern w:val="0"/>
        </w:rPr>
        <w:t>1</w:t>
      </w:r>
      <w:r>
        <w:rPr>
          <w:rFonts w:hint="eastAsia"/>
          <w:kern w:val="0"/>
        </w:rPr>
        <w:t>3分</w:t>
      </w:r>
      <w:bookmarkEnd w:id="57"/>
      <w:bookmarkEnd w:id="58"/>
    </w:p>
    <w:p>
      <w:pPr>
        <w:ind w:firstLine="594"/>
        <w:rPr>
          <w:kern w:val="0"/>
        </w:rPr>
      </w:pPr>
      <w:r>
        <w:rPr>
          <w:rFonts w:hint="eastAsia"/>
          <w:kern w:val="0"/>
        </w:rPr>
        <w:t>（1）预算完成率=（上年结转117.06万元+年初预算数635.83万元+本年追加预算228.43万元-年末结余32.91万元）/(上年结转117.06万元+年初预算数635.83万元+本年追加预算228.43万元)×100%=96.65%， 100%记满分，每低于5%扣2分，本项扣2分，得3分。</w:t>
      </w:r>
    </w:p>
    <w:p>
      <w:pPr>
        <w:ind w:firstLine="594"/>
        <w:rPr>
          <w:kern w:val="0"/>
        </w:rPr>
      </w:pPr>
      <w:r>
        <w:rPr>
          <w:rFonts w:hint="eastAsia"/>
          <w:kern w:val="0"/>
        </w:rPr>
        <w:t>（2）</w:t>
      </w:r>
      <w:bookmarkStart w:id="59" w:name="_Hlk57732370"/>
      <w:r>
        <w:rPr>
          <w:rFonts w:hint="eastAsia"/>
          <w:kern w:val="0"/>
        </w:rPr>
        <w:t>预算控制率=（本年追加预算228.43万元/年初预算数635.83万元）×100%=35.93%，预算控制率大于30%，本项扣5分，得0分。</w:t>
      </w:r>
    </w:p>
    <w:p>
      <w:pPr>
        <w:ind w:firstLine="594"/>
        <w:rPr>
          <w:kern w:val="0"/>
        </w:rPr>
      </w:pPr>
      <w:r>
        <w:rPr>
          <w:rFonts w:hint="eastAsia"/>
          <w:kern w:val="0"/>
        </w:rPr>
        <w:t>（3）新建楼堂馆所面积控制率=实际建设面积/批准建设面积*100%。衡山县医疗保障局2019年无新建楼堂馆所，本项目不扣分，得</w:t>
      </w:r>
      <w:r>
        <w:rPr>
          <w:kern w:val="0"/>
        </w:rPr>
        <w:t>5</w:t>
      </w:r>
      <w:r>
        <w:rPr>
          <w:rFonts w:hint="eastAsia"/>
          <w:kern w:val="0"/>
        </w:rPr>
        <w:t>分。</w:t>
      </w:r>
    </w:p>
    <w:p>
      <w:pPr>
        <w:ind w:firstLine="594"/>
        <w:rPr>
          <w:kern w:val="0"/>
        </w:rPr>
      </w:pPr>
      <w:r>
        <w:rPr>
          <w:rFonts w:hint="eastAsia"/>
          <w:kern w:val="0"/>
        </w:rPr>
        <w:t>（4）新建楼堂馆所投资概算控制率=实际投资金额/批准投资金额*100%。衡山县医疗保障局2019年无新建楼堂馆所，本项目不扣分，得5分。</w:t>
      </w:r>
    </w:p>
    <w:p>
      <w:pPr>
        <w:pStyle w:val="4"/>
        <w:ind w:firstLine="596"/>
        <w:rPr>
          <w:kern w:val="0"/>
        </w:rPr>
      </w:pPr>
      <w:bookmarkStart w:id="60" w:name="_Toc29044608"/>
      <w:bookmarkStart w:id="61" w:name="_Toc57542557"/>
      <w:r>
        <w:rPr>
          <w:rFonts w:hint="eastAsia"/>
          <w:kern w:val="0"/>
        </w:rPr>
        <w:t>3、预算管理较不够理想，得分为</w:t>
      </w:r>
      <w:r>
        <w:rPr>
          <w:kern w:val="0"/>
        </w:rPr>
        <w:t>27</w:t>
      </w:r>
      <w:r>
        <w:rPr>
          <w:rFonts w:hint="eastAsia"/>
          <w:kern w:val="0"/>
        </w:rPr>
        <w:t>分</w:t>
      </w:r>
      <w:bookmarkEnd w:id="60"/>
      <w:bookmarkEnd w:id="61"/>
    </w:p>
    <w:p>
      <w:pPr>
        <w:ind w:firstLine="594"/>
        <w:rPr>
          <w:kern w:val="0"/>
        </w:rPr>
      </w:pPr>
      <w:r>
        <w:rPr>
          <w:rFonts w:hint="eastAsia"/>
          <w:kern w:val="0"/>
        </w:rPr>
        <w:t>（1）公用经费控制率=（实际支出公用经费总额229.12万元/预算安排公用经费总额190.30万元）×100%=120.40%，100%以下得满分8分。本项扣8分，得0分。</w:t>
      </w:r>
    </w:p>
    <w:p>
      <w:pPr>
        <w:ind w:firstLine="594"/>
        <w:rPr>
          <w:kern w:val="0"/>
        </w:rPr>
      </w:pPr>
      <w:r>
        <w:rPr>
          <w:rFonts w:hint="eastAsia"/>
          <w:kern w:val="0"/>
        </w:rPr>
        <w:t>（2）“三公”经费总体控制较好，“三公”经费控制率=（“三公经费”实际支出数2.94万元/“三公经费”预算安排数</w:t>
      </w:r>
      <w:r>
        <w:rPr>
          <w:kern w:val="0"/>
        </w:rPr>
        <w:t>3.00</w:t>
      </w:r>
      <w:r>
        <w:rPr>
          <w:rFonts w:hint="eastAsia"/>
          <w:kern w:val="0"/>
        </w:rPr>
        <w:t>万元）×100%=98%，100%以下计满分7分。本项无扣分，得7分。</w:t>
      </w:r>
    </w:p>
    <w:p>
      <w:pPr>
        <w:ind w:firstLine="594"/>
        <w:rPr>
          <w:kern w:val="0"/>
        </w:rPr>
      </w:pPr>
      <w:r>
        <w:rPr>
          <w:rFonts w:hint="eastAsia"/>
          <w:kern w:val="0"/>
        </w:rPr>
        <w:t>（3）政府采购执行率=（实际政府采购金额171.83万元/政府采购预算</w:t>
      </w:r>
      <w:r>
        <w:rPr>
          <w:kern w:val="0"/>
        </w:rPr>
        <w:t>145</w:t>
      </w:r>
      <w:r>
        <w:rPr>
          <w:rFonts w:hint="eastAsia"/>
          <w:kern w:val="0"/>
        </w:rPr>
        <w:t>.</w:t>
      </w:r>
      <w:r>
        <w:rPr>
          <w:kern w:val="0"/>
        </w:rPr>
        <w:t>38</w:t>
      </w:r>
      <w:r>
        <w:rPr>
          <w:rFonts w:hint="eastAsia"/>
          <w:kern w:val="0"/>
        </w:rPr>
        <w:t>万元）×100%=1</w:t>
      </w:r>
      <w:r>
        <w:rPr>
          <w:kern w:val="0"/>
        </w:rPr>
        <w:t>18.19</w:t>
      </w:r>
      <w:r>
        <w:rPr>
          <w:rFonts w:hint="eastAsia"/>
          <w:kern w:val="0"/>
        </w:rPr>
        <w:t>%，100%计满分6分，每超过（降低）5%扣6分，因为机构合并，导致政府采购金额增加，酌情给予3分，本项得</w:t>
      </w:r>
      <w:r>
        <w:rPr>
          <w:kern w:val="0"/>
        </w:rPr>
        <w:t>3</w:t>
      </w:r>
      <w:r>
        <w:rPr>
          <w:rFonts w:hint="eastAsia"/>
          <w:kern w:val="0"/>
        </w:rPr>
        <w:t>分。</w:t>
      </w:r>
    </w:p>
    <w:bookmarkEnd w:id="59"/>
    <w:p>
      <w:pPr>
        <w:ind w:firstLine="594"/>
        <w:rPr>
          <w:kern w:val="0"/>
        </w:rPr>
      </w:pPr>
      <w:r>
        <w:rPr>
          <w:rFonts w:hint="eastAsia"/>
          <w:kern w:val="0"/>
        </w:rPr>
        <w:t>（4）管理制度健全性：衡山县医疗保障局制定了有内部财务管理制度、会计核算制度等管理制度, 得2分；未单独制定厉行节约制度，扣1分；制定的管理制度符合相关法律法规的规定，差旅费支出规定未及时更新管理制度，扣1分；相关管理制度得到有效执行，不扣2分。本项扣2分，得6分。</w:t>
      </w:r>
    </w:p>
    <w:p>
      <w:pPr>
        <w:ind w:firstLine="594"/>
        <w:rPr>
          <w:kern w:val="0"/>
        </w:rPr>
      </w:pPr>
      <w:r>
        <w:rPr>
          <w:rFonts w:hint="eastAsia"/>
          <w:kern w:val="0"/>
        </w:rPr>
        <w:t>（5）资金使用合规性：支出符合国家财经法规和财务管理制度规定以及有关专项资金管理办法的规定；资金拨付有完整的审批程序和手续；项目支出按规定经过评估论证；支出符合部门预算批复的用途；资金使用无截留、挤占、挪用、虚列支出等情况。得6分。</w:t>
      </w:r>
    </w:p>
    <w:p>
      <w:pPr>
        <w:ind w:firstLine="594"/>
        <w:rPr>
          <w:kern w:val="0"/>
        </w:rPr>
      </w:pPr>
      <w:r>
        <w:rPr>
          <w:rFonts w:hint="eastAsia"/>
          <w:kern w:val="0"/>
        </w:rPr>
        <w:t>（6）预决算信息公开性：截止评价报告日，已完成2019年度部门预算、决算的公开，基础数据信息和会计信息资料真实、完整、准确。本项无扣分，得5分。</w:t>
      </w:r>
    </w:p>
    <w:p>
      <w:pPr>
        <w:pStyle w:val="4"/>
        <w:ind w:firstLine="596"/>
        <w:rPr>
          <w:kern w:val="0"/>
        </w:rPr>
      </w:pPr>
      <w:bookmarkStart w:id="62" w:name="_Toc29044609"/>
      <w:bookmarkStart w:id="63" w:name="_Toc57542558"/>
      <w:r>
        <w:rPr>
          <w:rFonts w:hint="eastAsia"/>
          <w:kern w:val="0"/>
        </w:rPr>
        <w:t>4、</w:t>
      </w:r>
      <w:bookmarkEnd w:id="62"/>
      <w:r>
        <w:rPr>
          <w:rFonts w:hint="eastAsia"/>
          <w:kern w:val="0"/>
        </w:rPr>
        <w:t>职责已全部履行，得分为8分。</w:t>
      </w:r>
      <w:bookmarkEnd w:id="63"/>
    </w:p>
    <w:p>
      <w:pPr>
        <w:ind w:firstLine="594"/>
        <w:rPr>
          <w:kern w:val="0"/>
        </w:rPr>
      </w:pPr>
      <w:r>
        <w:rPr>
          <w:rFonts w:hint="eastAsia"/>
          <w:kern w:val="0"/>
        </w:rPr>
        <w:t>衡山县医疗保障局2019年部门重点工作均已完成，本项无扣分，得8分。</w:t>
      </w:r>
    </w:p>
    <w:p>
      <w:pPr>
        <w:pStyle w:val="4"/>
        <w:ind w:firstLine="596"/>
        <w:rPr>
          <w:kern w:val="0"/>
        </w:rPr>
      </w:pPr>
      <w:bookmarkStart w:id="64" w:name="_Toc57542559"/>
      <w:bookmarkStart w:id="65" w:name="_Toc29044610"/>
      <w:r>
        <w:rPr>
          <w:rFonts w:hint="eastAsia"/>
          <w:kern w:val="0"/>
        </w:rPr>
        <w:t>5、履职效益显著，得分为2</w:t>
      </w:r>
      <w:r>
        <w:rPr>
          <w:kern w:val="0"/>
        </w:rPr>
        <w:t>2</w:t>
      </w:r>
      <w:r>
        <w:rPr>
          <w:rFonts w:hint="eastAsia"/>
          <w:kern w:val="0"/>
        </w:rPr>
        <w:t>分。</w:t>
      </w:r>
      <w:bookmarkEnd w:id="64"/>
      <w:bookmarkEnd w:id="65"/>
    </w:p>
    <w:p>
      <w:pPr>
        <w:ind w:firstLine="594"/>
        <w:rPr>
          <w:kern w:val="0"/>
        </w:rPr>
      </w:pPr>
      <w:r>
        <w:rPr>
          <w:rFonts w:hint="eastAsia"/>
          <w:kern w:val="0"/>
        </w:rPr>
        <w:t>（1）经济效益</w:t>
      </w:r>
    </w:p>
    <w:p>
      <w:pPr>
        <w:ind w:firstLine="594"/>
        <w:rPr>
          <w:bCs/>
          <w:kern w:val="0"/>
        </w:rPr>
      </w:pPr>
      <w:r>
        <w:rPr>
          <w:rFonts w:hint="eastAsia"/>
          <w:kern w:val="0"/>
        </w:rPr>
        <w:t>衡山县医疗保障局2019年度城乡居民医保参保率99.89%，高于省市参保率95%的指标；筹集医保基金2.49亿余元；2019年度医保基金运行总体平稳，基金风险在可控范围以内。经济效益可观，根据评分标准，该单位本项指标得分5分。</w:t>
      </w:r>
    </w:p>
    <w:p>
      <w:pPr>
        <w:ind w:firstLine="594"/>
        <w:rPr>
          <w:kern w:val="0"/>
        </w:rPr>
      </w:pPr>
      <w:r>
        <w:rPr>
          <w:rFonts w:hint="eastAsia"/>
          <w:kern w:val="0"/>
        </w:rPr>
        <w:t>（2）社会效益</w:t>
      </w:r>
    </w:p>
    <w:p>
      <w:pPr>
        <w:ind w:firstLine="594"/>
        <w:rPr>
          <w:bCs/>
          <w:kern w:val="0"/>
        </w:rPr>
      </w:pPr>
      <w:r>
        <w:rPr>
          <w:rFonts w:hint="eastAsia"/>
          <w:kern w:val="0"/>
        </w:rPr>
        <w:t>衡山县医疗保障局医保扶贫工作的大力开展，使建档立卡贫困户基金征缴和缴费补贴到位率100%，异地就医有效缓解了群众“看病难、报销烦的现象”，社会效益显著，根据评分标准，该单位本项指标得分5分。</w:t>
      </w:r>
    </w:p>
    <w:p>
      <w:pPr>
        <w:ind w:firstLine="594"/>
        <w:rPr>
          <w:kern w:val="0"/>
        </w:rPr>
      </w:pPr>
      <w:r>
        <w:rPr>
          <w:rFonts w:hint="eastAsia"/>
          <w:kern w:val="0"/>
        </w:rPr>
        <w:t>（3）行政效能（根据部门自评材料评定）</w:t>
      </w:r>
    </w:p>
    <w:p>
      <w:pPr>
        <w:ind w:firstLine="594"/>
        <w:rPr>
          <w:bCs/>
          <w:kern w:val="0"/>
        </w:rPr>
      </w:pPr>
      <w:r>
        <w:rPr>
          <w:rFonts w:hint="eastAsia"/>
          <w:kern w:val="0"/>
        </w:rPr>
        <w:t>该部门在促进部门改进文风会风，加强经费及资产管理，推动网上办事，提高行政效率，降低行政成本等方面取得了较好效果。根据评分标准，该单位本项指标得分6分。</w:t>
      </w:r>
    </w:p>
    <w:p>
      <w:pPr>
        <w:ind w:firstLine="594"/>
        <w:rPr>
          <w:kern w:val="0"/>
        </w:rPr>
      </w:pPr>
      <w:r>
        <w:rPr>
          <w:rFonts w:hint="eastAsia"/>
          <w:kern w:val="0"/>
        </w:rPr>
        <w:t>（4）社会公众或服务对象满意度</w:t>
      </w:r>
    </w:p>
    <w:p>
      <w:pPr>
        <w:ind w:firstLine="594"/>
        <w:rPr>
          <w:bCs/>
          <w:kern w:val="0"/>
        </w:rPr>
      </w:pPr>
      <w:r>
        <w:rPr>
          <w:rFonts w:hint="eastAsia"/>
          <w:kern w:val="0"/>
        </w:rPr>
        <w:t>通过向社会公众发放问卷调查，经统计对本单位的履职效果、厉行节约、信息公开等情况满意度，社会群众对该单位工作开展情况、社会效益等关注程度高、满意度较好，根据评分标准，该单位本项指标得分6分。</w:t>
      </w:r>
    </w:p>
    <w:p>
      <w:pPr>
        <w:pStyle w:val="2"/>
        <w:ind w:firstLine="594"/>
        <w:rPr>
          <w:kern w:val="0"/>
        </w:rPr>
      </w:pPr>
      <w:bookmarkStart w:id="66" w:name="_Toc29044611"/>
      <w:bookmarkStart w:id="67" w:name="_Toc57542560"/>
      <w:r>
        <w:rPr>
          <w:rFonts w:hint="eastAsia"/>
          <w:kern w:val="0"/>
        </w:rPr>
        <w:t>六、存在的问题</w:t>
      </w:r>
      <w:bookmarkEnd w:id="66"/>
      <w:bookmarkEnd w:id="67"/>
    </w:p>
    <w:p>
      <w:pPr>
        <w:pStyle w:val="3"/>
        <w:ind w:firstLine="596"/>
      </w:pPr>
      <w:bookmarkStart w:id="68" w:name="_Toc29044612"/>
      <w:bookmarkStart w:id="69" w:name="_Toc57542561"/>
      <w:bookmarkStart w:id="70" w:name="_Hlk29052081"/>
      <w:r>
        <w:rPr>
          <w:rFonts w:hint="eastAsia"/>
        </w:rPr>
        <w:t>（一）在职人员控制率偏低</w:t>
      </w:r>
    </w:p>
    <w:p>
      <w:pPr>
        <w:pStyle w:val="3"/>
        <w:ind w:firstLine="594"/>
        <w:rPr>
          <w:rFonts w:ascii="Times New Roman" w:hAnsi="Times New Roman" w:eastAsia="仿宋" w:cs="Times New Roman"/>
          <w:b w:val="0"/>
          <w:bCs w:val="0"/>
          <w:kern w:val="0"/>
          <w:szCs w:val="24"/>
        </w:rPr>
      </w:pPr>
      <w:r>
        <w:rPr>
          <w:rFonts w:hint="eastAsia" w:ascii="Times New Roman" w:hAnsi="Times New Roman" w:eastAsia="仿宋" w:cs="Times New Roman"/>
          <w:b w:val="0"/>
          <w:bCs w:val="0"/>
          <w:kern w:val="0"/>
          <w:szCs w:val="24"/>
        </w:rPr>
        <w:t>2</w:t>
      </w:r>
      <w:r>
        <w:rPr>
          <w:rFonts w:ascii="Times New Roman" w:hAnsi="Times New Roman" w:eastAsia="仿宋" w:cs="Times New Roman"/>
          <w:b w:val="0"/>
          <w:bCs w:val="0"/>
          <w:kern w:val="0"/>
          <w:szCs w:val="24"/>
        </w:rPr>
        <w:t>019</w:t>
      </w:r>
      <w:r>
        <w:rPr>
          <w:rFonts w:hint="eastAsia" w:ascii="Times New Roman" w:hAnsi="Times New Roman" w:eastAsia="仿宋" w:cs="Times New Roman"/>
          <w:b w:val="0"/>
          <w:bCs w:val="0"/>
          <w:kern w:val="0"/>
          <w:szCs w:val="24"/>
        </w:rPr>
        <w:t>年经县委机构编制委员会办公室审核人员编制数为5</w:t>
      </w:r>
      <w:r>
        <w:rPr>
          <w:rFonts w:ascii="Times New Roman" w:hAnsi="Times New Roman" w:eastAsia="仿宋" w:cs="Times New Roman"/>
          <w:b w:val="0"/>
          <w:bCs w:val="0"/>
          <w:kern w:val="0"/>
          <w:szCs w:val="24"/>
        </w:rPr>
        <w:t>8</w:t>
      </w:r>
      <w:r>
        <w:rPr>
          <w:rFonts w:hint="eastAsia" w:ascii="Times New Roman" w:hAnsi="Times New Roman" w:eastAsia="仿宋" w:cs="Times New Roman"/>
          <w:b w:val="0"/>
          <w:bCs w:val="0"/>
          <w:kern w:val="0"/>
          <w:szCs w:val="24"/>
        </w:rPr>
        <w:t>人，截止至2</w:t>
      </w:r>
      <w:r>
        <w:rPr>
          <w:rFonts w:ascii="Times New Roman" w:hAnsi="Times New Roman" w:eastAsia="仿宋" w:cs="Times New Roman"/>
          <w:b w:val="0"/>
          <w:bCs w:val="0"/>
          <w:kern w:val="0"/>
          <w:szCs w:val="24"/>
        </w:rPr>
        <w:t>019</w:t>
      </w:r>
      <w:r>
        <w:rPr>
          <w:rFonts w:hint="eastAsia" w:ascii="Times New Roman" w:hAnsi="Times New Roman" w:eastAsia="仿宋" w:cs="Times New Roman"/>
          <w:b w:val="0"/>
          <w:bCs w:val="0"/>
          <w:kern w:val="0"/>
          <w:szCs w:val="24"/>
        </w:rPr>
        <w:t>年1</w:t>
      </w:r>
      <w:r>
        <w:rPr>
          <w:rFonts w:ascii="Times New Roman" w:hAnsi="Times New Roman" w:eastAsia="仿宋" w:cs="Times New Roman"/>
          <w:b w:val="0"/>
          <w:bCs w:val="0"/>
          <w:kern w:val="0"/>
          <w:szCs w:val="24"/>
        </w:rPr>
        <w:t>2</w:t>
      </w:r>
      <w:r>
        <w:rPr>
          <w:rFonts w:hint="eastAsia" w:ascii="Times New Roman" w:hAnsi="Times New Roman" w:eastAsia="仿宋" w:cs="Times New Roman"/>
          <w:b w:val="0"/>
          <w:bCs w:val="0"/>
          <w:kern w:val="0"/>
          <w:szCs w:val="24"/>
        </w:rPr>
        <w:t>月3</w:t>
      </w:r>
      <w:r>
        <w:rPr>
          <w:rFonts w:ascii="Times New Roman" w:hAnsi="Times New Roman" w:eastAsia="仿宋" w:cs="Times New Roman"/>
          <w:b w:val="0"/>
          <w:bCs w:val="0"/>
          <w:kern w:val="0"/>
          <w:szCs w:val="24"/>
        </w:rPr>
        <w:t>1</w:t>
      </w:r>
      <w:r>
        <w:rPr>
          <w:rFonts w:hint="eastAsia" w:ascii="Times New Roman" w:hAnsi="Times New Roman" w:eastAsia="仿宋" w:cs="Times New Roman"/>
          <w:b w:val="0"/>
          <w:bCs w:val="0"/>
          <w:kern w:val="0"/>
          <w:szCs w:val="24"/>
        </w:rPr>
        <w:t>日单位在职人员为6</w:t>
      </w:r>
      <w:r>
        <w:rPr>
          <w:rFonts w:ascii="Times New Roman" w:hAnsi="Times New Roman" w:eastAsia="仿宋" w:cs="Times New Roman"/>
          <w:b w:val="0"/>
          <w:bCs w:val="0"/>
          <w:kern w:val="0"/>
          <w:szCs w:val="24"/>
        </w:rPr>
        <w:t>9</w:t>
      </w:r>
      <w:r>
        <w:rPr>
          <w:rFonts w:hint="eastAsia" w:ascii="Times New Roman" w:hAnsi="Times New Roman" w:eastAsia="仿宋" w:cs="Times New Roman"/>
          <w:b w:val="0"/>
          <w:bCs w:val="0"/>
          <w:kern w:val="0"/>
          <w:szCs w:val="24"/>
        </w:rPr>
        <w:t>人，超编1</w:t>
      </w:r>
      <w:r>
        <w:rPr>
          <w:rFonts w:ascii="Times New Roman" w:hAnsi="Times New Roman" w:eastAsia="仿宋" w:cs="Times New Roman"/>
          <w:b w:val="0"/>
          <w:bCs w:val="0"/>
          <w:kern w:val="0"/>
          <w:szCs w:val="24"/>
        </w:rPr>
        <w:t>1</w:t>
      </w:r>
      <w:r>
        <w:rPr>
          <w:rFonts w:hint="eastAsia" w:ascii="Times New Roman" w:hAnsi="Times New Roman" w:eastAsia="仿宋" w:cs="Times New Roman"/>
          <w:b w:val="0"/>
          <w:bCs w:val="0"/>
          <w:kern w:val="0"/>
          <w:szCs w:val="24"/>
        </w:rPr>
        <w:t>人，在职人员控制率为118.97%。</w:t>
      </w:r>
    </w:p>
    <w:p>
      <w:pPr>
        <w:pStyle w:val="3"/>
        <w:ind w:firstLine="596"/>
      </w:pPr>
      <w:r>
        <w:rPr>
          <w:rFonts w:hint="eastAsia"/>
        </w:rPr>
        <w:t>（二）</w:t>
      </w:r>
      <w:r>
        <w:t>预算编制</w:t>
      </w:r>
      <w:r>
        <w:rPr>
          <w:rFonts w:hint="eastAsia"/>
        </w:rPr>
        <w:t>不够</w:t>
      </w:r>
      <w:r>
        <w:t>严谨</w:t>
      </w:r>
      <w:r>
        <w:rPr>
          <w:rFonts w:hint="eastAsia"/>
        </w:rPr>
        <w:t>，</w:t>
      </w:r>
      <w:bookmarkEnd w:id="68"/>
      <w:bookmarkEnd w:id="69"/>
      <w:r>
        <w:rPr>
          <w:rFonts w:hint="eastAsia"/>
        </w:rPr>
        <w:t>预算完成、控制率偏低</w:t>
      </w:r>
    </w:p>
    <w:p>
      <w:pPr>
        <w:pStyle w:val="4"/>
        <w:ind w:firstLine="596"/>
        <w:rPr>
          <w:kern w:val="0"/>
        </w:rPr>
      </w:pPr>
      <w:bookmarkStart w:id="71" w:name="_Toc57542562"/>
      <w:bookmarkStart w:id="72" w:name="_Toc29044613"/>
      <w:r>
        <w:rPr>
          <w:rFonts w:hint="eastAsia"/>
          <w:kern w:val="0"/>
        </w:rPr>
        <w:t>1、预算完成率偏低</w:t>
      </w:r>
      <w:bookmarkEnd w:id="71"/>
      <w:bookmarkEnd w:id="72"/>
    </w:p>
    <w:p>
      <w:pPr>
        <w:ind w:firstLine="594"/>
        <w:rPr>
          <w:kern w:val="0"/>
        </w:rPr>
      </w:pPr>
      <w:r>
        <w:rPr>
          <w:rFonts w:hint="eastAsia"/>
          <w:kern w:val="0"/>
        </w:rPr>
        <w:t>结合201</w:t>
      </w:r>
      <w:r>
        <w:rPr>
          <w:kern w:val="0"/>
        </w:rPr>
        <w:t>8</w:t>
      </w:r>
      <w:r>
        <w:rPr>
          <w:rFonts w:hint="eastAsia"/>
          <w:kern w:val="0"/>
        </w:rPr>
        <w:t>年和2019年预算执行情况，其中上年结转数117,06万元，年初预算数635.83万元，本年追加预算数102.95万元，年末结余32.91万元。根据预算完成率=（上年结转数+年初预算数+本年追加预算数-年末结余数）/(上年结转数+年初预算数+本年追加预算数)×100%，2019年预算完成率为96.65%。</w:t>
      </w:r>
    </w:p>
    <w:p>
      <w:pPr>
        <w:pStyle w:val="4"/>
        <w:ind w:firstLine="596"/>
        <w:rPr>
          <w:kern w:val="0"/>
        </w:rPr>
      </w:pPr>
      <w:bookmarkStart w:id="73" w:name="_Toc57542563"/>
      <w:bookmarkStart w:id="74" w:name="_Toc29044614"/>
      <w:r>
        <w:rPr>
          <w:rFonts w:hint="eastAsia"/>
          <w:kern w:val="0"/>
        </w:rPr>
        <w:t>2、年末存在结余资金</w:t>
      </w:r>
      <w:bookmarkEnd w:id="73"/>
      <w:bookmarkEnd w:id="74"/>
    </w:p>
    <w:p>
      <w:pPr>
        <w:ind w:firstLine="594"/>
        <w:rPr>
          <w:kern w:val="0"/>
        </w:rPr>
      </w:pPr>
      <w:r>
        <w:rPr>
          <w:rFonts w:hint="eastAsia"/>
          <w:kern w:val="0"/>
        </w:rPr>
        <w:t>结合2018年和2019年预算执行情况，截至2019年12月31日结余资金32.91万元，结余资金32.91万元占年初预算数635.83万元比例的</w:t>
      </w:r>
      <w:r>
        <w:rPr>
          <w:kern w:val="0"/>
        </w:rPr>
        <w:t>5.17%</w:t>
      </w:r>
      <w:r>
        <w:rPr>
          <w:rFonts w:hint="eastAsia"/>
          <w:kern w:val="0"/>
        </w:rPr>
        <w:t>。</w:t>
      </w:r>
    </w:p>
    <w:p>
      <w:pPr>
        <w:pStyle w:val="4"/>
        <w:ind w:firstLine="596"/>
        <w:rPr>
          <w:kern w:val="0"/>
        </w:rPr>
      </w:pPr>
      <w:r>
        <w:rPr>
          <w:rFonts w:hint="eastAsia"/>
          <w:kern w:val="0"/>
        </w:rPr>
        <w:t>3、预算控制率偏低</w:t>
      </w:r>
    </w:p>
    <w:p>
      <w:pPr>
        <w:ind w:firstLine="594"/>
        <w:rPr>
          <w:kern w:val="0"/>
        </w:rPr>
      </w:pPr>
      <w:r>
        <w:rPr>
          <w:rFonts w:hint="eastAsia"/>
          <w:kern w:val="0"/>
        </w:rPr>
        <w:t>衡山县医疗保障局2</w:t>
      </w:r>
      <w:r>
        <w:rPr>
          <w:kern w:val="0"/>
        </w:rPr>
        <w:t>019</w:t>
      </w:r>
      <w:r>
        <w:rPr>
          <w:rFonts w:hint="eastAsia"/>
          <w:kern w:val="0"/>
        </w:rPr>
        <w:t>年预算追加数为228.43万元，年初预算数635.83万元，预算控制率为</w:t>
      </w:r>
      <w:r>
        <w:rPr>
          <w:kern w:val="0"/>
        </w:rPr>
        <w:t>35.93%</w:t>
      </w:r>
      <w:r>
        <w:rPr>
          <w:rFonts w:hint="eastAsia"/>
          <w:kern w:val="0"/>
        </w:rPr>
        <w:t>。</w:t>
      </w:r>
    </w:p>
    <w:p>
      <w:pPr>
        <w:pStyle w:val="4"/>
        <w:ind w:firstLine="596"/>
        <w:rPr>
          <w:kern w:val="0"/>
        </w:rPr>
      </w:pPr>
      <w:r>
        <w:rPr>
          <w:kern w:val="0"/>
        </w:rPr>
        <w:t>4</w:t>
      </w:r>
      <w:r>
        <w:rPr>
          <w:rFonts w:hint="eastAsia"/>
          <w:kern w:val="0"/>
        </w:rPr>
        <w:t>、公用经费控制率偏低</w:t>
      </w:r>
    </w:p>
    <w:p>
      <w:pPr>
        <w:ind w:firstLine="594"/>
        <w:rPr>
          <w:kern w:val="0"/>
        </w:rPr>
      </w:pPr>
      <w:r>
        <w:rPr>
          <w:rFonts w:hint="eastAsia"/>
          <w:kern w:val="0"/>
        </w:rPr>
        <w:t>衡山县医疗保障局2</w:t>
      </w:r>
      <w:r>
        <w:rPr>
          <w:kern w:val="0"/>
        </w:rPr>
        <w:t>019</w:t>
      </w:r>
      <w:r>
        <w:rPr>
          <w:rFonts w:hint="eastAsia"/>
          <w:kern w:val="0"/>
        </w:rPr>
        <w:t>年实际支出公用经费总额229.12万元，预算安排公用经费总额190.30万元，公用经费控制率为120.40%。</w:t>
      </w:r>
    </w:p>
    <w:p>
      <w:pPr>
        <w:pStyle w:val="4"/>
        <w:ind w:firstLine="596"/>
        <w:rPr>
          <w:kern w:val="0"/>
        </w:rPr>
      </w:pPr>
      <w:r>
        <w:rPr>
          <w:kern w:val="0"/>
        </w:rPr>
        <w:t>5</w:t>
      </w:r>
      <w:r>
        <w:rPr>
          <w:rFonts w:hint="eastAsia"/>
          <w:kern w:val="0"/>
        </w:rPr>
        <w:t>、政府采购预算编制不够精细</w:t>
      </w:r>
    </w:p>
    <w:p>
      <w:pPr>
        <w:pStyle w:val="4"/>
        <w:ind w:firstLine="594"/>
        <w:rPr>
          <w:b w:val="0"/>
          <w:bCs w:val="0"/>
          <w:kern w:val="0"/>
          <w:szCs w:val="24"/>
        </w:rPr>
      </w:pPr>
      <w:r>
        <w:rPr>
          <w:rFonts w:hint="eastAsia"/>
          <w:b w:val="0"/>
          <w:bCs w:val="0"/>
          <w:kern w:val="0"/>
          <w:szCs w:val="24"/>
        </w:rPr>
        <w:t>2019年政府采购预算数125.49万元，实际执行政府采购金额为171.83万元，政府采购执行率136.93%。实际执行政府采购金额与预算金额差异较大。单位编制年度预算时，未按预算管理要求，将精准编制部门预算，存在少编预算采购的问题。</w:t>
      </w:r>
    </w:p>
    <w:p>
      <w:pPr>
        <w:pStyle w:val="3"/>
        <w:ind w:firstLine="596"/>
      </w:pPr>
      <w:r>
        <w:rPr>
          <w:rFonts w:hint="eastAsia"/>
        </w:rPr>
        <w:t>（三）内控管理制度不完善，未及时更新</w:t>
      </w:r>
    </w:p>
    <w:p>
      <w:pPr>
        <w:ind w:firstLine="594"/>
      </w:pPr>
      <w:r>
        <w:rPr>
          <w:rFonts w:hint="eastAsia"/>
        </w:rPr>
        <w:t>衡山县医疗保障局未按规定对差旅费、公务接待费、会议费等方面制定相应的管理制度，仅在单位财务管理制度中对相关制度进行了规定，2</w:t>
      </w:r>
      <w:r>
        <w:t>019</w:t>
      </w:r>
      <w:r>
        <w:rPr>
          <w:rFonts w:hint="eastAsia"/>
        </w:rPr>
        <w:t>年衡山县相关部门对党政机关公务接待、差旅费、会议费等方面进行了修订，但县医疗保障局未及时更费用管理制度。</w:t>
      </w:r>
    </w:p>
    <w:bookmarkEnd w:id="70"/>
    <w:p>
      <w:pPr>
        <w:pStyle w:val="2"/>
        <w:ind w:firstLine="594"/>
        <w:rPr>
          <w:kern w:val="0"/>
        </w:rPr>
      </w:pPr>
      <w:bookmarkStart w:id="75" w:name="_Toc57542568"/>
      <w:bookmarkStart w:id="76" w:name="_Toc29044629"/>
      <w:r>
        <w:rPr>
          <w:rFonts w:hint="eastAsia"/>
          <w:kern w:val="0"/>
        </w:rPr>
        <w:t>七、建议</w:t>
      </w:r>
      <w:bookmarkEnd w:id="75"/>
      <w:bookmarkEnd w:id="76"/>
    </w:p>
    <w:p>
      <w:pPr>
        <w:pStyle w:val="3"/>
        <w:ind w:firstLine="596"/>
      </w:pPr>
      <w:bookmarkStart w:id="77" w:name="_Toc57542569"/>
      <w:bookmarkStart w:id="78" w:name="_Toc29044630"/>
      <w:r>
        <w:rPr>
          <w:rFonts w:hint="eastAsia"/>
        </w:rPr>
        <w:t>（一）</w:t>
      </w:r>
      <w:bookmarkStart w:id="79" w:name="_Hlk29051943"/>
      <w:r>
        <w:rPr>
          <w:rFonts w:hint="eastAsia"/>
        </w:rPr>
        <w:t>科学合理编制预算</w:t>
      </w:r>
      <w:bookmarkEnd w:id="77"/>
      <w:bookmarkEnd w:id="78"/>
    </w:p>
    <w:bookmarkEnd w:id="79"/>
    <w:p>
      <w:pPr>
        <w:ind w:firstLine="594"/>
        <w:rPr>
          <w:kern w:val="0"/>
        </w:rPr>
      </w:pPr>
      <w:bookmarkStart w:id="80" w:name="_Hlk29051928"/>
      <w:r>
        <w:rPr>
          <w:rFonts w:hint="eastAsia"/>
          <w:kern w:val="0"/>
        </w:rPr>
        <w:t>细化预算编制工作，认真做好预算的编制，进一步加强单位内部工作人员预算管理意识，建议按照《预算法》及其实施条例的相关规定，参考上一年的预算执行情况、年初资金结余情况和年度中的收支预测科学编制预算，使编制的预算更加细化便于操作，尽量减少对预算的调整，提高预算的执行率。强化预算执行，分析财务收支执行进度，合理调度资金，减少期末存量资金，不断提高资金使用效益，人员配置方面也要对其合理把握，把人数控制在合规的范围内。</w:t>
      </w:r>
    </w:p>
    <w:bookmarkEnd w:id="80"/>
    <w:p>
      <w:pPr>
        <w:pStyle w:val="3"/>
        <w:ind w:firstLine="596"/>
      </w:pPr>
      <w:bookmarkStart w:id="81" w:name="_Toc57542570"/>
      <w:bookmarkStart w:id="82" w:name="_Toc29044631"/>
      <w:bookmarkStart w:id="83" w:name="_Hlk29051781"/>
      <w:r>
        <w:rPr>
          <w:rFonts w:hint="eastAsia"/>
        </w:rPr>
        <w:t>（二）更新完善内控制度</w:t>
      </w:r>
      <w:bookmarkEnd w:id="81"/>
      <w:bookmarkEnd w:id="82"/>
    </w:p>
    <w:p>
      <w:pPr>
        <w:ind w:firstLine="594"/>
        <w:rPr>
          <w:kern w:val="0"/>
        </w:rPr>
      </w:pPr>
      <w:r>
        <w:rPr>
          <w:rFonts w:hint="eastAsia"/>
          <w:kern w:val="0"/>
        </w:rPr>
        <w:t>建议县医疗保障局根据2</w:t>
      </w:r>
      <w:r>
        <w:rPr>
          <w:kern w:val="0"/>
        </w:rPr>
        <w:t>019</w:t>
      </w:r>
      <w:r>
        <w:rPr>
          <w:rFonts w:hint="eastAsia"/>
          <w:kern w:val="0"/>
        </w:rPr>
        <w:t>年中共衡山县委办公室、衡山县人民政府办公室关于印发《衡山县党政机关公务接待管理办法》的通知（山办发〔2019〕32号）、衡山县财政局关于印发《衡山县机关事业单位差旅费管理办法》的通知（山财综〔2019〕199号）等制度，更新本单位内部控制制度</w:t>
      </w:r>
      <w:bookmarkEnd w:id="83"/>
      <w:r>
        <w:rPr>
          <w:rFonts w:hint="eastAsia"/>
          <w:kern w:val="0"/>
        </w:rPr>
        <w:t>。</w:t>
      </w:r>
    </w:p>
    <w:p>
      <w:pPr>
        <w:ind w:firstLine="594"/>
        <w:rPr>
          <w:rFonts w:hAnsi="仿宋"/>
          <w:kern w:val="0"/>
          <w:szCs w:val="32"/>
        </w:rPr>
      </w:pPr>
    </w:p>
    <w:p>
      <w:pPr>
        <w:ind w:firstLine="594"/>
        <w:rPr>
          <w:rFonts w:hAnsi="仿宋"/>
          <w:kern w:val="0"/>
          <w:szCs w:val="32"/>
        </w:rPr>
      </w:pPr>
    </w:p>
    <w:p>
      <w:pPr>
        <w:ind w:firstLine="594"/>
        <w:rPr>
          <w:rFonts w:hAnsi="仿宋"/>
          <w:kern w:val="0"/>
          <w:szCs w:val="32"/>
        </w:rPr>
      </w:pPr>
    </w:p>
    <w:p>
      <w:pPr>
        <w:ind w:firstLine="594"/>
        <w:rPr>
          <w:rFonts w:hAnsi="仿宋"/>
          <w:kern w:val="0"/>
          <w:szCs w:val="32"/>
        </w:rPr>
      </w:pPr>
    </w:p>
    <w:p>
      <w:pPr>
        <w:ind w:firstLine="594"/>
        <w:rPr>
          <w:rFonts w:hAnsi="仿宋"/>
          <w:kern w:val="0"/>
          <w:szCs w:val="32"/>
        </w:rPr>
      </w:pPr>
    </w:p>
    <w:p>
      <w:pPr>
        <w:ind w:firstLine="594"/>
        <w:rPr>
          <w:rFonts w:hAnsi="仿宋"/>
          <w:kern w:val="0"/>
          <w:szCs w:val="32"/>
        </w:rPr>
      </w:pPr>
    </w:p>
    <w:p>
      <w:pPr>
        <w:ind w:firstLine="594"/>
        <w:rPr>
          <w:rFonts w:hAnsi="仿宋"/>
          <w:kern w:val="0"/>
          <w:szCs w:val="32"/>
        </w:rPr>
      </w:pPr>
    </w:p>
    <w:p>
      <w:pPr>
        <w:ind w:firstLine="594"/>
        <w:rPr>
          <w:rFonts w:hAnsi="仿宋"/>
          <w:kern w:val="0"/>
          <w:szCs w:val="32"/>
        </w:rPr>
      </w:pPr>
    </w:p>
    <w:p>
      <w:pPr>
        <w:ind w:firstLine="594"/>
        <w:rPr>
          <w:rFonts w:hAnsi="仿宋"/>
          <w:kern w:val="0"/>
          <w:szCs w:val="32"/>
        </w:rPr>
      </w:pPr>
    </w:p>
    <w:p>
      <w:pPr>
        <w:ind w:firstLine="594"/>
        <w:rPr>
          <w:rFonts w:hAnsi="仿宋"/>
          <w:kern w:val="0"/>
          <w:szCs w:val="32"/>
        </w:rPr>
      </w:pPr>
    </w:p>
    <w:p>
      <w:pPr>
        <w:ind w:firstLine="594"/>
        <w:rPr>
          <w:rFonts w:hint="eastAsia" w:hAnsi="仿宋"/>
          <w:kern w:val="0"/>
          <w:szCs w:val="32"/>
        </w:rPr>
      </w:pPr>
    </w:p>
    <w:p>
      <w:pPr>
        <w:ind w:firstLine="594"/>
        <w:rPr>
          <w:rFonts w:hAnsi="仿宋"/>
          <w:kern w:val="0"/>
          <w:szCs w:val="32"/>
        </w:rPr>
      </w:pPr>
      <w:r>
        <w:rPr>
          <w:rFonts w:hint="eastAsia" w:hAnsi="仿宋"/>
          <w:kern w:val="0"/>
          <w:szCs w:val="32"/>
        </w:rPr>
        <w:t>此页无正文！</w:t>
      </w:r>
    </w:p>
    <w:p>
      <w:pPr>
        <w:ind w:firstLine="594"/>
        <w:rPr>
          <w:rFonts w:hAnsi="仿宋"/>
          <w:kern w:val="0"/>
          <w:szCs w:val="32"/>
        </w:rPr>
      </w:pPr>
    </w:p>
    <w:p>
      <w:pPr>
        <w:ind w:firstLine="594"/>
        <w:rPr>
          <w:rFonts w:hAnsi="仿宋"/>
          <w:kern w:val="0"/>
          <w:szCs w:val="32"/>
        </w:rPr>
      </w:pPr>
    </w:p>
    <w:p>
      <w:pPr>
        <w:ind w:firstLine="594"/>
        <w:rPr>
          <w:rFonts w:hAnsi="仿宋"/>
          <w:kern w:val="0"/>
          <w:szCs w:val="32"/>
        </w:rPr>
      </w:pPr>
    </w:p>
    <w:p>
      <w:pPr>
        <w:ind w:firstLine="594"/>
        <w:rPr>
          <w:rFonts w:hAnsi="仿宋"/>
          <w:kern w:val="0"/>
          <w:szCs w:val="32"/>
        </w:rPr>
      </w:pPr>
    </w:p>
    <w:p>
      <w:pPr>
        <w:ind w:firstLine="594"/>
        <w:rPr>
          <w:rFonts w:hAnsi="仿宋"/>
          <w:kern w:val="0"/>
          <w:szCs w:val="32"/>
        </w:rPr>
      </w:pPr>
    </w:p>
    <w:p>
      <w:pPr>
        <w:ind w:firstLine="594"/>
        <w:rPr>
          <w:rFonts w:hAnsi="仿宋"/>
          <w:kern w:val="0"/>
          <w:szCs w:val="32"/>
        </w:rPr>
      </w:pPr>
      <w:r>
        <w:rPr>
          <w:rFonts w:hint="eastAsia" w:hAnsi="仿宋"/>
          <w:kern w:val="0"/>
          <w:szCs w:val="32"/>
        </w:rPr>
        <w:t>附件一：</w:t>
      </w:r>
      <w:r>
        <w:rPr>
          <w:rFonts w:hint="eastAsia"/>
          <w:kern w:val="0"/>
          <w:szCs w:val="32"/>
        </w:rPr>
        <w:t>2019年</w:t>
      </w:r>
      <w:r>
        <w:rPr>
          <w:rFonts w:hint="eastAsia" w:hAnsi="仿宋"/>
          <w:kern w:val="0"/>
          <w:szCs w:val="32"/>
        </w:rPr>
        <w:t>度衡山县医疗保障局整体支出资金项目绩效评价指标及评分表</w:t>
      </w:r>
    </w:p>
    <w:p>
      <w:pPr>
        <w:ind w:firstLine="594"/>
        <w:rPr>
          <w:rFonts w:hAnsi="仿宋"/>
          <w:kern w:val="0"/>
          <w:szCs w:val="32"/>
        </w:rPr>
      </w:pPr>
    </w:p>
    <w:tbl>
      <w:tblPr>
        <w:tblStyle w:val="8"/>
        <w:tblW w:w="0" w:type="auto"/>
        <w:jc w:val="center"/>
        <w:tblLayout w:type="fixed"/>
        <w:tblCellMar>
          <w:top w:w="0" w:type="dxa"/>
          <w:left w:w="108" w:type="dxa"/>
          <w:bottom w:w="0" w:type="dxa"/>
          <w:right w:w="108" w:type="dxa"/>
        </w:tblCellMar>
      </w:tblPr>
      <w:tblGrid>
        <w:gridCol w:w="4814"/>
        <w:gridCol w:w="3402"/>
      </w:tblGrid>
      <w:tr>
        <w:tblPrEx>
          <w:tblCellMar>
            <w:top w:w="0" w:type="dxa"/>
            <w:left w:w="108" w:type="dxa"/>
            <w:bottom w:w="0" w:type="dxa"/>
            <w:right w:w="108" w:type="dxa"/>
          </w:tblCellMar>
        </w:tblPrEx>
        <w:trPr>
          <w:trHeight w:val="284" w:hRule="atLeast"/>
          <w:jc w:val="center"/>
        </w:trPr>
        <w:tc>
          <w:tcPr>
            <w:tcW w:w="4814" w:type="dxa"/>
            <w:vAlign w:val="center"/>
          </w:tcPr>
          <w:p>
            <w:pPr>
              <w:ind w:firstLine="0" w:firstLineChars="0"/>
              <w:rPr>
                <w:rFonts w:hAnsi="仿宋"/>
                <w:kern w:val="0"/>
                <w:szCs w:val="32"/>
              </w:rPr>
            </w:pPr>
            <w:r>
              <w:rPr>
                <w:rFonts w:hAnsi="仿宋"/>
                <w:kern w:val="0"/>
                <w:szCs w:val="32"/>
              </w:rPr>
              <w:t>湖南宏丰益联合会计师事务所</w:t>
            </w:r>
          </w:p>
        </w:tc>
        <w:tc>
          <w:tcPr>
            <w:tcW w:w="3402" w:type="dxa"/>
            <w:vAlign w:val="center"/>
          </w:tcPr>
          <w:p>
            <w:pPr>
              <w:ind w:firstLine="0" w:firstLineChars="0"/>
              <w:rPr>
                <w:rFonts w:hAnsi="仿宋"/>
                <w:kern w:val="0"/>
                <w:szCs w:val="32"/>
              </w:rPr>
            </w:pPr>
            <w:r>
              <w:rPr>
                <w:rFonts w:hAnsi="仿宋"/>
                <w:kern w:val="0"/>
                <w:szCs w:val="32"/>
              </w:rPr>
              <w:t>中国注册会计师：</w:t>
            </w:r>
          </w:p>
        </w:tc>
      </w:tr>
      <w:tr>
        <w:tblPrEx>
          <w:tblCellMar>
            <w:top w:w="0" w:type="dxa"/>
            <w:left w:w="108" w:type="dxa"/>
            <w:bottom w:w="0" w:type="dxa"/>
            <w:right w:w="108" w:type="dxa"/>
          </w:tblCellMar>
        </w:tblPrEx>
        <w:trPr>
          <w:trHeight w:val="284" w:hRule="atLeast"/>
          <w:jc w:val="center"/>
        </w:trPr>
        <w:tc>
          <w:tcPr>
            <w:tcW w:w="4814" w:type="dxa"/>
            <w:vAlign w:val="center"/>
          </w:tcPr>
          <w:p>
            <w:pPr>
              <w:ind w:firstLine="0" w:firstLineChars="0"/>
              <w:rPr>
                <w:rFonts w:hAnsi="仿宋"/>
                <w:kern w:val="0"/>
                <w:szCs w:val="32"/>
              </w:rPr>
            </w:pPr>
          </w:p>
          <w:p>
            <w:pPr>
              <w:ind w:firstLine="0" w:firstLineChars="0"/>
              <w:rPr>
                <w:rFonts w:hAnsi="仿宋"/>
                <w:kern w:val="0"/>
                <w:szCs w:val="32"/>
              </w:rPr>
            </w:pPr>
          </w:p>
          <w:p>
            <w:pPr>
              <w:ind w:firstLine="0" w:firstLineChars="0"/>
              <w:rPr>
                <w:rFonts w:hAnsi="仿宋"/>
                <w:kern w:val="0"/>
                <w:szCs w:val="32"/>
              </w:rPr>
            </w:pPr>
          </w:p>
          <w:p>
            <w:pPr>
              <w:ind w:firstLine="0" w:firstLineChars="0"/>
              <w:rPr>
                <w:rFonts w:hAnsi="仿宋"/>
                <w:kern w:val="0"/>
                <w:szCs w:val="32"/>
              </w:rPr>
            </w:pPr>
          </w:p>
        </w:tc>
        <w:tc>
          <w:tcPr>
            <w:tcW w:w="3402" w:type="dxa"/>
            <w:vAlign w:val="center"/>
          </w:tcPr>
          <w:p>
            <w:pPr>
              <w:ind w:firstLine="0" w:firstLineChars="0"/>
              <w:rPr>
                <w:rFonts w:hAnsi="仿宋"/>
                <w:kern w:val="0"/>
                <w:szCs w:val="32"/>
              </w:rPr>
            </w:pPr>
          </w:p>
        </w:tc>
      </w:tr>
      <w:tr>
        <w:tblPrEx>
          <w:tblCellMar>
            <w:top w:w="0" w:type="dxa"/>
            <w:left w:w="108" w:type="dxa"/>
            <w:bottom w:w="0" w:type="dxa"/>
            <w:right w:w="108" w:type="dxa"/>
          </w:tblCellMar>
        </w:tblPrEx>
        <w:trPr>
          <w:trHeight w:val="284" w:hRule="atLeast"/>
          <w:jc w:val="center"/>
        </w:trPr>
        <w:tc>
          <w:tcPr>
            <w:tcW w:w="4814" w:type="dxa"/>
            <w:vAlign w:val="center"/>
          </w:tcPr>
          <w:p>
            <w:pPr>
              <w:ind w:firstLine="0" w:firstLineChars="0"/>
              <w:rPr>
                <w:rFonts w:hAnsi="仿宋"/>
                <w:kern w:val="0"/>
                <w:szCs w:val="32"/>
              </w:rPr>
            </w:pPr>
          </w:p>
        </w:tc>
        <w:tc>
          <w:tcPr>
            <w:tcW w:w="3402" w:type="dxa"/>
            <w:vAlign w:val="center"/>
          </w:tcPr>
          <w:p>
            <w:pPr>
              <w:ind w:firstLine="0" w:firstLineChars="0"/>
              <w:rPr>
                <w:rFonts w:hAnsi="仿宋"/>
                <w:kern w:val="0"/>
                <w:szCs w:val="32"/>
              </w:rPr>
            </w:pPr>
            <w:r>
              <w:rPr>
                <w:rFonts w:hAnsi="仿宋"/>
                <w:kern w:val="0"/>
                <w:szCs w:val="32"/>
              </w:rPr>
              <w:t>中国注册会计师：</w:t>
            </w:r>
          </w:p>
        </w:tc>
      </w:tr>
      <w:tr>
        <w:tblPrEx>
          <w:tblCellMar>
            <w:top w:w="0" w:type="dxa"/>
            <w:left w:w="108" w:type="dxa"/>
            <w:bottom w:w="0" w:type="dxa"/>
            <w:right w:w="108" w:type="dxa"/>
          </w:tblCellMar>
        </w:tblPrEx>
        <w:trPr>
          <w:gridAfter w:val="1"/>
          <w:wAfter w:w="3402" w:type="dxa"/>
          <w:trHeight w:val="284" w:hRule="atLeast"/>
          <w:jc w:val="center"/>
        </w:trPr>
        <w:tc>
          <w:tcPr>
            <w:tcW w:w="4814" w:type="dxa"/>
            <w:vAlign w:val="center"/>
          </w:tcPr>
          <w:p>
            <w:pPr>
              <w:ind w:firstLine="0" w:firstLineChars="0"/>
              <w:rPr>
                <w:rFonts w:hAnsi="仿宋"/>
                <w:kern w:val="0"/>
                <w:szCs w:val="32"/>
              </w:rPr>
            </w:pPr>
          </w:p>
          <w:p>
            <w:pPr>
              <w:ind w:firstLine="0" w:firstLineChars="0"/>
              <w:rPr>
                <w:rFonts w:hAnsi="仿宋"/>
                <w:kern w:val="0"/>
                <w:szCs w:val="32"/>
              </w:rPr>
            </w:pPr>
          </w:p>
          <w:p>
            <w:pPr>
              <w:ind w:firstLine="0" w:firstLineChars="0"/>
              <w:rPr>
                <w:rFonts w:hAnsi="仿宋"/>
                <w:kern w:val="0"/>
                <w:szCs w:val="32"/>
              </w:rPr>
            </w:pPr>
          </w:p>
        </w:tc>
      </w:tr>
      <w:tr>
        <w:tblPrEx>
          <w:tblCellMar>
            <w:top w:w="0" w:type="dxa"/>
            <w:left w:w="108" w:type="dxa"/>
            <w:bottom w:w="0" w:type="dxa"/>
            <w:right w:w="108" w:type="dxa"/>
          </w:tblCellMar>
        </w:tblPrEx>
        <w:trPr>
          <w:trHeight w:val="284" w:hRule="atLeast"/>
          <w:jc w:val="center"/>
        </w:trPr>
        <w:tc>
          <w:tcPr>
            <w:tcW w:w="8216" w:type="dxa"/>
            <w:gridSpan w:val="2"/>
            <w:vAlign w:val="center"/>
          </w:tcPr>
          <w:p>
            <w:pPr>
              <w:ind w:firstLine="0" w:firstLineChars="0"/>
              <w:rPr>
                <w:rFonts w:hAnsi="仿宋"/>
                <w:kern w:val="0"/>
                <w:szCs w:val="32"/>
              </w:rPr>
            </w:pPr>
            <w:r>
              <w:rPr>
                <w:rFonts w:hAnsi="仿宋"/>
                <w:kern w:val="0"/>
                <w:szCs w:val="32"/>
              </w:rPr>
              <w:t>地址：湖南·长沙</w:t>
            </w:r>
            <w:r>
              <w:rPr>
                <w:rFonts w:hint="eastAsia" w:hAnsi="仿宋"/>
                <w:kern w:val="0"/>
                <w:szCs w:val="32"/>
              </w:rPr>
              <w:t xml:space="preserve"> </w:t>
            </w:r>
            <w:r>
              <w:rPr>
                <w:rFonts w:hAnsi="仿宋"/>
                <w:kern w:val="0"/>
                <w:szCs w:val="32"/>
              </w:rPr>
              <w:t xml:space="preserve">             二○二○年</w:t>
            </w:r>
            <w:r>
              <w:rPr>
                <w:rFonts w:hint="eastAsia" w:hAnsi="仿宋"/>
                <w:kern w:val="0"/>
                <w:szCs w:val="32"/>
              </w:rPr>
              <w:t>十一</w:t>
            </w:r>
            <w:r>
              <w:rPr>
                <w:rFonts w:hAnsi="仿宋"/>
                <w:kern w:val="0"/>
                <w:szCs w:val="32"/>
              </w:rPr>
              <w:t>月</w:t>
            </w:r>
            <w:r>
              <w:rPr>
                <w:rFonts w:hint="eastAsia" w:hAnsi="仿宋"/>
                <w:kern w:val="0"/>
                <w:szCs w:val="32"/>
              </w:rPr>
              <w:t>十</w:t>
            </w:r>
            <w:r>
              <w:rPr>
                <w:rFonts w:hAnsi="仿宋"/>
                <w:kern w:val="0"/>
                <w:szCs w:val="32"/>
              </w:rPr>
              <w:t>日</w:t>
            </w:r>
          </w:p>
        </w:tc>
      </w:tr>
    </w:tbl>
    <w:p>
      <w:pPr>
        <w:ind w:firstLine="594"/>
        <w:rPr>
          <w:rFonts w:ascii="黑体" w:hAnsi="黑体" w:eastAsia="黑体"/>
        </w:rPr>
        <w:sectPr>
          <w:footerReference r:id="rId9" w:type="default"/>
          <w:pgSz w:w="11906" w:h="16838"/>
          <w:pgMar w:top="1440" w:right="1797" w:bottom="1440" w:left="1797" w:header="851" w:footer="992" w:gutter="0"/>
          <w:pgNumType w:start="1"/>
          <w:cols w:space="425" w:num="1"/>
          <w:docGrid w:type="linesAndChars" w:linePitch="634" w:charSpace="-4740"/>
        </w:sectPr>
      </w:pPr>
    </w:p>
    <w:p>
      <w:pPr>
        <w:pStyle w:val="3"/>
        <w:ind w:firstLine="0" w:firstLineChars="0"/>
        <w:rPr>
          <w:sz w:val="28"/>
          <w:szCs w:val="28"/>
        </w:rPr>
      </w:pPr>
      <w:bookmarkStart w:id="84" w:name="_Toc57542571"/>
      <w:bookmarkStart w:id="85" w:name="_Toc29044632"/>
      <w:r>
        <w:rPr>
          <w:rFonts w:hint="eastAsia"/>
          <w:sz w:val="28"/>
          <w:szCs w:val="28"/>
        </w:rPr>
        <w:t>附件一：</w:t>
      </w:r>
      <w:bookmarkEnd w:id="84"/>
      <w:bookmarkEnd w:id="85"/>
    </w:p>
    <w:tbl>
      <w:tblPr>
        <w:tblStyle w:val="8"/>
        <w:tblW w:w="5443" w:type="pct"/>
        <w:tblInd w:w="0" w:type="dxa"/>
        <w:tblLayout w:type="autofit"/>
        <w:tblCellMar>
          <w:top w:w="0" w:type="dxa"/>
          <w:left w:w="0" w:type="dxa"/>
          <w:bottom w:w="0" w:type="dxa"/>
          <w:right w:w="0" w:type="dxa"/>
        </w:tblCellMar>
      </w:tblPr>
      <w:tblGrid>
        <w:gridCol w:w="652"/>
        <w:gridCol w:w="673"/>
        <w:gridCol w:w="983"/>
        <w:gridCol w:w="479"/>
        <w:gridCol w:w="1824"/>
        <w:gridCol w:w="1980"/>
        <w:gridCol w:w="1878"/>
        <w:gridCol w:w="595"/>
      </w:tblGrid>
      <w:tr>
        <w:tblPrEx>
          <w:tblCellMar>
            <w:top w:w="0" w:type="dxa"/>
            <w:left w:w="0" w:type="dxa"/>
            <w:bottom w:w="0" w:type="dxa"/>
            <w:right w:w="0" w:type="dxa"/>
          </w:tblCellMar>
        </w:tblPrEx>
        <w:trPr>
          <w:trHeight w:val="340" w:hRule="atLeast"/>
          <w:tblHeader/>
        </w:trPr>
        <w:tc>
          <w:tcPr>
            <w:tcW w:w="5000" w:type="pct"/>
            <w:gridSpan w:val="8"/>
            <w:tcBorders>
              <w:top w:val="nil"/>
              <w:left w:val="nil"/>
              <w:bottom w:val="nil"/>
              <w:right w:val="nil"/>
            </w:tcBorders>
            <w:shd w:val="clear" w:color="auto" w:fill="auto"/>
            <w:noWrap/>
            <w:tcMar>
              <w:top w:w="10" w:type="dxa"/>
              <w:left w:w="10" w:type="dxa"/>
              <w:right w:w="10" w:type="dxa"/>
            </w:tcMar>
            <w:vAlign w:val="center"/>
          </w:tcPr>
          <w:p>
            <w:pPr>
              <w:widowControl/>
              <w:ind w:firstLine="0" w:firstLineChars="0"/>
              <w:jc w:val="center"/>
              <w:textAlignment w:val="center"/>
              <w:rPr>
                <w:rFonts w:ascii="方正小标宋_GBK" w:hAnsi="方正小标宋_GBK" w:eastAsia="方正小标宋_GBK" w:cs="方正小标宋_GBK"/>
                <w:color w:val="000000"/>
                <w:szCs w:val="32"/>
              </w:rPr>
            </w:pPr>
            <w:r>
              <w:rPr>
                <w:rFonts w:eastAsia="方正小标宋_GBK" w:cs="方正小标宋_GBK"/>
                <w:color w:val="000000"/>
                <w:kern w:val="0"/>
                <w:szCs w:val="32"/>
              </w:rPr>
              <w:t>2019年</w:t>
            </w:r>
            <w:r>
              <w:rPr>
                <w:rFonts w:ascii="方正小标宋_GBK" w:hAnsi="方正小标宋_GBK" w:eastAsia="方正小标宋_GBK" w:cs="方正小标宋_GBK"/>
                <w:color w:val="000000"/>
                <w:kern w:val="0"/>
                <w:szCs w:val="32"/>
              </w:rPr>
              <w:t>度衡山县医疗保障局部门整体支出资金项目</w:t>
            </w:r>
          </w:p>
        </w:tc>
      </w:tr>
      <w:tr>
        <w:tblPrEx>
          <w:tblCellMar>
            <w:top w:w="0" w:type="dxa"/>
            <w:left w:w="0" w:type="dxa"/>
            <w:bottom w:w="0" w:type="dxa"/>
            <w:right w:w="0" w:type="dxa"/>
          </w:tblCellMar>
        </w:tblPrEx>
        <w:trPr>
          <w:trHeight w:val="340" w:hRule="atLeast"/>
          <w:tblHeader/>
        </w:trPr>
        <w:tc>
          <w:tcPr>
            <w:tcW w:w="5000" w:type="pct"/>
            <w:gridSpan w:val="8"/>
            <w:tcBorders>
              <w:top w:val="nil"/>
              <w:left w:val="nil"/>
              <w:bottom w:val="nil"/>
              <w:right w:val="nil"/>
            </w:tcBorders>
            <w:shd w:val="clear" w:color="auto" w:fill="auto"/>
            <w:noWrap/>
            <w:tcMar>
              <w:top w:w="10" w:type="dxa"/>
              <w:left w:w="10" w:type="dxa"/>
              <w:right w:w="10" w:type="dxa"/>
            </w:tcMar>
            <w:vAlign w:val="center"/>
          </w:tcPr>
          <w:p>
            <w:pPr>
              <w:widowControl/>
              <w:ind w:firstLine="0" w:firstLineChars="0"/>
              <w:jc w:val="center"/>
              <w:textAlignment w:val="center"/>
              <w:rPr>
                <w:rFonts w:ascii="方正小标宋_GBK" w:hAnsi="方正小标宋_GBK" w:eastAsia="方正小标宋_GBK" w:cs="方正小标宋_GBK"/>
                <w:color w:val="000000"/>
                <w:szCs w:val="32"/>
              </w:rPr>
            </w:pPr>
            <w:r>
              <w:rPr>
                <w:rFonts w:ascii="方正小标宋_GBK" w:hAnsi="方正小标宋_GBK" w:eastAsia="方正小标宋_GBK" w:cs="方正小标宋_GBK"/>
                <w:color w:val="000000"/>
                <w:kern w:val="0"/>
                <w:szCs w:val="32"/>
              </w:rPr>
              <w:t>绩效评价指标及评分表</w:t>
            </w:r>
          </w:p>
        </w:tc>
      </w:tr>
      <w:tr>
        <w:tblPrEx>
          <w:tblCellMar>
            <w:top w:w="0" w:type="dxa"/>
            <w:left w:w="0" w:type="dxa"/>
            <w:bottom w:w="0" w:type="dxa"/>
            <w:right w:w="0" w:type="dxa"/>
          </w:tblCellMar>
        </w:tblPrEx>
        <w:trPr>
          <w:trHeight w:val="280" w:hRule="atLeast"/>
          <w:tblHeader/>
        </w:trPr>
        <w:tc>
          <w:tcPr>
            <w:tcW w:w="36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b/>
                <w:color w:val="000000"/>
                <w:kern w:val="0"/>
                <w:sz w:val="18"/>
                <w:szCs w:val="18"/>
              </w:rPr>
            </w:pPr>
            <w:r>
              <w:rPr>
                <w:rFonts w:hAnsi="仿宋"/>
                <w:b/>
                <w:color w:val="000000"/>
                <w:kern w:val="0"/>
                <w:sz w:val="18"/>
                <w:szCs w:val="18"/>
              </w:rPr>
              <w:t>一级</w:t>
            </w:r>
          </w:p>
          <w:p>
            <w:pPr>
              <w:widowControl/>
              <w:ind w:firstLine="0" w:firstLineChars="0"/>
              <w:jc w:val="center"/>
              <w:textAlignment w:val="center"/>
              <w:rPr>
                <w:b/>
                <w:color w:val="000000"/>
                <w:sz w:val="18"/>
                <w:szCs w:val="18"/>
              </w:rPr>
            </w:pPr>
            <w:r>
              <w:rPr>
                <w:rFonts w:hAnsi="仿宋"/>
                <w:b/>
                <w:color w:val="000000"/>
                <w:kern w:val="0"/>
                <w:sz w:val="18"/>
                <w:szCs w:val="18"/>
              </w:rPr>
              <w:t>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b/>
                <w:color w:val="000000"/>
                <w:kern w:val="0"/>
                <w:sz w:val="18"/>
                <w:szCs w:val="18"/>
              </w:rPr>
            </w:pPr>
            <w:r>
              <w:rPr>
                <w:rFonts w:hAnsi="仿宋"/>
                <w:b/>
                <w:color w:val="000000"/>
                <w:kern w:val="0"/>
                <w:sz w:val="18"/>
                <w:szCs w:val="18"/>
              </w:rPr>
              <w:t>二级</w:t>
            </w:r>
          </w:p>
          <w:p>
            <w:pPr>
              <w:widowControl/>
              <w:ind w:firstLine="0" w:firstLineChars="0"/>
              <w:jc w:val="center"/>
              <w:textAlignment w:val="center"/>
              <w:rPr>
                <w:b/>
                <w:color w:val="000000"/>
                <w:sz w:val="18"/>
                <w:szCs w:val="18"/>
              </w:rPr>
            </w:pPr>
            <w:r>
              <w:rPr>
                <w:rFonts w:hAnsi="仿宋"/>
                <w:b/>
                <w:color w:val="000000"/>
                <w:kern w:val="0"/>
                <w:sz w:val="18"/>
                <w:szCs w:val="18"/>
              </w:rPr>
              <w:t>指标</w:t>
            </w: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b/>
                <w:color w:val="000000"/>
                <w:sz w:val="18"/>
                <w:szCs w:val="18"/>
              </w:rPr>
            </w:pPr>
            <w:r>
              <w:rPr>
                <w:rFonts w:hAnsi="仿宋"/>
                <w:b/>
                <w:color w:val="000000"/>
                <w:kern w:val="0"/>
                <w:sz w:val="18"/>
                <w:szCs w:val="18"/>
              </w:rPr>
              <w:t>三级指标</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b/>
                <w:color w:val="000000"/>
                <w:sz w:val="18"/>
                <w:szCs w:val="18"/>
              </w:rPr>
            </w:pPr>
            <w:r>
              <w:rPr>
                <w:rFonts w:hAnsi="仿宋"/>
                <w:b/>
                <w:color w:val="000000"/>
                <w:kern w:val="0"/>
                <w:sz w:val="18"/>
                <w:szCs w:val="18"/>
              </w:rPr>
              <w:t>分值</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b/>
                <w:color w:val="000000"/>
                <w:sz w:val="18"/>
                <w:szCs w:val="18"/>
              </w:rPr>
            </w:pPr>
            <w:r>
              <w:rPr>
                <w:rFonts w:hAnsi="仿宋"/>
                <w:b/>
                <w:color w:val="000000"/>
                <w:kern w:val="0"/>
                <w:sz w:val="18"/>
                <w:szCs w:val="18"/>
              </w:rPr>
              <w:t>评价标准</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b/>
                <w:color w:val="000000"/>
                <w:sz w:val="18"/>
                <w:szCs w:val="18"/>
              </w:rPr>
            </w:pPr>
            <w:r>
              <w:rPr>
                <w:rFonts w:hAnsi="仿宋"/>
                <w:b/>
                <w:color w:val="000000"/>
                <w:kern w:val="0"/>
                <w:sz w:val="18"/>
                <w:szCs w:val="18"/>
              </w:rPr>
              <w:t>指标说明</w:t>
            </w:r>
          </w:p>
        </w:tc>
        <w:tc>
          <w:tcPr>
            <w:tcW w:w="10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b/>
                <w:color w:val="000000"/>
                <w:sz w:val="18"/>
                <w:szCs w:val="18"/>
              </w:rPr>
            </w:pPr>
            <w:r>
              <w:rPr>
                <w:rFonts w:hAnsi="仿宋"/>
                <w:b/>
                <w:color w:val="000000"/>
                <w:kern w:val="0"/>
                <w:sz w:val="18"/>
                <w:szCs w:val="18"/>
              </w:rPr>
              <w:t>得分说明</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b/>
                <w:color w:val="000000"/>
                <w:sz w:val="18"/>
                <w:szCs w:val="18"/>
              </w:rPr>
            </w:pPr>
            <w:r>
              <w:rPr>
                <w:rFonts w:hAnsi="仿宋"/>
                <w:b/>
                <w:color w:val="000000"/>
                <w:kern w:val="0"/>
                <w:sz w:val="18"/>
                <w:szCs w:val="18"/>
              </w:rPr>
              <w:t>得分</w:t>
            </w:r>
          </w:p>
        </w:tc>
      </w:tr>
      <w:tr>
        <w:tblPrEx>
          <w:tblCellMar>
            <w:top w:w="0" w:type="dxa"/>
            <w:left w:w="0" w:type="dxa"/>
            <w:bottom w:w="0" w:type="dxa"/>
            <w:right w:w="0" w:type="dxa"/>
          </w:tblCellMar>
        </w:tblPrEx>
        <w:trPr>
          <w:trHeight w:val="2964" w:hRule="atLeast"/>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投入</w:t>
            </w:r>
            <w:r>
              <w:rPr>
                <w:rStyle w:val="10"/>
              </w:rPr>
              <w:t>10</w:t>
            </w:r>
            <w:r>
              <w:rPr>
                <w:rStyle w:val="10"/>
                <w:rFonts w:hAnsi="仿宋"/>
              </w:rPr>
              <w:t>分</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预算配置</w:t>
            </w:r>
            <w:r>
              <w:rPr>
                <w:rStyle w:val="10"/>
              </w:rPr>
              <w:t>10</w:t>
            </w:r>
            <w:r>
              <w:rPr>
                <w:rStyle w:val="10"/>
                <w:rFonts w:hAnsi="仿宋"/>
              </w:rPr>
              <w:t>分</w:t>
            </w: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在职人员控制率</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以</w:t>
            </w:r>
            <w:r>
              <w:rPr>
                <w:rStyle w:val="10"/>
              </w:rPr>
              <w:t>100%</w:t>
            </w:r>
            <w:r>
              <w:rPr>
                <w:rStyle w:val="10"/>
                <w:rFonts w:hAnsi="仿宋"/>
              </w:rPr>
              <w:t>为标准。在职人员控制率</w:t>
            </w:r>
            <w:r>
              <w:rPr>
                <w:rStyle w:val="10"/>
                <w:rFonts w:ascii="仿宋" w:hAnsi="仿宋"/>
              </w:rPr>
              <w:t>≦</w:t>
            </w:r>
            <w:r>
              <w:rPr>
                <w:rStyle w:val="10"/>
              </w:rPr>
              <w:t>100%</w:t>
            </w:r>
            <w:r>
              <w:rPr>
                <w:rStyle w:val="10"/>
                <w:rFonts w:hAnsi="仿宋"/>
              </w:rPr>
              <w:t>，计</w:t>
            </w:r>
            <w:r>
              <w:rPr>
                <w:rStyle w:val="10"/>
              </w:rPr>
              <w:t>5</w:t>
            </w:r>
            <w:r>
              <w:rPr>
                <w:rStyle w:val="10"/>
                <w:rFonts w:hAnsi="仿宋"/>
              </w:rPr>
              <w:t>分；每超过一个百分点扣</w:t>
            </w:r>
            <w:r>
              <w:rPr>
                <w:rStyle w:val="10"/>
              </w:rPr>
              <w:t>0.5</w:t>
            </w:r>
            <w:r>
              <w:rPr>
                <w:rStyle w:val="10"/>
                <w:rFonts w:hAnsi="仿宋"/>
              </w:rPr>
              <w:t>分，扣完为止。</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在职人员控制率</w:t>
            </w:r>
            <w:r>
              <w:rPr>
                <w:rStyle w:val="10"/>
              </w:rPr>
              <w:t>=</w:t>
            </w:r>
            <w:r>
              <w:rPr>
                <w:rStyle w:val="10"/>
                <w:rFonts w:hAnsi="仿宋"/>
              </w:rPr>
              <w:t>（在职人员数</w:t>
            </w:r>
            <w:r>
              <w:rPr>
                <w:rStyle w:val="10"/>
              </w:rPr>
              <w:t>/</w:t>
            </w:r>
            <w:r>
              <w:rPr>
                <w:rStyle w:val="10"/>
                <w:rFonts w:hAnsi="仿宋"/>
              </w:rPr>
              <w:t>编制数）</w:t>
            </w:r>
            <w:r>
              <w:rPr>
                <w:rStyle w:val="10"/>
              </w:rPr>
              <w:t>×100%</w:t>
            </w:r>
            <w:r>
              <w:rPr>
                <w:rStyle w:val="10"/>
                <w:rFonts w:hAnsi="仿宋"/>
              </w:rPr>
              <w:t>，在职人员数：部门（单位）实际在职人数，以财政局确定的部门决算编制口径为准。编制数：机构编制部门核定批复的部门（单位）的人员编制数。</w:t>
            </w:r>
          </w:p>
        </w:tc>
        <w:tc>
          <w:tcPr>
            <w:tcW w:w="10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kern w:val="0"/>
                <w:sz w:val="18"/>
                <w:szCs w:val="18"/>
              </w:rPr>
            </w:pPr>
            <w:r>
              <w:rPr>
                <w:rFonts w:hAnsi="仿宋"/>
                <w:color w:val="000000"/>
                <w:kern w:val="0"/>
                <w:sz w:val="18"/>
                <w:szCs w:val="18"/>
              </w:rPr>
              <w:t>（在职人员</w:t>
            </w:r>
            <w:r>
              <w:rPr>
                <w:rStyle w:val="10"/>
                <w:rFonts w:hint="eastAsia"/>
              </w:rPr>
              <w:t>69</w:t>
            </w:r>
            <w:r>
              <w:rPr>
                <w:rStyle w:val="10"/>
                <w:rFonts w:hAnsi="仿宋"/>
              </w:rPr>
              <w:t>人</w:t>
            </w:r>
            <w:r>
              <w:rPr>
                <w:rStyle w:val="10"/>
              </w:rPr>
              <w:t>/</w:t>
            </w:r>
            <w:r>
              <w:rPr>
                <w:rStyle w:val="10"/>
                <w:rFonts w:hAnsi="仿宋"/>
              </w:rPr>
              <w:t>编制</w:t>
            </w:r>
            <w:r>
              <w:rPr>
                <w:rStyle w:val="10"/>
                <w:rFonts w:hint="eastAsia"/>
              </w:rPr>
              <w:t>58</w:t>
            </w:r>
            <w:r>
              <w:rPr>
                <w:rStyle w:val="10"/>
                <w:rFonts w:hAnsi="仿宋"/>
              </w:rPr>
              <w:t>人）</w:t>
            </w:r>
            <w:r>
              <w:rPr>
                <w:rStyle w:val="10"/>
              </w:rPr>
              <w:t>×100%=</w:t>
            </w:r>
            <w:r>
              <w:rPr>
                <w:rStyle w:val="10"/>
                <w:rFonts w:hint="eastAsia"/>
              </w:rPr>
              <w:t>118.97</w:t>
            </w:r>
            <w:r>
              <w:rPr>
                <w:rStyle w:val="10"/>
              </w:rPr>
              <w:t>%</w:t>
            </w:r>
            <w:r>
              <w:rPr>
                <w:rStyle w:val="10"/>
                <w:rFonts w:hAnsi="仿宋"/>
              </w:rPr>
              <w:t>，</w:t>
            </w:r>
          </w:p>
          <w:p>
            <w:pPr>
              <w:widowControl/>
              <w:ind w:firstLine="0" w:firstLineChars="0"/>
              <w:jc w:val="center"/>
              <w:textAlignment w:val="center"/>
              <w:rPr>
                <w:color w:val="000000"/>
                <w:sz w:val="18"/>
                <w:szCs w:val="18"/>
              </w:rPr>
            </w:pPr>
            <w:r>
              <w:rPr>
                <w:rFonts w:hAnsi="仿宋"/>
                <w:color w:val="000000"/>
                <w:kern w:val="0"/>
                <w:sz w:val="18"/>
                <w:szCs w:val="18"/>
              </w:rPr>
              <w:t>在职人员控制率</w:t>
            </w:r>
            <w:r>
              <w:rPr>
                <w:rFonts w:ascii="仿宋" w:hAnsi="仿宋"/>
                <w:color w:val="000000"/>
                <w:kern w:val="0"/>
                <w:sz w:val="18"/>
                <w:szCs w:val="18"/>
              </w:rPr>
              <w:t>≦</w:t>
            </w:r>
            <w:r>
              <w:rPr>
                <w:rStyle w:val="10"/>
              </w:rPr>
              <w:t>100%</w:t>
            </w:r>
            <w:r>
              <w:rPr>
                <w:rStyle w:val="10"/>
                <w:rFonts w:hAnsi="仿宋"/>
              </w:rPr>
              <w:t>，本项扣</w:t>
            </w:r>
            <w:r>
              <w:rPr>
                <w:rStyle w:val="10"/>
                <w:rFonts w:hint="eastAsia" w:hAnsi="仿宋"/>
              </w:rPr>
              <w:t>5</w:t>
            </w:r>
            <w:r>
              <w:rPr>
                <w:rStyle w:val="10"/>
                <w:rFonts w:hAnsi="仿宋"/>
              </w:rPr>
              <w:t>分，得</w:t>
            </w:r>
            <w:r>
              <w:rPr>
                <w:rStyle w:val="10"/>
                <w:rFonts w:hint="eastAsia"/>
              </w:rPr>
              <w:t>0</w:t>
            </w:r>
            <w:r>
              <w:rPr>
                <w:rStyle w:val="10"/>
                <w:rFonts w:hAnsi="仿宋"/>
              </w:rPr>
              <w:t>分</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int="eastAsia"/>
                <w:color w:val="000000"/>
                <w:kern w:val="0"/>
                <w:sz w:val="18"/>
                <w:szCs w:val="18"/>
              </w:rPr>
              <w:t>0</w:t>
            </w:r>
          </w:p>
        </w:tc>
      </w:tr>
      <w:tr>
        <w:tblPrEx>
          <w:tblCellMar>
            <w:top w:w="0" w:type="dxa"/>
            <w:left w:w="0" w:type="dxa"/>
            <w:bottom w:w="0" w:type="dxa"/>
            <w:right w:w="0" w:type="dxa"/>
          </w:tblCellMar>
        </w:tblPrEx>
        <w:trPr>
          <w:trHeight w:val="168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w:t>
            </w:r>
            <w:r>
              <w:rPr>
                <w:rStyle w:val="10"/>
                <w:rFonts w:hAnsi="仿宋"/>
              </w:rPr>
              <w:t>三公经费</w:t>
            </w:r>
            <w:r>
              <w:rPr>
                <w:rStyle w:val="10"/>
              </w:rPr>
              <w:t>”</w:t>
            </w:r>
            <w:r>
              <w:rPr>
                <w:rStyle w:val="10"/>
                <w:rFonts w:hAnsi="仿宋"/>
              </w:rPr>
              <w:t>变动率</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w:t>
            </w:r>
            <w:r>
              <w:rPr>
                <w:rStyle w:val="10"/>
                <w:rFonts w:hAnsi="仿宋"/>
              </w:rPr>
              <w:t>三公经费</w:t>
            </w:r>
            <w:r>
              <w:rPr>
                <w:rStyle w:val="10"/>
              </w:rPr>
              <w:t>”</w:t>
            </w:r>
            <w:r>
              <w:rPr>
                <w:rStyle w:val="10"/>
                <w:rFonts w:hAnsi="仿宋"/>
              </w:rPr>
              <w:t>变动率</w:t>
            </w:r>
            <w:r>
              <w:rPr>
                <w:rStyle w:val="10"/>
                <w:rFonts w:ascii="仿宋" w:hAnsi="仿宋"/>
              </w:rPr>
              <w:t>≦</w:t>
            </w:r>
            <w:r>
              <w:rPr>
                <w:rStyle w:val="10"/>
              </w:rPr>
              <w:t>0,</w:t>
            </w:r>
            <w:r>
              <w:rPr>
                <w:rStyle w:val="10"/>
                <w:rFonts w:hAnsi="仿宋"/>
              </w:rPr>
              <w:t>计</w:t>
            </w:r>
            <w:r>
              <w:rPr>
                <w:rStyle w:val="10"/>
                <w:rFonts w:hint="eastAsia"/>
              </w:rPr>
              <w:t>5</w:t>
            </w:r>
            <w:r>
              <w:rPr>
                <w:rStyle w:val="10"/>
                <w:rFonts w:hAnsi="仿宋"/>
              </w:rPr>
              <w:t>分；</w:t>
            </w:r>
            <w:r>
              <w:rPr>
                <w:rStyle w:val="10"/>
              </w:rPr>
              <w:t>“</w:t>
            </w:r>
            <w:r>
              <w:rPr>
                <w:rStyle w:val="10"/>
                <w:rFonts w:hAnsi="仿宋"/>
              </w:rPr>
              <w:t>三公经费</w:t>
            </w:r>
            <w:r>
              <w:rPr>
                <w:rStyle w:val="10"/>
              </w:rPr>
              <w:t>”</w:t>
            </w:r>
            <w:r>
              <w:rPr>
                <w:rStyle w:val="10"/>
                <w:rFonts w:hAnsi="仿宋"/>
              </w:rPr>
              <w:t>＞</w:t>
            </w:r>
            <w:r>
              <w:rPr>
                <w:rStyle w:val="10"/>
              </w:rPr>
              <w:t>0</w:t>
            </w:r>
            <w:r>
              <w:rPr>
                <w:rStyle w:val="10"/>
                <w:rFonts w:hAnsi="仿宋"/>
              </w:rPr>
              <w:t>，每超过一个百分点扣</w:t>
            </w:r>
            <w:r>
              <w:rPr>
                <w:rStyle w:val="10"/>
              </w:rPr>
              <w:t>0.8</w:t>
            </w:r>
            <w:r>
              <w:rPr>
                <w:rStyle w:val="10"/>
                <w:rFonts w:hAnsi="仿宋"/>
              </w:rPr>
              <w:t>分，扣完为止。</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w:t>
            </w:r>
            <w:r>
              <w:rPr>
                <w:rStyle w:val="10"/>
                <w:rFonts w:hAnsi="仿宋"/>
              </w:rPr>
              <w:t>三公经费</w:t>
            </w:r>
            <w:r>
              <w:rPr>
                <w:rStyle w:val="10"/>
              </w:rPr>
              <w:t>”</w:t>
            </w:r>
            <w:r>
              <w:rPr>
                <w:rStyle w:val="10"/>
                <w:rFonts w:hAnsi="仿宋"/>
              </w:rPr>
              <w:t>变动率</w:t>
            </w:r>
            <w:r>
              <w:rPr>
                <w:rStyle w:val="10"/>
              </w:rPr>
              <w:t>=[</w:t>
            </w:r>
            <w:r>
              <w:rPr>
                <w:rStyle w:val="10"/>
                <w:rFonts w:hAnsi="仿宋"/>
              </w:rPr>
              <w:t>（本年度</w:t>
            </w:r>
            <w:r>
              <w:rPr>
                <w:rStyle w:val="10"/>
              </w:rPr>
              <w:t>“</w:t>
            </w:r>
            <w:r>
              <w:rPr>
                <w:rStyle w:val="10"/>
                <w:rFonts w:hAnsi="仿宋"/>
              </w:rPr>
              <w:t>三公经费</w:t>
            </w:r>
            <w:r>
              <w:rPr>
                <w:rStyle w:val="10"/>
              </w:rPr>
              <w:t>”</w:t>
            </w:r>
            <w:r>
              <w:rPr>
                <w:rStyle w:val="10"/>
                <w:rFonts w:hAnsi="仿宋"/>
              </w:rPr>
              <w:t>预算数</w:t>
            </w:r>
            <w:r>
              <w:rPr>
                <w:rStyle w:val="10"/>
              </w:rPr>
              <w:t>-</w:t>
            </w:r>
            <w:r>
              <w:rPr>
                <w:rStyle w:val="10"/>
                <w:rFonts w:hAnsi="仿宋"/>
              </w:rPr>
              <w:t>上年度</w:t>
            </w:r>
            <w:r>
              <w:rPr>
                <w:rStyle w:val="10"/>
              </w:rPr>
              <w:t>“</w:t>
            </w:r>
            <w:r>
              <w:rPr>
                <w:rStyle w:val="10"/>
                <w:rFonts w:hAnsi="仿宋"/>
              </w:rPr>
              <w:t>三公经费</w:t>
            </w:r>
            <w:r>
              <w:rPr>
                <w:rStyle w:val="10"/>
              </w:rPr>
              <w:t>”</w:t>
            </w:r>
            <w:r>
              <w:rPr>
                <w:rStyle w:val="10"/>
                <w:rFonts w:hAnsi="仿宋"/>
              </w:rPr>
              <w:t>预算数）</w:t>
            </w:r>
            <w:r>
              <w:rPr>
                <w:rStyle w:val="10"/>
              </w:rPr>
              <w:t>/</w:t>
            </w:r>
            <w:r>
              <w:rPr>
                <w:rStyle w:val="10"/>
                <w:rFonts w:hAnsi="仿宋"/>
              </w:rPr>
              <w:t>上年度</w:t>
            </w:r>
            <w:r>
              <w:rPr>
                <w:rStyle w:val="10"/>
              </w:rPr>
              <w:t>“</w:t>
            </w:r>
            <w:r>
              <w:rPr>
                <w:rStyle w:val="10"/>
                <w:rFonts w:hAnsi="仿宋"/>
              </w:rPr>
              <w:t>三公经费</w:t>
            </w:r>
            <w:r>
              <w:rPr>
                <w:rStyle w:val="10"/>
              </w:rPr>
              <w:t>”</w:t>
            </w:r>
            <w:r>
              <w:rPr>
                <w:rStyle w:val="10"/>
                <w:rFonts w:hAnsi="仿宋"/>
              </w:rPr>
              <w:t>预算数</w:t>
            </w:r>
            <w:r>
              <w:rPr>
                <w:rStyle w:val="10"/>
              </w:rPr>
              <w:t>]×100%</w:t>
            </w:r>
          </w:p>
        </w:tc>
        <w:tc>
          <w:tcPr>
            <w:tcW w:w="10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w:t>
            </w:r>
            <w:r>
              <w:rPr>
                <w:rStyle w:val="10"/>
                <w:rFonts w:hAnsi="仿宋"/>
              </w:rPr>
              <w:t>三公经费</w:t>
            </w:r>
            <w:r>
              <w:rPr>
                <w:rStyle w:val="10"/>
              </w:rPr>
              <w:t>”</w:t>
            </w:r>
            <w:r>
              <w:rPr>
                <w:rStyle w:val="10"/>
                <w:rFonts w:hAnsi="仿宋"/>
              </w:rPr>
              <w:t>变动率</w:t>
            </w:r>
            <w:r>
              <w:rPr>
                <w:rStyle w:val="10"/>
              </w:rPr>
              <w:t>=[</w:t>
            </w:r>
            <w:r>
              <w:rPr>
                <w:rStyle w:val="10"/>
                <w:rFonts w:hAnsi="仿宋"/>
              </w:rPr>
              <w:t>（</w:t>
            </w:r>
            <w:r>
              <w:rPr>
                <w:rStyle w:val="10"/>
              </w:rPr>
              <w:t>3</w:t>
            </w:r>
            <w:r>
              <w:rPr>
                <w:rStyle w:val="10"/>
                <w:rFonts w:hint="eastAsia"/>
              </w:rPr>
              <w:t>.0</w:t>
            </w:r>
            <w:r>
              <w:rPr>
                <w:rStyle w:val="10"/>
              </w:rPr>
              <w:t>0</w:t>
            </w:r>
            <w:r>
              <w:rPr>
                <w:rStyle w:val="10"/>
                <w:rFonts w:hAnsi="仿宋"/>
              </w:rPr>
              <w:t>万元</w:t>
            </w:r>
            <w:r>
              <w:rPr>
                <w:rStyle w:val="10"/>
              </w:rPr>
              <w:t>-</w:t>
            </w:r>
            <w:r>
              <w:rPr>
                <w:rStyle w:val="10"/>
                <w:rFonts w:hint="eastAsia"/>
              </w:rPr>
              <w:t>16.71</w:t>
            </w:r>
            <w:r>
              <w:rPr>
                <w:rStyle w:val="10"/>
                <w:rFonts w:hAnsi="仿宋"/>
              </w:rPr>
              <w:t>万元）</w:t>
            </w:r>
            <w:r>
              <w:rPr>
                <w:rStyle w:val="10"/>
              </w:rPr>
              <w:t>/</w:t>
            </w:r>
            <w:r>
              <w:rPr>
                <w:rStyle w:val="10"/>
                <w:rFonts w:hint="eastAsia"/>
              </w:rPr>
              <w:t>16.71</w:t>
            </w:r>
            <w:r>
              <w:rPr>
                <w:rStyle w:val="10"/>
                <w:rFonts w:hAnsi="仿宋"/>
              </w:rPr>
              <w:t>万元</w:t>
            </w:r>
            <w:r>
              <w:rPr>
                <w:rStyle w:val="10"/>
              </w:rPr>
              <w:t>=</w:t>
            </w:r>
            <w:r>
              <w:rPr>
                <w:rStyle w:val="10"/>
                <w:rFonts w:hint="eastAsia"/>
              </w:rPr>
              <w:t>-82.05</w:t>
            </w:r>
            <w:r>
              <w:rPr>
                <w:rStyle w:val="10"/>
              </w:rPr>
              <w:t>%</w:t>
            </w:r>
            <w:r>
              <w:rPr>
                <w:rStyle w:val="10"/>
                <w:rFonts w:hAnsi="仿宋"/>
              </w:rPr>
              <w:t>。本项无扣分，得</w:t>
            </w:r>
            <w:r>
              <w:rPr>
                <w:rStyle w:val="10"/>
              </w:rPr>
              <w:t>5</w:t>
            </w:r>
            <w:r>
              <w:rPr>
                <w:rStyle w:val="10"/>
                <w:rFonts w:hAnsi="仿宋"/>
              </w:rPr>
              <w:t>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r>
      <w:tr>
        <w:tblPrEx>
          <w:tblCellMar>
            <w:top w:w="0" w:type="dxa"/>
            <w:left w:w="0" w:type="dxa"/>
            <w:bottom w:w="0" w:type="dxa"/>
            <w:right w:w="0" w:type="dxa"/>
          </w:tblCellMar>
        </w:tblPrEx>
        <w:trPr>
          <w:trHeight w:val="1680" w:hRule="atLeast"/>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过程</w:t>
            </w:r>
            <w:r>
              <w:rPr>
                <w:rStyle w:val="10"/>
              </w:rPr>
              <w:t>60</w:t>
            </w:r>
            <w:r>
              <w:rPr>
                <w:rStyle w:val="10"/>
                <w:rFonts w:hAnsi="仿宋"/>
              </w:rPr>
              <w:t>分</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预算执行</w:t>
            </w:r>
            <w:r>
              <w:rPr>
                <w:rStyle w:val="10"/>
              </w:rPr>
              <w:t>20</w:t>
            </w:r>
            <w:r>
              <w:rPr>
                <w:rStyle w:val="10"/>
                <w:rFonts w:hAnsi="仿宋"/>
              </w:rPr>
              <w:t>分</w:t>
            </w: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预算完成率</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100%</w:t>
            </w:r>
            <w:r>
              <w:rPr>
                <w:rStyle w:val="10"/>
                <w:rFonts w:hAnsi="仿宋"/>
              </w:rPr>
              <w:t>计满分，每低于</w:t>
            </w:r>
            <w:r>
              <w:rPr>
                <w:rStyle w:val="10"/>
              </w:rPr>
              <w:t>5%</w:t>
            </w:r>
            <w:r>
              <w:rPr>
                <w:rStyle w:val="10"/>
                <w:rFonts w:hAnsi="仿宋"/>
              </w:rPr>
              <w:t>扣</w:t>
            </w:r>
            <w:r>
              <w:rPr>
                <w:rStyle w:val="10"/>
              </w:rPr>
              <w:t>2</w:t>
            </w:r>
            <w:r>
              <w:rPr>
                <w:rStyle w:val="10"/>
                <w:rFonts w:hAnsi="仿宋"/>
              </w:rPr>
              <w:t>分，扣完为止。</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预算完成率</w:t>
            </w:r>
            <w:r>
              <w:rPr>
                <w:rStyle w:val="10"/>
              </w:rPr>
              <w:t>=</w:t>
            </w:r>
            <w:r>
              <w:rPr>
                <w:rStyle w:val="10"/>
                <w:rFonts w:hAnsi="仿宋"/>
              </w:rPr>
              <w:t>（上年结转</w:t>
            </w:r>
            <w:r>
              <w:rPr>
                <w:rStyle w:val="10"/>
              </w:rPr>
              <w:t>+</w:t>
            </w:r>
            <w:r>
              <w:rPr>
                <w:rStyle w:val="10"/>
                <w:rFonts w:hAnsi="仿宋"/>
              </w:rPr>
              <w:t>年初预算</w:t>
            </w:r>
            <w:r>
              <w:rPr>
                <w:rStyle w:val="10"/>
              </w:rPr>
              <w:t>+</w:t>
            </w:r>
            <w:r>
              <w:rPr>
                <w:rStyle w:val="10"/>
                <w:rFonts w:hAnsi="仿宋"/>
              </w:rPr>
              <w:t>本年追加预算</w:t>
            </w:r>
            <w:r>
              <w:rPr>
                <w:rStyle w:val="10"/>
              </w:rPr>
              <w:t>-</w:t>
            </w:r>
            <w:r>
              <w:rPr>
                <w:rStyle w:val="10"/>
                <w:rFonts w:hAnsi="仿宋"/>
              </w:rPr>
              <w:t>年末结余）</w:t>
            </w:r>
            <w:r>
              <w:rPr>
                <w:rStyle w:val="10"/>
              </w:rPr>
              <w:t>/</w:t>
            </w:r>
            <w:r>
              <w:rPr>
                <w:rStyle w:val="10"/>
                <w:rFonts w:hAnsi="仿宋"/>
              </w:rPr>
              <w:t>（上年结转</w:t>
            </w:r>
            <w:r>
              <w:rPr>
                <w:rStyle w:val="10"/>
              </w:rPr>
              <w:t>+</w:t>
            </w:r>
            <w:r>
              <w:rPr>
                <w:rStyle w:val="10"/>
                <w:rFonts w:hAnsi="仿宋"/>
              </w:rPr>
              <w:t>年初预算</w:t>
            </w:r>
            <w:r>
              <w:rPr>
                <w:rStyle w:val="10"/>
              </w:rPr>
              <w:t>+</w:t>
            </w:r>
            <w:r>
              <w:rPr>
                <w:rStyle w:val="10"/>
                <w:rFonts w:hAnsi="仿宋"/>
              </w:rPr>
              <w:t>本年追加预算）</w:t>
            </w:r>
            <w:r>
              <w:rPr>
                <w:rStyle w:val="10"/>
              </w:rPr>
              <w:t>×100%</w:t>
            </w:r>
            <w:r>
              <w:rPr>
                <w:rStyle w:val="10"/>
                <w:rFonts w:hAnsi="仿宋"/>
              </w:rPr>
              <w:t>。</w:t>
            </w:r>
          </w:p>
        </w:tc>
        <w:tc>
          <w:tcPr>
            <w:tcW w:w="10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预算完成率</w:t>
            </w:r>
            <w:r>
              <w:rPr>
                <w:rStyle w:val="10"/>
              </w:rPr>
              <w:t>=</w:t>
            </w:r>
            <w:r>
              <w:rPr>
                <w:rStyle w:val="10"/>
                <w:rFonts w:hAnsi="仿宋"/>
              </w:rPr>
              <w:t>（</w:t>
            </w:r>
            <w:r>
              <w:rPr>
                <w:rStyle w:val="10"/>
                <w:rFonts w:hint="eastAsia"/>
              </w:rPr>
              <w:t>117.06</w:t>
            </w:r>
            <w:r>
              <w:rPr>
                <w:rStyle w:val="10"/>
                <w:rFonts w:hAnsi="仿宋"/>
              </w:rPr>
              <w:t>万元</w:t>
            </w:r>
            <w:r>
              <w:rPr>
                <w:rStyle w:val="10"/>
              </w:rPr>
              <w:t>+</w:t>
            </w:r>
            <w:r>
              <w:rPr>
                <w:rStyle w:val="10"/>
                <w:rFonts w:hint="eastAsia"/>
              </w:rPr>
              <w:t>635.85</w:t>
            </w:r>
            <w:r>
              <w:rPr>
                <w:rStyle w:val="10"/>
                <w:rFonts w:hAnsi="仿宋"/>
              </w:rPr>
              <w:t>万元</w:t>
            </w:r>
            <w:r>
              <w:rPr>
                <w:rStyle w:val="10"/>
              </w:rPr>
              <w:t>+</w:t>
            </w:r>
            <w:r>
              <w:rPr>
                <w:rStyle w:val="10"/>
                <w:rFonts w:hint="eastAsia"/>
              </w:rPr>
              <w:t>228.43</w:t>
            </w:r>
            <w:r>
              <w:rPr>
                <w:rStyle w:val="10"/>
                <w:rFonts w:hAnsi="仿宋"/>
              </w:rPr>
              <w:t>万元</w:t>
            </w:r>
            <w:r>
              <w:rPr>
                <w:rStyle w:val="10"/>
              </w:rPr>
              <w:t>-</w:t>
            </w:r>
            <w:r>
              <w:rPr>
                <w:rStyle w:val="10"/>
                <w:rFonts w:hint="eastAsia"/>
              </w:rPr>
              <w:t>32.91</w:t>
            </w:r>
            <w:r>
              <w:rPr>
                <w:rStyle w:val="10"/>
                <w:rFonts w:hAnsi="仿宋"/>
              </w:rPr>
              <w:t>万元）</w:t>
            </w:r>
            <w:r>
              <w:rPr>
                <w:rStyle w:val="10"/>
              </w:rPr>
              <w:t>/(</w:t>
            </w:r>
            <w:r>
              <w:rPr>
                <w:rStyle w:val="10"/>
                <w:rFonts w:hint="eastAsia"/>
              </w:rPr>
              <w:t>117.06</w:t>
            </w:r>
            <w:r>
              <w:rPr>
                <w:rStyle w:val="10"/>
                <w:rFonts w:hAnsi="仿宋"/>
              </w:rPr>
              <w:t>万元</w:t>
            </w:r>
            <w:r>
              <w:rPr>
                <w:rStyle w:val="10"/>
              </w:rPr>
              <w:t>+</w:t>
            </w:r>
            <w:r>
              <w:rPr>
                <w:rStyle w:val="10"/>
                <w:rFonts w:hint="eastAsia"/>
              </w:rPr>
              <w:t>635.85</w:t>
            </w:r>
            <w:r>
              <w:rPr>
                <w:rStyle w:val="10"/>
                <w:rFonts w:hAnsi="仿宋"/>
              </w:rPr>
              <w:t>万元</w:t>
            </w:r>
            <w:r>
              <w:rPr>
                <w:rStyle w:val="10"/>
              </w:rPr>
              <w:t>+</w:t>
            </w:r>
            <w:r>
              <w:rPr>
                <w:rStyle w:val="10"/>
                <w:rFonts w:hint="eastAsia"/>
              </w:rPr>
              <w:t>228.43</w:t>
            </w:r>
            <w:r>
              <w:rPr>
                <w:rStyle w:val="10"/>
                <w:rFonts w:hAnsi="仿宋"/>
              </w:rPr>
              <w:t>万元</w:t>
            </w:r>
            <w:r>
              <w:rPr>
                <w:rStyle w:val="10"/>
              </w:rPr>
              <w:t>)×100%=</w:t>
            </w:r>
            <w:r>
              <w:rPr>
                <w:rStyle w:val="10"/>
                <w:rFonts w:hint="eastAsia"/>
              </w:rPr>
              <w:t>96.65</w:t>
            </w:r>
            <w:r>
              <w:rPr>
                <w:rStyle w:val="10"/>
              </w:rPr>
              <w:t>%</w:t>
            </w:r>
            <w:r>
              <w:rPr>
                <w:rStyle w:val="10"/>
                <w:rFonts w:hAnsi="仿宋"/>
              </w:rPr>
              <w:t>。每低于</w:t>
            </w:r>
            <w:r>
              <w:rPr>
                <w:rStyle w:val="10"/>
              </w:rPr>
              <w:t>5%</w:t>
            </w:r>
            <w:r>
              <w:rPr>
                <w:rStyle w:val="10"/>
                <w:rFonts w:hAnsi="仿宋"/>
              </w:rPr>
              <w:t>扣</w:t>
            </w:r>
            <w:r>
              <w:rPr>
                <w:rStyle w:val="10"/>
              </w:rPr>
              <w:t>2</w:t>
            </w:r>
            <w:r>
              <w:rPr>
                <w:rStyle w:val="10"/>
                <w:rFonts w:hAnsi="仿宋"/>
              </w:rPr>
              <w:t>分，本项扣</w:t>
            </w:r>
            <w:r>
              <w:rPr>
                <w:rStyle w:val="10"/>
                <w:rFonts w:hint="eastAsia"/>
              </w:rPr>
              <w:t>2</w:t>
            </w:r>
            <w:r>
              <w:rPr>
                <w:rStyle w:val="10"/>
                <w:rFonts w:hAnsi="仿宋"/>
              </w:rPr>
              <w:t>分，得</w:t>
            </w:r>
            <w:r>
              <w:rPr>
                <w:rStyle w:val="10"/>
                <w:rFonts w:hint="eastAsia"/>
              </w:rPr>
              <w:t>3</w:t>
            </w:r>
            <w:r>
              <w:rPr>
                <w:rStyle w:val="10"/>
                <w:rFonts w:hAnsi="仿宋"/>
              </w:rPr>
              <w:t>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color w:val="000000"/>
                <w:sz w:val="18"/>
                <w:szCs w:val="18"/>
              </w:rPr>
            </w:pPr>
            <w:r>
              <w:rPr>
                <w:rFonts w:hint="eastAsia"/>
                <w:color w:val="000000"/>
                <w:kern w:val="0"/>
                <w:sz w:val="18"/>
                <w:szCs w:val="18"/>
              </w:rPr>
              <w:t>3</w:t>
            </w:r>
          </w:p>
        </w:tc>
      </w:tr>
      <w:tr>
        <w:tblPrEx>
          <w:tblCellMar>
            <w:top w:w="0" w:type="dxa"/>
            <w:left w:w="0" w:type="dxa"/>
            <w:bottom w:w="0" w:type="dxa"/>
            <w:right w:w="0" w:type="dxa"/>
          </w:tblCellMar>
        </w:tblPrEx>
        <w:trPr>
          <w:trHeight w:val="216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预算控制率</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预算控制率</w:t>
            </w:r>
            <w:r>
              <w:rPr>
                <w:rStyle w:val="10"/>
              </w:rPr>
              <w:t>=0</w:t>
            </w:r>
            <w:r>
              <w:rPr>
                <w:rStyle w:val="10"/>
                <w:rFonts w:hAnsi="仿宋"/>
              </w:rPr>
              <w:t>，计</w:t>
            </w:r>
            <w:r>
              <w:rPr>
                <w:rStyle w:val="10"/>
              </w:rPr>
              <w:t>5</w:t>
            </w:r>
            <w:r>
              <w:rPr>
                <w:rStyle w:val="10"/>
                <w:rFonts w:hAnsi="仿宋"/>
              </w:rPr>
              <w:t>分；</w:t>
            </w:r>
            <w:r>
              <w:rPr>
                <w:rStyle w:val="10"/>
              </w:rPr>
              <w:t>0-10%</w:t>
            </w:r>
            <w:r>
              <w:rPr>
                <w:rStyle w:val="10"/>
                <w:rFonts w:hAnsi="仿宋"/>
              </w:rPr>
              <w:t>（含），计</w:t>
            </w:r>
            <w:r>
              <w:rPr>
                <w:rStyle w:val="10"/>
              </w:rPr>
              <w:t>4</w:t>
            </w:r>
            <w:r>
              <w:rPr>
                <w:rStyle w:val="10"/>
                <w:rFonts w:hAnsi="仿宋"/>
              </w:rPr>
              <w:t>分；</w:t>
            </w:r>
            <w:r>
              <w:rPr>
                <w:rStyle w:val="10"/>
              </w:rPr>
              <w:t>10-20%</w:t>
            </w:r>
            <w:r>
              <w:rPr>
                <w:rStyle w:val="10"/>
                <w:rFonts w:hAnsi="仿宋"/>
              </w:rPr>
              <w:t>（含），计</w:t>
            </w:r>
            <w:r>
              <w:rPr>
                <w:rStyle w:val="10"/>
              </w:rPr>
              <w:t>3</w:t>
            </w:r>
            <w:r>
              <w:rPr>
                <w:rStyle w:val="10"/>
                <w:rFonts w:hAnsi="仿宋"/>
              </w:rPr>
              <w:t>分；</w:t>
            </w:r>
            <w:r>
              <w:rPr>
                <w:rStyle w:val="10"/>
              </w:rPr>
              <w:t>20-30%</w:t>
            </w:r>
            <w:r>
              <w:rPr>
                <w:rStyle w:val="10"/>
                <w:rFonts w:hAnsi="仿宋"/>
              </w:rPr>
              <w:t>（含），计</w:t>
            </w:r>
            <w:r>
              <w:rPr>
                <w:rStyle w:val="10"/>
              </w:rPr>
              <w:t>2</w:t>
            </w:r>
            <w:r>
              <w:rPr>
                <w:rStyle w:val="10"/>
                <w:rFonts w:hAnsi="仿宋"/>
              </w:rPr>
              <w:t>分；大于</w:t>
            </w:r>
            <w:r>
              <w:rPr>
                <w:rStyle w:val="10"/>
              </w:rPr>
              <w:t>30%</w:t>
            </w:r>
            <w:r>
              <w:rPr>
                <w:rStyle w:val="10"/>
                <w:rFonts w:hAnsi="仿宋"/>
              </w:rPr>
              <w:t>不得分。</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预算控制率</w:t>
            </w:r>
            <w:r>
              <w:rPr>
                <w:rStyle w:val="10"/>
              </w:rPr>
              <w:t>=</w:t>
            </w:r>
            <w:r>
              <w:rPr>
                <w:rStyle w:val="10"/>
                <w:rFonts w:hAnsi="仿宋"/>
              </w:rPr>
              <w:t>（本年追加预算</w:t>
            </w:r>
            <w:r>
              <w:rPr>
                <w:rStyle w:val="10"/>
              </w:rPr>
              <w:t>/</w:t>
            </w:r>
            <w:r>
              <w:rPr>
                <w:rStyle w:val="10"/>
                <w:rFonts w:hAnsi="仿宋"/>
              </w:rPr>
              <w:t>年初预算）</w:t>
            </w:r>
            <w:r>
              <w:rPr>
                <w:rStyle w:val="10"/>
              </w:rPr>
              <w:t>×100%</w:t>
            </w:r>
            <w:r>
              <w:rPr>
                <w:rStyle w:val="10"/>
                <w:rFonts w:hAnsi="仿宋"/>
              </w:rPr>
              <w:t>。</w:t>
            </w:r>
          </w:p>
        </w:tc>
        <w:tc>
          <w:tcPr>
            <w:tcW w:w="10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预算控制率</w:t>
            </w:r>
            <w:r>
              <w:rPr>
                <w:rStyle w:val="10"/>
              </w:rPr>
              <w:t>=</w:t>
            </w:r>
            <w:r>
              <w:rPr>
                <w:rStyle w:val="10"/>
                <w:rFonts w:hAnsi="仿宋"/>
              </w:rPr>
              <w:t>（本年追加预算</w:t>
            </w:r>
            <w:r>
              <w:rPr>
                <w:rStyle w:val="10"/>
                <w:rFonts w:hint="eastAsia"/>
              </w:rPr>
              <w:t>228.43</w:t>
            </w:r>
            <w:r>
              <w:rPr>
                <w:rStyle w:val="10"/>
                <w:rFonts w:hAnsi="仿宋"/>
              </w:rPr>
              <w:t>万元</w:t>
            </w:r>
            <w:r>
              <w:rPr>
                <w:rStyle w:val="10"/>
              </w:rPr>
              <w:t>/</w:t>
            </w:r>
            <w:r>
              <w:rPr>
                <w:rStyle w:val="10"/>
                <w:rFonts w:hAnsi="仿宋"/>
              </w:rPr>
              <w:t>年初预算数</w:t>
            </w:r>
            <w:r>
              <w:rPr>
                <w:rStyle w:val="10"/>
                <w:rFonts w:hint="eastAsia"/>
              </w:rPr>
              <w:t>635.85</w:t>
            </w:r>
            <w:r>
              <w:rPr>
                <w:rStyle w:val="10"/>
                <w:rFonts w:hAnsi="仿宋"/>
              </w:rPr>
              <w:t>万元）</w:t>
            </w:r>
            <w:r>
              <w:rPr>
                <w:rStyle w:val="10"/>
              </w:rPr>
              <w:t>×100%=</w:t>
            </w:r>
            <w:r>
              <w:rPr>
                <w:rStyle w:val="10"/>
                <w:rFonts w:hint="eastAsia"/>
              </w:rPr>
              <w:t>35.93</w:t>
            </w:r>
            <w:r>
              <w:rPr>
                <w:rStyle w:val="10"/>
              </w:rPr>
              <w:t>%</w:t>
            </w:r>
            <w:r>
              <w:rPr>
                <w:rStyle w:val="10"/>
                <w:rFonts w:hAnsi="仿宋"/>
              </w:rPr>
              <w:t>，大于</w:t>
            </w:r>
            <w:r>
              <w:rPr>
                <w:rStyle w:val="10"/>
                <w:rFonts w:hint="eastAsia" w:hAnsi="仿宋"/>
              </w:rPr>
              <w:t>30%</w:t>
            </w:r>
            <w:r>
              <w:rPr>
                <w:rStyle w:val="10"/>
                <w:rFonts w:hAnsi="仿宋"/>
              </w:rPr>
              <w:t>，本项扣</w:t>
            </w:r>
            <w:r>
              <w:rPr>
                <w:rStyle w:val="10"/>
                <w:rFonts w:hint="eastAsia"/>
              </w:rPr>
              <w:t>5</w:t>
            </w:r>
            <w:r>
              <w:rPr>
                <w:rStyle w:val="10"/>
                <w:rFonts w:hAnsi="仿宋"/>
              </w:rPr>
              <w:t>分，得</w:t>
            </w:r>
            <w:r>
              <w:rPr>
                <w:rStyle w:val="10"/>
                <w:rFonts w:hint="eastAsia"/>
              </w:rPr>
              <w:t>0</w:t>
            </w:r>
            <w:r>
              <w:rPr>
                <w:rStyle w:val="10"/>
                <w:rFonts w:hAnsi="仿宋"/>
              </w:rPr>
              <w:t>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color w:val="000000"/>
                <w:sz w:val="18"/>
                <w:szCs w:val="18"/>
              </w:rPr>
            </w:pPr>
            <w:r>
              <w:rPr>
                <w:rFonts w:hint="eastAsia"/>
                <w:color w:val="000000"/>
                <w:kern w:val="0"/>
                <w:sz w:val="18"/>
                <w:szCs w:val="18"/>
              </w:rPr>
              <w:t>0</w:t>
            </w:r>
          </w:p>
        </w:tc>
      </w:tr>
      <w:tr>
        <w:tblPrEx>
          <w:tblCellMar>
            <w:top w:w="0" w:type="dxa"/>
            <w:left w:w="0" w:type="dxa"/>
            <w:bottom w:w="0" w:type="dxa"/>
            <w:right w:w="0" w:type="dxa"/>
          </w:tblCellMar>
        </w:tblPrEx>
        <w:trPr>
          <w:trHeight w:val="192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新建楼堂馆所面积控制率</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100%</w:t>
            </w:r>
            <w:r>
              <w:rPr>
                <w:rStyle w:val="10"/>
                <w:rFonts w:hAnsi="仿宋"/>
              </w:rPr>
              <w:t>以下（含）计满分，每超出</w:t>
            </w:r>
            <w:r>
              <w:rPr>
                <w:rStyle w:val="10"/>
              </w:rPr>
              <w:t>5%</w:t>
            </w:r>
            <w:r>
              <w:rPr>
                <w:rStyle w:val="10"/>
                <w:rFonts w:hAnsi="仿宋"/>
              </w:rPr>
              <w:t>扣</w:t>
            </w:r>
            <w:r>
              <w:rPr>
                <w:rStyle w:val="10"/>
              </w:rPr>
              <w:t>2</w:t>
            </w:r>
            <w:r>
              <w:rPr>
                <w:rStyle w:val="10"/>
                <w:rFonts w:hAnsi="仿宋"/>
              </w:rPr>
              <w:t>分，扣完为止，没有新建楼堂馆所项目的部门按满分计算。</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楼堂馆所面积控制率</w:t>
            </w:r>
            <w:r>
              <w:rPr>
                <w:rStyle w:val="10"/>
              </w:rPr>
              <w:t>=</w:t>
            </w:r>
            <w:r>
              <w:rPr>
                <w:rStyle w:val="10"/>
                <w:rFonts w:hAnsi="仿宋"/>
              </w:rPr>
              <w:t>实际建设面积</w:t>
            </w:r>
            <w:r>
              <w:rPr>
                <w:rStyle w:val="10"/>
              </w:rPr>
              <w:t>/</w:t>
            </w:r>
            <w:r>
              <w:rPr>
                <w:rStyle w:val="10"/>
                <w:rFonts w:hAnsi="仿宋"/>
              </w:rPr>
              <w:t>批准建设面积</w:t>
            </w:r>
            <w:r>
              <w:rPr>
                <w:rStyle w:val="10"/>
              </w:rPr>
              <w:t>*100%</w:t>
            </w:r>
            <w:r>
              <w:rPr>
                <w:rStyle w:val="10"/>
                <w:rFonts w:hAnsi="仿宋"/>
              </w:rPr>
              <w:t>。该指标以</w:t>
            </w:r>
            <w:r>
              <w:rPr>
                <w:rStyle w:val="10"/>
              </w:rPr>
              <w:t>2019年</w:t>
            </w:r>
            <w:r>
              <w:rPr>
                <w:rStyle w:val="10"/>
                <w:rFonts w:hAnsi="仿宋"/>
              </w:rPr>
              <w:t>完工的新建楼堂馆所为评价内容。</w:t>
            </w:r>
          </w:p>
        </w:tc>
        <w:tc>
          <w:tcPr>
            <w:tcW w:w="10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衡山县医疗保障局</w:t>
            </w:r>
            <w:r>
              <w:rPr>
                <w:rStyle w:val="10"/>
              </w:rPr>
              <w:t>2019年</w:t>
            </w:r>
            <w:r>
              <w:rPr>
                <w:rStyle w:val="10"/>
                <w:rFonts w:hAnsi="仿宋"/>
              </w:rPr>
              <w:t>无新建楼堂，得</w:t>
            </w:r>
            <w:r>
              <w:rPr>
                <w:rStyle w:val="10"/>
              </w:rPr>
              <w:t>5</w:t>
            </w:r>
            <w:r>
              <w:rPr>
                <w:rStyle w:val="10"/>
                <w:rFonts w:hAnsi="仿宋"/>
              </w:rPr>
              <w:t>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r>
      <w:tr>
        <w:tblPrEx>
          <w:tblCellMar>
            <w:top w:w="0" w:type="dxa"/>
            <w:left w:w="0" w:type="dxa"/>
            <w:bottom w:w="0" w:type="dxa"/>
            <w:right w:w="0" w:type="dxa"/>
          </w:tblCellMar>
        </w:tblPrEx>
        <w:trPr>
          <w:trHeight w:val="120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新建楼堂馆所投资概算控制率</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100%</w:t>
            </w:r>
            <w:r>
              <w:rPr>
                <w:rStyle w:val="10"/>
                <w:rFonts w:hAnsi="仿宋"/>
              </w:rPr>
              <w:t>以下（含）计满分，每超出</w:t>
            </w:r>
            <w:r>
              <w:rPr>
                <w:rStyle w:val="10"/>
              </w:rPr>
              <w:t>5%</w:t>
            </w:r>
            <w:r>
              <w:rPr>
                <w:rStyle w:val="10"/>
                <w:rFonts w:hAnsi="仿宋"/>
              </w:rPr>
              <w:t>扣</w:t>
            </w:r>
            <w:r>
              <w:rPr>
                <w:rStyle w:val="10"/>
              </w:rPr>
              <w:t>2</w:t>
            </w:r>
            <w:r>
              <w:rPr>
                <w:rStyle w:val="10"/>
                <w:rFonts w:hAnsi="仿宋"/>
              </w:rPr>
              <w:t>分，扣完为止。</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楼堂馆所投资预算控制率</w:t>
            </w:r>
            <w:r>
              <w:rPr>
                <w:rStyle w:val="10"/>
              </w:rPr>
              <w:t>=</w:t>
            </w:r>
            <w:r>
              <w:rPr>
                <w:rStyle w:val="10"/>
                <w:rFonts w:hAnsi="仿宋"/>
              </w:rPr>
              <w:t>实际投资金额</w:t>
            </w:r>
            <w:r>
              <w:rPr>
                <w:rStyle w:val="10"/>
              </w:rPr>
              <w:t>/</w:t>
            </w:r>
            <w:r>
              <w:rPr>
                <w:rStyle w:val="10"/>
                <w:rFonts w:hAnsi="仿宋"/>
              </w:rPr>
              <w:t>批准投资金额</w:t>
            </w:r>
            <w:r>
              <w:rPr>
                <w:rStyle w:val="10"/>
              </w:rPr>
              <w:t>*100%</w:t>
            </w:r>
            <w:r>
              <w:rPr>
                <w:rStyle w:val="10"/>
                <w:rFonts w:hAnsi="仿宋"/>
              </w:rPr>
              <w:t>。该指标以</w:t>
            </w:r>
            <w:r>
              <w:rPr>
                <w:rStyle w:val="10"/>
              </w:rPr>
              <w:t>2019年</w:t>
            </w:r>
            <w:r>
              <w:rPr>
                <w:rStyle w:val="10"/>
                <w:rFonts w:hAnsi="仿宋"/>
              </w:rPr>
              <w:t>完工的新建楼堂馆所为评价内容。</w:t>
            </w:r>
          </w:p>
        </w:tc>
        <w:tc>
          <w:tcPr>
            <w:tcW w:w="10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衡山县医疗保障局</w:t>
            </w:r>
            <w:r>
              <w:rPr>
                <w:rStyle w:val="10"/>
              </w:rPr>
              <w:t>2019年</w:t>
            </w:r>
            <w:r>
              <w:rPr>
                <w:rStyle w:val="10"/>
                <w:rFonts w:hAnsi="仿宋"/>
              </w:rPr>
              <w:t>无新建楼堂，得</w:t>
            </w:r>
            <w:r>
              <w:rPr>
                <w:rStyle w:val="10"/>
              </w:rPr>
              <w:t>5</w:t>
            </w:r>
            <w:r>
              <w:rPr>
                <w:rStyle w:val="10"/>
                <w:rFonts w:hAnsi="仿宋"/>
              </w:rPr>
              <w:t>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r>
      <w:tr>
        <w:tblPrEx>
          <w:tblCellMar>
            <w:top w:w="0" w:type="dxa"/>
            <w:left w:w="0" w:type="dxa"/>
            <w:bottom w:w="0" w:type="dxa"/>
            <w:right w:w="0" w:type="dxa"/>
          </w:tblCellMar>
        </w:tblPrEx>
        <w:trPr>
          <w:trHeight w:val="96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预算管理</w:t>
            </w:r>
            <w:r>
              <w:rPr>
                <w:rStyle w:val="10"/>
              </w:rPr>
              <w:t>40</w:t>
            </w:r>
            <w:r>
              <w:rPr>
                <w:rStyle w:val="10"/>
                <w:rFonts w:hAnsi="仿宋"/>
              </w:rPr>
              <w:t>分</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公用经费控制率</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8</w:t>
            </w:r>
          </w:p>
        </w:tc>
        <w:tc>
          <w:tcPr>
            <w:tcW w:w="1006"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100%</w:t>
            </w:r>
            <w:r>
              <w:rPr>
                <w:rStyle w:val="10"/>
                <w:rFonts w:hAnsi="仿宋"/>
              </w:rPr>
              <w:t>以下（含）计满分，每超出</w:t>
            </w:r>
            <w:r>
              <w:rPr>
                <w:rStyle w:val="10"/>
              </w:rPr>
              <w:t>1%</w:t>
            </w:r>
            <w:r>
              <w:rPr>
                <w:rStyle w:val="10"/>
                <w:rFonts w:hAnsi="仿宋"/>
              </w:rPr>
              <w:t>扣</w:t>
            </w:r>
            <w:r>
              <w:rPr>
                <w:rStyle w:val="10"/>
              </w:rPr>
              <w:t>1</w:t>
            </w:r>
            <w:r>
              <w:rPr>
                <w:rStyle w:val="10"/>
                <w:rFonts w:hAnsi="仿宋"/>
              </w:rPr>
              <w:t>分，扣完为止。</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公用经费控制率</w:t>
            </w:r>
            <w:r>
              <w:rPr>
                <w:rStyle w:val="10"/>
              </w:rPr>
              <w:t>=</w:t>
            </w:r>
            <w:r>
              <w:rPr>
                <w:rStyle w:val="10"/>
                <w:rFonts w:hAnsi="仿宋"/>
              </w:rPr>
              <w:t>（实际支出公用经费总额</w:t>
            </w:r>
            <w:r>
              <w:rPr>
                <w:rStyle w:val="10"/>
              </w:rPr>
              <w:t>/</w:t>
            </w:r>
            <w:r>
              <w:rPr>
                <w:rStyle w:val="10"/>
                <w:rFonts w:hAnsi="仿宋"/>
              </w:rPr>
              <w:t>预算安排公用经费总额）</w:t>
            </w:r>
            <w:r>
              <w:rPr>
                <w:rStyle w:val="10"/>
              </w:rPr>
              <w:t>×100%</w:t>
            </w:r>
            <w:r>
              <w:rPr>
                <w:rStyle w:val="10"/>
                <w:rFonts w:hAnsi="仿宋"/>
              </w:rPr>
              <w:t>。</w:t>
            </w:r>
          </w:p>
        </w:tc>
        <w:tc>
          <w:tcPr>
            <w:tcW w:w="103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（实际支出公用经费总额</w:t>
            </w:r>
            <w:r>
              <w:rPr>
                <w:rStyle w:val="10"/>
                <w:rFonts w:hint="eastAsia"/>
              </w:rPr>
              <w:t>229.12</w:t>
            </w:r>
            <w:r>
              <w:rPr>
                <w:rStyle w:val="10"/>
                <w:rFonts w:hAnsi="仿宋"/>
              </w:rPr>
              <w:t>万元</w:t>
            </w:r>
            <w:r>
              <w:rPr>
                <w:rStyle w:val="10"/>
              </w:rPr>
              <w:t>/</w:t>
            </w:r>
            <w:r>
              <w:rPr>
                <w:rStyle w:val="10"/>
                <w:rFonts w:hAnsi="仿宋"/>
              </w:rPr>
              <w:t>预算安排公用经费总额</w:t>
            </w:r>
            <w:r>
              <w:rPr>
                <w:rStyle w:val="10"/>
                <w:rFonts w:hint="eastAsia"/>
              </w:rPr>
              <w:t>190.30</w:t>
            </w:r>
            <w:r>
              <w:rPr>
                <w:rStyle w:val="10"/>
                <w:rFonts w:hAnsi="仿宋"/>
              </w:rPr>
              <w:t>万元</w:t>
            </w:r>
            <w:r>
              <w:rPr>
                <w:rStyle w:val="10"/>
              </w:rPr>
              <w:t>×100%=</w:t>
            </w:r>
            <w:r>
              <w:rPr>
                <w:rStyle w:val="10"/>
                <w:rFonts w:hint="eastAsia"/>
              </w:rPr>
              <w:t>120.40</w:t>
            </w:r>
            <w:r>
              <w:rPr>
                <w:rStyle w:val="10"/>
              </w:rPr>
              <w:t>%</w:t>
            </w:r>
            <w:r>
              <w:rPr>
                <w:rStyle w:val="10"/>
                <w:rFonts w:hAnsi="仿宋"/>
              </w:rPr>
              <w:t>，</w:t>
            </w:r>
            <w:r>
              <w:rPr>
                <w:rStyle w:val="10"/>
              </w:rPr>
              <w:t>100%</w:t>
            </w:r>
            <w:r>
              <w:rPr>
                <w:rStyle w:val="10"/>
                <w:rFonts w:hAnsi="仿宋"/>
              </w:rPr>
              <w:t>以下得满分</w:t>
            </w:r>
            <w:r>
              <w:rPr>
                <w:rStyle w:val="10"/>
              </w:rPr>
              <w:t>8</w:t>
            </w:r>
            <w:r>
              <w:rPr>
                <w:rStyle w:val="10"/>
                <w:rFonts w:hAnsi="仿宋"/>
              </w:rPr>
              <w:t>分；每超出</w:t>
            </w:r>
            <w:r>
              <w:rPr>
                <w:rStyle w:val="10"/>
              </w:rPr>
              <w:t>1%</w:t>
            </w:r>
            <w:r>
              <w:rPr>
                <w:rStyle w:val="10"/>
                <w:rFonts w:hAnsi="仿宋"/>
              </w:rPr>
              <w:t>扣</w:t>
            </w:r>
            <w:r>
              <w:rPr>
                <w:rStyle w:val="10"/>
              </w:rPr>
              <w:t>1</w:t>
            </w:r>
            <w:r>
              <w:rPr>
                <w:rStyle w:val="10"/>
                <w:rFonts w:hAnsi="仿宋"/>
              </w:rPr>
              <w:t>分，本项扣</w:t>
            </w:r>
            <w:r>
              <w:rPr>
                <w:rStyle w:val="10"/>
              </w:rPr>
              <w:t>8</w:t>
            </w:r>
            <w:r>
              <w:rPr>
                <w:rStyle w:val="10"/>
                <w:rFonts w:hAnsi="仿宋"/>
              </w:rPr>
              <w:t>分，得</w:t>
            </w:r>
            <w:r>
              <w:rPr>
                <w:rStyle w:val="10"/>
              </w:rPr>
              <w:t>0</w:t>
            </w:r>
            <w:r>
              <w:rPr>
                <w:rStyle w:val="10"/>
                <w:rFonts w:hAnsi="仿宋"/>
              </w:rPr>
              <w:t>分。</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0</w:t>
            </w:r>
          </w:p>
        </w:tc>
      </w:tr>
      <w:tr>
        <w:tblPrEx>
          <w:tblCellMar>
            <w:top w:w="0" w:type="dxa"/>
            <w:left w:w="0" w:type="dxa"/>
            <w:bottom w:w="0" w:type="dxa"/>
            <w:right w:w="0" w:type="dxa"/>
          </w:tblCellMar>
        </w:tblPrEx>
        <w:trPr>
          <w:trHeight w:val="72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10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公用经费支出是指部门基本支出中的一般商品和服务支出。</w:t>
            </w:r>
          </w:p>
        </w:tc>
        <w:tc>
          <w:tcPr>
            <w:tcW w:w="10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color w:val="000000"/>
                <w:sz w:val="18"/>
                <w:szCs w:val="18"/>
              </w:rPr>
            </w:pPr>
          </w:p>
        </w:tc>
      </w:tr>
      <w:tr>
        <w:tblPrEx>
          <w:tblCellMar>
            <w:top w:w="0" w:type="dxa"/>
            <w:left w:w="0" w:type="dxa"/>
            <w:bottom w:w="0" w:type="dxa"/>
            <w:right w:w="0" w:type="dxa"/>
          </w:tblCellMar>
        </w:tblPrEx>
        <w:trPr>
          <w:trHeight w:val="144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w:t>
            </w:r>
            <w:r>
              <w:rPr>
                <w:rStyle w:val="10"/>
                <w:rFonts w:hAnsi="仿宋"/>
              </w:rPr>
              <w:t>三公经费</w:t>
            </w:r>
            <w:r>
              <w:rPr>
                <w:rStyle w:val="10"/>
              </w:rPr>
              <w:t>”</w:t>
            </w:r>
            <w:r>
              <w:rPr>
                <w:rStyle w:val="10"/>
                <w:rFonts w:hAnsi="仿宋"/>
              </w:rPr>
              <w:t>控制率</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7</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100%</w:t>
            </w:r>
            <w:r>
              <w:rPr>
                <w:rStyle w:val="10"/>
                <w:rFonts w:hAnsi="仿宋"/>
              </w:rPr>
              <w:t>以下（含）计满分，每超出</w:t>
            </w:r>
            <w:r>
              <w:rPr>
                <w:rStyle w:val="10"/>
              </w:rPr>
              <w:t>1%</w:t>
            </w:r>
            <w:r>
              <w:rPr>
                <w:rStyle w:val="10"/>
                <w:rFonts w:hAnsi="仿宋"/>
              </w:rPr>
              <w:t>扣</w:t>
            </w:r>
            <w:r>
              <w:rPr>
                <w:rStyle w:val="10"/>
              </w:rPr>
              <w:t>1</w:t>
            </w:r>
            <w:r>
              <w:rPr>
                <w:rStyle w:val="10"/>
                <w:rFonts w:hAnsi="仿宋"/>
              </w:rPr>
              <w:t>分，扣完为止。</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w:t>
            </w:r>
            <w:r>
              <w:rPr>
                <w:rStyle w:val="10"/>
                <w:rFonts w:hAnsi="仿宋"/>
              </w:rPr>
              <w:t>三公经费</w:t>
            </w:r>
            <w:r>
              <w:rPr>
                <w:rStyle w:val="10"/>
              </w:rPr>
              <w:t>”</w:t>
            </w:r>
            <w:r>
              <w:rPr>
                <w:rStyle w:val="10"/>
                <w:rFonts w:hAnsi="仿宋"/>
              </w:rPr>
              <w:t>控制率</w:t>
            </w:r>
            <w:r>
              <w:rPr>
                <w:rStyle w:val="10"/>
              </w:rPr>
              <w:t>-</w:t>
            </w:r>
            <w:r>
              <w:rPr>
                <w:rStyle w:val="10"/>
                <w:rFonts w:hAnsi="仿宋"/>
              </w:rPr>
              <w:t>（</w:t>
            </w:r>
            <w:r>
              <w:rPr>
                <w:rStyle w:val="10"/>
              </w:rPr>
              <w:t>“</w:t>
            </w:r>
            <w:r>
              <w:rPr>
                <w:rStyle w:val="10"/>
                <w:rFonts w:hAnsi="仿宋"/>
              </w:rPr>
              <w:t>三公经费</w:t>
            </w:r>
            <w:r>
              <w:rPr>
                <w:rStyle w:val="10"/>
              </w:rPr>
              <w:t>”</w:t>
            </w:r>
            <w:r>
              <w:rPr>
                <w:rStyle w:val="10"/>
                <w:rFonts w:hAnsi="仿宋"/>
              </w:rPr>
              <w:t>实际支出数</w:t>
            </w:r>
            <w:r>
              <w:rPr>
                <w:rStyle w:val="10"/>
              </w:rPr>
              <w:t>/“</w:t>
            </w:r>
            <w:r>
              <w:rPr>
                <w:rStyle w:val="10"/>
                <w:rFonts w:hAnsi="仿宋"/>
              </w:rPr>
              <w:t>三公经费</w:t>
            </w:r>
            <w:r>
              <w:rPr>
                <w:rStyle w:val="10"/>
              </w:rPr>
              <w:t>”</w:t>
            </w:r>
            <w:r>
              <w:rPr>
                <w:rStyle w:val="10"/>
                <w:rFonts w:hAnsi="仿宋"/>
              </w:rPr>
              <w:t>预算安排数）</w:t>
            </w:r>
            <w:r>
              <w:rPr>
                <w:rStyle w:val="10"/>
              </w:rPr>
              <w:t>×100%</w:t>
            </w:r>
            <w:r>
              <w:rPr>
                <w:rStyle w:val="10"/>
                <w:rFonts w:hAnsi="仿宋"/>
              </w:rPr>
              <w:t>。</w:t>
            </w:r>
          </w:p>
        </w:tc>
        <w:tc>
          <w:tcPr>
            <w:tcW w:w="10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w:t>
            </w:r>
            <w:r>
              <w:rPr>
                <w:rStyle w:val="10"/>
              </w:rPr>
              <w:t>“</w:t>
            </w:r>
            <w:r>
              <w:rPr>
                <w:rStyle w:val="10"/>
                <w:rFonts w:hAnsi="仿宋"/>
              </w:rPr>
              <w:t>三公经费</w:t>
            </w:r>
            <w:r>
              <w:rPr>
                <w:rStyle w:val="10"/>
              </w:rPr>
              <w:t>”</w:t>
            </w:r>
            <w:r>
              <w:rPr>
                <w:rStyle w:val="10"/>
                <w:rFonts w:hAnsi="仿宋"/>
              </w:rPr>
              <w:t>实际支出数</w:t>
            </w:r>
            <w:r>
              <w:rPr>
                <w:rStyle w:val="10"/>
                <w:rFonts w:hint="eastAsia"/>
              </w:rPr>
              <w:t>2.94</w:t>
            </w:r>
            <w:r>
              <w:rPr>
                <w:rStyle w:val="10"/>
                <w:rFonts w:hAnsi="仿宋"/>
              </w:rPr>
              <w:t>万元</w:t>
            </w:r>
            <w:r>
              <w:rPr>
                <w:rStyle w:val="10"/>
              </w:rPr>
              <w:t>/“</w:t>
            </w:r>
            <w:r>
              <w:rPr>
                <w:rStyle w:val="10"/>
                <w:rFonts w:hAnsi="仿宋"/>
              </w:rPr>
              <w:t>三公经费</w:t>
            </w:r>
            <w:r>
              <w:rPr>
                <w:rStyle w:val="10"/>
              </w:rPr>
              <w:t>”</w:t>
            </w:r>
            <w:r>
              <w:rPr>
                <w:rStyle w:val="10"/>
                <w:rFonts w:hAnsi="仿宋"/>
              </w:rPr>
              <w:t>预算安排数</w:t>
            </w:r>
            <w:r>
              <w:rPr>
                <w:rStyle w:val="10"/>
                <w:rFonts w:hint="eastAsia"/>
              </w:rPr>
              <w:t>3.0</w:t>
            </w:r>
            <w:r>
              <w:rPr>
                <w:rStyle w:val="10"/>
              </w:rPr>
              <w:t>0</w:t>
            </w:r>
            <w:r>
              <w:rPr>
                <w:rStyle w:val="10"/>
                <w:rFonts w:hAnsi="仿宋"/>
              </w:rPr>
              <w:t>万元）</w:t>
            </w:r>
            <w:r>
              <w:rPr>
                <w:rStyle w:val="10"/>
              </w:rPr>
              <w:t>×100%=</w:t>
            </w:r>
            <w:r>
              <w:rPr>
                <w:rStyle w:val="10"/>
                <w:rFonts w:hint="eastAsia"/>
              </w:rPr>
              <w:t>98.00</w:t>
            </w:r>
            <w:r>
              <w:rPr>
                <w:rStyle w:val="10"/>
              </w:rPr>
              <w:t>%</w:t>
            </w:r>
            <w:r>
              <w:rPr>
                <w:rStyle w:val="10"/>
                <w:rFonts w:hAnsi="仿宋"/>
              </w:rPr>
              <w:t>，</w:t>
            </w:r>
            <w:r>
              <w:rPr>
                <w:rStyle w:val="10"/>
              </w:rPr>
              <w:t>100%</w:t>
            </w:r>
            <w:r>
              <w:rPr>
                <w:rStyle w:val="10"/>
                <w:rFonts w:hAnsi="仿宋"/>
              </w:rPr>
              <w:t>以下计满分</w:t>
            </w:r>
            <w:r>
              <w:rPr>
                <w:rStyle w:val="10"/>
              </w:rPr>
              <w:t>7</w:t>
            </w:r>
            <w:r>
              <w:rPr>
                <w:rStyle w:val="10"/>
                <w:rFonts w:hAnsi="仿宋"/>
              </w:rPr>
              <w:t>分。本项无扣分，得</w:t>
            </w:r>
            <w:r>
              <w:rPr>
                <w:rStyle w:val="10"/>
              </w:rPr>
              <w:t>7</w:t>
            </w:r>
            <w:r>
              <w:rPr>
                <w:rStyle w:val="10"/>
                <w:rFonts w:hAnsi="仿宋"/>
              </w:rPr>
              <w:t>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7</w:t>
            </w:r>
          </w:p>
        </w:tc>
      </w:tr>
      <w:tr>
        <w:tblPrEx>
          <w:tblCellMar>
            <w:top w:w="0" w:type="dxa"/>
            <w:left w:w="0" w:type="dxa"/>
            <w:bottom w:w="0" w:type="dxa"/>
            <w:right w:w="0" w:type="dxa"/>
          </w:tblCellMar>
        </w:tblPrEx>
        <w:trPr>
          <w:trHeight w:val="168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政府采购执行率</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6</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100%</w:t>
            </w:r>
            <w:r>
              <w:rPr>
                <w:rStyle w:val="10"/>
                <w:rFonts w:hAnsi="仿宋"/>
              </w:rPr>
              <w:t>计满分，每超过（降低）</w:t>
            </w:r>
            <w:r>
              <w:rPr>
                <w:rStyle w:val="10"/>
              </w:rPr>
              <w:t>5%</w:t>
            </w:r>
            <w:r>
              <w:rPr>
                <w:rStyle w:val="10"/>
                <w:rFonts w:hAnsi="仿宋"/>
              </w:rPr>
              <w:t>扣</w:t>
            </w:r>
            <w:r>
              <w:rPr>
                <w:rStyle w:val="10"/>
              </w:rPr>
              <w:t>2</w:t>
            </w:r>
            <w:r>
              <w:rPr>
                <w:rStyle w:val="10"/>
                <w:rFonts w:hAnsi="仿宋"/>
              </w:rPr>
              <w:t>分。扣完为止。</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政府采购执行率</w:t>
            </w:r>
            <w:r>
              <w:rPr>
                <w:rStyle w:val="10"/>
              </w:rPr>
              <w:t>=</w:t>
            </w:r>
            <w:r>
              <w:rPr>
                <w:rStyle w:val="10"/>
                <w:rFonts w:hAnsi="仿宋"/>
              </w:rPr>
              <w:t>（实际政府采购金额</w:t>
            </w:r>
            <w:r>
              <w:rPr>
                <w:rStyle w:val="10"/>
              </w:rPr>
              <w:t>/</w:t>
            </w:r>
            <w:r>
              <w:rPr>
                <w:rStyle w:val="10"/>
                <w:rFonts w:hAnsi="仿宋"/>
              </w:rPr>
              <w:t>政府采购预算数）</w:t>
            </w:r>
            <w:r>
              <w:rPr>
                <w:rStyle w:val="10"/>
              </w:rPr>
              <w:t>×100%</w:t>
            </w:r>
          </w:p>
        </w:tc>
        <w:tc>
          <w:tcPr>
            <w:tcW w:w="10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（实际政府采购金额</w:t>
            </w:r>
            <w:r>
              <w:rPr>
                <w:rStyle w:val="10"/>
                <w:rFonts w:hint="eastAsia"/>
              </w:rPr>
              <w:t>171.83</w:t>
            </w:r>
            <w:r>
              <w:rPr>
                <w:rStyle w:val="10"/>
                <w:rFonts w:hAnsi="仿宋"/>
              </w:rPr>
              <w:t>万元</w:t>
            </w:r>
            <w:r>
              <w:rPr>
                <w:rStyle w:val="10"/>
              </w:rPr>
              <w:t>/</w:t>
            </w:r>
            <w:r>
              <w:rPr>
                <w:rStyle w:val="10"/>
                <w:rFonts w:hAnsi="仿宋"/>
              </w:rPr>
              <w:t>政府采购预算金额</w:t>
            </w:r>
            <w:r>
              <w:rPr>
                <w:rStyle w:val="10"/>
                <w:rFonts w:hint="eastAsia"/>
              </w:rPr>
              <w:t>125.49</w:t>
            </w:r>
            <w:r>
              <w:rPr>
                <w:rStyle w:val="10"/>
                <w:rFonts w:hAnsi="仿宋"/>
              </w:rPr>
              <w:t>万元）</w:t>
            </w:r>
            <w:r>
              <w:rPr>
                <w:rStyle w:val="10"/>
              </w:rPr>
              <w:t>×100%=</w:t>
            </w:r>
            <w:r>
              <w:rPr>
                <w:rStyle w:val="10"/>
                <w:rFonts w:hint="eastAsia"/>
              </w:rPr>
              <w:t>136.93</w:t>
            </w:r>
            <w:r>
              <w:rPr>
                <w:rStyle w:val="10"/>
              </w:rPr>
              <w:t>%</w:t>
            </w:r>
            <w:r>
              <w:rPr>
                <w:rStyle w:val="10"/>
                <w:rFonts w:hAnsi="仿宋"/>
              </w:rPr>
              <w:t>，</w:t>
            </w:r>
            <w:r>
              <w:rPr>
                <w:rStyle w:val="10"/>
              </w:rPr>
              <w:t>100%</w:t>
            </w:r>
            <w:r>
              <w:rPr>
                <w:rStyle w:val="10"/>
                <w:rFonts w:hAnsi="仿宋"/>
              </w:rPr>
              <w:t>计满分</w:t>
            </w:r>
            <w:r>
              <w:rPr>
                <w:rStyle w:val="10"/>
              </w:rPr>
              <w:t>6</w:t>
            </w:r>
            <w:r>
              <w:rPr>
                <w:rStyle w:val="10"/>
                <w:rFonts w:hAnsi="仿宋"/>
              </w:rPr>
              <w:t>分，每超过（降低）</w:t>
            </w:r>
            <w:r>
              <w:rPr>
                <w:rStyle w:val="10"/>
              </w:rPr>
              <w:t>5%</w:t>
            </w:r>
            <w:r>
              <w:rPr>
                <w:rStyle w:val="10"/>
                <w:rFonts w:hAnsi="仿宋"/>
              </w:rPr>
              <w:t>扣</w:t>
            </w:r>
            <w:r>
              <w:rPr>
                <w:rStyle w:val="10"/>
              </w:rPr>
              <w:t>2</w:t>
            </w:r>
            <w:r>
              <w:rPr>
                <w:rStyle w:val="10"/>
                <w:rFonts w:hAnsi="仿宋"/>
              </w:rPr>
              <w:t>分。</w:t>
            </w:r>
            <w:r>
              <w:rPr>
                <w:rStyle w:val="10"/>
                <w:rFonts w:hint="eastAsia" w:hAnsi="仿宋"/>
              </w:rPr>
              <w:t>经核实，该单位因机构合并，导致政府采购金额增加，酌情给予3分，</w:t>
            </w:r>
            <w:r>
              <w:rPr>
                <w:rStyle w:val="10"/>
                <w:rFonts w:hAnsi="仿宋"/>
              </w:rPr>
              <w:t>得</w:t>
            </w:r>
            <w:r>
              <w:rPr>
                <w:rStyle w:val="10"/>
                <w:rFonts w:hint="eastAsia" w:hAnsi="仿宋"/>
              </w:rPr>
              <w:t>3</w:t>
            </w:r>
            <w:r>
              <w:rPr>
                <w:rStyle w:val="10"/>
                <w:rFonts w:hAnsi="仿宋"/>
              </w:rPr>
              <w:t>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3</w:t>
            </w:r>
          </w:p>
        </w:tc>
      </w:tr>
      <w:tr>
        <w:tblPrEx>
          <w:tblCellMar>
            <w:top w:w="0" w:type="dxa"/>
            <w:left w:w="0" w:type="dxa"/>
            <w:bottom w:w="0" w:type="dxa"/>
            <w:right w:w="0" w:type="dxa"/>
          </w:tblCellMar>
        </w:tblPrEx>
        <w:trPr>
          <w:trHeight w:val="120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管理制度健全性</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8</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ascii="仿宋" w:hAnsi="仿宋"/>
                <w:color w:val="000000"/>
                <w:kern w:val="0"/>
                <w:sz w:val="18"/>
                <w:szCs w:val="18"/>
              </w:rPr>
              <w:t>①</w:t>
            </w:r>
            <w:r>
              <w:rPr>
                <w:rFonts w:hAnsi="仿宋"/>
                <w:color w:val="000000"/>
                <w:kern w:val="0"/>
                <w:sz w:val="18"/>
                <w:szCs w:val="18"/>
              </w:rPr>
              <w:t>有内部财务管理制度、会计核算制度等管理制度，</w:t>
            </w:r>
            <w:r>
              <w:rPr>
                <w:rStyle w:val="10"/>
              </w:rPr>
              <w:t>2</w:t>
            </w:r>
            <w:r>
              <w:rPr>
                <w:rStyle w:val="10"/>
                <w:rFonts w:hAnsi="仿宋"/>
              </w:rPr>
              <w:t>分；</w:t>
            </w:r>
          </w:p>
        </w:tc>
        <w:tc>
          <w:tcPr>
            <w:tcW w:w="109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103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int="eastAsia" w:hAnsi="仿宋"/>
                <w:color w:val="000000"/>
                <w:kern w:val="0"/>
                <w:sz w:val="18"/>
                <w:szCs w:val="18"/>
              </w:rPr>
              <w:t>管理制度健全性：</w:t>
            </w:r>
            <w:bookmarkStart w:id="86" w:name="_Hlk57733303"/>
            <w:r>
              <w:rPr>
                <w:rFonts w:hint="eastAsia" w:hAnsi="仿宋"/>
                <w:color w:val="000000"/>
                <w:kern w:val="0"/>
                <w:sz w:val="18"/>
                <w:szCs w:val="18"/>
              </w:rPr>
              <w:t>衡山县医疗保障局制定了有内部财务管理制度、会计核算制度等管理制度, 得2分；未单独制定厉行节约制度，扣</w:t>
            </w:r>
            <w:r>
              <w:rPr>
                <w:rFonts w:hAnsi="仿宋"/>
                <w:color w:val="000000"/>
                <w:kern w:val="0"/>
                <w:sz w:val="18"/>
                <w:szCs w:val="18"/>
              </w:rPr>
              <w:t>1</w:t>
            </w:r>
            <w:r>
              <w:rPr>
                <w:rFonts w:hint="eastAsia" w:hAnsi="仿宋"/>
                <w:color w:val="000000"/>
                <w:kern w:val="0"/>
                <w:sz w:val="18"/>
                <w:szCs w:val="18"/>
              </w:rPr>
              <w:t>分；制定的管理制度符合相关法律法规的规定，差旅费支出规定未及时更新管理制度，扣</w:t>
            </w:r>
            <w:r>
              <w:rPr>
                <w:rFonts w:hAnsi="仿宋"/>
                <w:color w:val="000000"/>
                <w:kern w:val="0"/>
                <w:sz w:val="18"/>
                <w:szCs w:val="18"/>
              </w:rPr>
              <w:t>1</w:t>
            </w:r>
            <w:r>
              <w:rPr>
                <w:rFonts w:hint="eastAsia" w:hAnsi="仿宋"/>
                <w:color w:val="000000"/>
                <w:kern w:val="0"/>
                <w:sz w:val="18"/>
                <w:szCs w:val="18"/>
              </w:rPr>
              <w:t>分；相关管理制度得到有效执行，不扣2分。本项扣2分，得6分。</w:t>
            </w:r>
            <w:bookmarkEnd w:id="86"/>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color w:val="000000"/>
                <w:sz w:val="18"/>
                <w:szCs w:val="18"/>
              </w:rPr>
            </w:pPr>
            <w:r>
              <w:rPr>
                <w:rFonts w:hint="eastAsia"/>
                <w:color w:val="000000"/>
                <w:kern w:val="0"/>
                <w:sz w:val="18"/>
                <w:szCs w:val="18"/>
              </w:rPr>
              <w:t>6</w:t>
            </w:r>
          </w:p>
        </w:tc>
      </w:tr>
      <w:tr>
        <w:tblPrEx>
          <w:tblCellMar>
            <w:top w:w="0" w:type="dxa"/>
            <w:left w:w="0" w:type="dxa"/>
            <w:bottom w:w="0" w:type="dxa"/>
            <w:right w:w="0" w:type="dxa"/>
          </w:tblCellMar>
        </w:tblPrEx>
        <w:trPr>
          <w:trHeight w:val="72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ascii="仿宋" w:hAnsi="仿宋"/>
                <w:color w:val="000000"/>
                <w:kern w:val="0"/>
                <w:sz w:val="18"/>
                <w:szCs w:val="18"/>
              </w:rPr>
              <w:t>②</w:t>
            </w:r>
            <w:r>
              <w:rPr>
                <w:rFonts w:hAnsi="仿宋"/>
                <w:color w:val="000000"/>
                <w:kern w:val="0"/>
                <w:sz w:val="18"/>
                <w:szCs w:val="18"/>
              </w:rPr>
              <w:t>有本部门厉行节约制度</w:t>
            </w:r>
            <w:r>
              <w:rPr>
                <w:rStyle w:val="10"/>
              </w:rPr>
              <w:t>,2</w:t>
            </w:r>
            <w:r>
              <w:rPr>
                <w:rStyle w:val="10"/>
                <w:rFonts w:hAnsi="仿宋"/>
              </w:rPr>
              <w:t>分；</w:t>
            </w:r>
          </w:p>
        </w:tc>
        <w:tc>
          <w:tcPr>
            <w:tcW w:w="10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10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color w:val="000000"/>
                <w:sz w:val="18"/>
                <w:szCs w:val="18"/>
              </w:rPr>
            </w:pPr>
          </w:p>
        </w:tc>
      </w:tr>
      <w:tr>
        <w:tblPrEx>
          <w:tblCellMar>
            <w:top w:w="0" w:type="dxa"/>
            <w:left w:w="0" w:type="dxa"/>
            <w:bottom w:w="0" w:type="dxa"/>
            <w:right w:w="0" w:type="dxa"/>
          </w:tblCellMar>
        </w:tblPrEx>
        <w:trPr>
          <w:trHeight w:val="144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ascii="仿宋" w:hAnsi="仿宋"/>
                <w:color w:val="000000"/>
                <w:kern w:val="0"/>
                <w:sz w:val="18"/>
                <w:szCs w:val="18"/>
              </w:rPr>
              <w:t>③</w:t>
            </w:r>
            <w:r>
              <w:rPr>
                <w:rFonts w:hAnsi="仿宋"/>
                <w:color w:val="000000"/>
                <w:kern w:val="0"/>
                <w:sz w:val="18"/>
                <w:szCs w:val="18"/>
              </w:rPr>
              <w:t>相关管理制度合法、合规、完整，</w:t>
            </w:r>
            <w:r>
              <w:rPr>
                <w:rStyle w:val="10"/>
              </w:rPr>
              <w:t>2</w:t>
            </w:r>
            <w:r>
              <w:rPr>
                <w:rStyle w:val="10"/>
                <w:rFonts w:hAnsi="仿宋"/>
              </w:rPr>
              <w:t>分；</w:t>
            </w:r>
            <w:r>
              <w:rPr>
                <w:rStyle w:val="10"/>
                <w:rFonts w:ascii="仿宋" w:hAnsi="仿宋"/>
              </w:rPr>
              <w:t>④</w:t>
            </w:r>
            <w:r>
              <w:rPr>
                <w:rStyle w:val="10"/>
                <w:rFonts w:hAnsi="仿宋"/>
              </w:rPr>
              <w:t>相关管理制度得到有效执行，</w:t>
            </w:r>
            <w:r>
              <w:rPr>
                <w:rStyle w:val="10"/>
              </w:rPr>
              <w:t>2</w:t>
            </w:r>
            <w:r>
              <w:rPr>
                <w:rStyle w:val="10"/>
                <w:rFonts w:hAnsi="仿宋"/>
              </w:rPr>
              <w:t>分。</w:t>
            </w:r>
          </w:p>
        </w:tc>
        <w:tc>
          <w:tcPr>
            <w:tcW w:w="10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10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color w:val="000000"/>
                <w:sz w:val="18"/>
                <w:szCs w:val="18"/>
              </w:rPr>
            </w:pPr>
          </w:p>
        </w:tc>
      </w:tr>
      <w:tr>
        <w:tblPrEx>
          <w:tblCellMar>
            <w:top w:w="0" w:type="dxa"/>
            <w:left w:w="0" w:type="dxa"/>
            <w:bottom w:w="0" w:type="dxa"/>
            <w:right w:w="0" w:type="dxa"/>
          </w:tblCellMar>
        </w:tblPrEx>
        <w:trPr>
          <w:trHeight w:val="4585"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资金使用合规性</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6</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ascii="仿宋" w:hAnsi="仿宋"/>
                <w:color w:val="000000"/>
                <w:kern w:val="0"/>
                <w:sz w:val="18"/>
                <w:szCs w:val="18"/>
              </w:rPr>
              <w:t>①</w:t>
            </w:r>
            <w:r>
              <w:rPr>
                <w:rFonts w:hAnsi="仿宋"/>
                <w:color w:val="000000"/>
                <w:kern w:val="0"/>
                <w:sz w:val="18"/>
                <w:szCs w:val="18"/>
              </w:rPr>
              <w:t>支出符合国家财经法规和财务管理制度规定以及有关专项资金管理办法的规定；</w:t>
            </w:r>
            <w:r>
              <w:rPr>
                <w:rFonts w:ascii="仿宋" w:hAnsi="仿宋"/>
                <w:color w:val="000000"/>
                <w:kern w:val="0"/>
                <w:sz w:val="18"/>
                <w:szCs w:val="18"/>
              </w:rPr>
              <w:t>②</w:t>
            </w:r>
            <w:r>
              <w:rPr>
                <w:rFonts w:hAnsi="仿宋"/>
                <w:color w:val="000000"/>
                <w:kern w:val="0"/>
                <w:sz w:val="18"/>
                <w:szCs w:val="18"/>
              </w:rPr>
              <w:t>资金拨付有完整的审批程序和手续；</w:t>
            </w:r>
            <w:r>
              <w:rPr>
                <w:rFonts w:ascii="仿宋" w:hAnsi="仿宋"/>
                <w:color w:val="000000"/>
                <w:kern w:val="0"/>
                <w:sz w:val="18"/>
                <w:szCs w:val="18"/>
              </w:rPr>
              <w:t>③</w:t>
            </w:r>
            <w:r>
              <w:rPr>
                <w:rFonts w:hAnsi="仿宋"/>
                <w:color w:val="000000"/>
                <w:kern w:val="0"/>
                <w:sz w:val="18"/>
                <w:szCs w:val="18"/>
              </w:rPr>
              <w:t>项目支出按规定经过评估论证；</w:t>
            </w:r>
            <w:r>
              <w:rPr>
                <w:rFonts w:ascii="仿宋" w:hAnsi="仿宋"/>
                <w:color w:val="000000"/>
                <w:kern w:val="0"/>
                <w:sz w:val="18"/>
                <w:szCs w:val="18"/>
              </w:rPr>
              <w:t>④</w:t>
            </w:r>
            <w:r>
              <w:rPr>
                <w:rFonts w:hAnsi="仿宋"/>
                <w:color w:val="000000"/>
                <w:kern w:val="0"/>
                <w:sz w:val="18"/>
                <w:szCs w:val="18"/>
              </w:rPr>
              <w:t>支出符合部门预算批复的用途；</w:t>
            </w:r>
            <w:r>
              <w:rPr>
                <w:rFonts w:ascii="仿宋" w:hAnsi="仿宋"/>
                <w:color w:val="000000"/>
                <w:kern w:val="0"/>
                <w:sz w:val="18"/>
                <w:szCs w:val="18"/>
              </w:rPr>
              <w:t>⑤</w:t>
            </w:r>
            <w:r>
              <w:rPr>
                <w:rFonts w:hAnsi="仿宋"/>
                <w:color w:val="000000"/>
                <w:kern w:val="0"/>
                <w:sz w:val="18"/>
                <w:szCs w:val="18"/>
              </w:rPr>
              <w:t>资金使用无截留、挤占、挪用、虚列支出等情况。以上情况每出现一例不符合要求的扣</w:t>
            </w:r>
            <w:r>
              <w:rPr>
                <w:rStyle w:val="10"/>
              </w:rPr>
              <w:t>1</w:t>
            </w:r>
            <w:r>
              <w:rPr>
                <w:rStyle w:val="10"/>
                <w:rFonts w:hAnsi="仿宋"/>
              </w:rPr>
              <w:t>分，扣完为止。</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int="eastAsia" w:hAnsi="仿宋"/>
                <w:color w:val="000000"/>
                <w:kern w:val="0"/>
                <w:sz w:val="18"/>
                <w:szCs w:val="18"/>
              </w:rPr>
              <w:t>资金使用合规性：</w:t>
            </w:r>
            <w:bookmarkStart w:id="87" w:name="_Hlk57733450"/>
            <w:r>
              <w:rPr>
                <w:rFonts w:hint="eastAsia" w:hAnsi="仿宋"/>
                <w:color w:val="000000"/>
                <w:kern w:val="0"/>
                <w:sz w:val="18"/>
                <w:szCs w:val="18"/>
              </w:rPr>
              <w:t>支出符合国家财经法规和财务管理制度规定以及有关专项资金管理办法的规定；资金拨付有完整的审批程序和手续；项目支出按规定经过评估论证；支出符合部门预算批复的用途；资金使用无截留、挤占、挪用、虚列支出等情况。得6分。</w:t>
            </w:r>
            <w:bookmarkEnd w:id="87"/>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color w:val="000000"/>
                <w:sz w:val="18"/>
                <w:szCs w:val="18"/>
              </w:rPr>
            </w:pPr>
            <w:r>
              <w:rPr>
                <w:rFonts w:hint="eastAsia"/>
                <w:color w:val="000000"/>
                <w:sz w:val="18"/>
                <w:szCs w:val="18"/>
              </w:rPr>
              <w:t>6</w:t>
            </w:r>
          </w:p>
        </w:tc>
      </w:tr>
      <w:tr>
        <w:tblPrEx>
          <w:tblCellMar>
            <w:top w:w="0" w:type="dxa"/>
            <w:left w:w="0" w:type="dxa"/>
            <w:bottom w:w="0" w:type="dxa"/>
            <w:right w:w="0" w:type="dxa"/>
          </w:tblCellMar>
        </w:tblPrEx>
        <w:trPr>
          <w:trHeight w:val="3247"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预决算信息公开性</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ascii="仿宋" w:hAnsi="仿宋"/>
                <w:color w:val="000000"/>
                <w:kern w:val="0"/>
                <w:sz w:val="18"/>
                <w:szCs w:val="18"/>
              </w:rPr>
              <w:t>①</w:t>
            </w:r>
            <w:r>
              <w:rPr>
                <w:rFonts w:hAnsi="仿宋"/>
                <w:color w:val="000000"/>
                <w:kern w:val="0"/>
                <w:sz w:val="18"/>
                <w:szCs w:val="18"/>
              </w:rPr>
              <w:t>按规定内容公开预决算信息，</w:t>
            </w:r>
            <w:r>
              <w:rPr>
                <w:rStyle w:val="10"/>
              </w:rPr>
              <w:t>1</w:t>
            </w:r>
            <w:r>
              <w:rPr>
                <w:rStyle w:val="10"/>
                <w:rFonts w:hAnsi="仿宋"/>
              </w:rPr>
              <w:t>分；</w:t>
            </w:r>
            <w:r>
              <w:rPr>
                <w:rStyle w:val="10"/>
                <w:rFonts w:ascii="仿宋" w:hAnsi="仿宋"/>
              </w:rPr>
              <w:t>②</w:t>
            </w:r>
            <w:r>
              <w:rPr>
                <w:rStyle w:val="10"/>
                <w:rFonts w:hAnsi="仿宋"/>
              </w:rPr>
              <w:t>按规定时限公开预决算信息，</w:t>
            </w:r>
            <w:r>
              <w:rPr>
                <w:rStyle w:val="10"/>
              </w:rPr>
              <w:t>1</w:t>
            </w:r>
            <w:r>
              <w:rPr>
                <w:rStyle w:val="10"/>
                <w:rFonts w:hAnsi="仿宋"/>
              </w:rPr>
              <w:t>分；</w:t>
            </w:r>
            <w:r>
              <w:rPr>
                <w:rStyle w:val="10"/>
                <w:rFonts w:ascii="仿宋" w:hAnsi="仿宋"/>
              </w:rPr>
              <w:t>③</w:t>
            </w:r>
            <w:r>
              <w:rPr>
                <w:rStyle w:val="10"/>
                <w:rFonts w:hAnsi="仿宋"/>
              </w:rPr>
              <w:t>基础数据信息和会计信息资料真实，</w:t>
            </w:r>
            <w:r>
              <w:rPr>
                <w:rStyle w:val="10"/>
              </w:rPr>
              <w:t>1</w:t>
            </w:r>
            <w:r>
              <w:rPr>
                <w:rStyle w:val="10"/>
                <w:rFonts w:hAnsi="仿宋"/>
              </w:rPr>
              <w:t>分；</w:t>
            </w:r>
            <w:r>
              <w:rPr>
                <w:rStyle w:val="10"/>
                <w:rFonts w:ascii="仿宋" w:hAnsi="仿宋"/>
              </w:rPr>
              <w:t>④</w:t>
            </w:r>
            <w:r>
              <w:rPr>
                <w:rStyle w:val="10"/>
                <w:rFonts w:hAnsi="仿宋"/>
              </w:rPr>
              <w:t>基础数据信息和会计信息资料完整，</w:t>
            </w:r>
            <w:r>
              <w:rPr>
                <w:rStyle w:val="10"/>
              </w:rPr>
              <w:t>1</w:t>
            </w:r>
            <w:r>
              <w:rPr>
                <w:rStyle w:val="10"/>
                <w:rFonts w:hAnsi="仿宋"/>
              </w:rPr>
              <w:t>分；</w:t>
            </w:r>
            <w:r>
              <w:rPr>
                <w:rStyle w:val="10"/>
                <w:rFonts w:ascii="仿宋" w:hAnsi="仿宋"/>
              </w:rPr>
              <w:t>⑤</w:t>
            </w:r>
            <w:r>
              <w:rPr>
                <w:rStyle w:val="10"/>
                <w:rFonts w:hAnsi="仿宋"/>
              </w:rPr>
              <w:t>基础数据信息和汇集信息资料准确，</w:t>
            </w:r>
            <w:r>
              <w:rPr>
                <w:rStyle w:val="10"/>
              </w:rPr>
              <w:t>1</w:t>
            </w:r>
            <w:r>
              <w:rPr>
                <w:rStyle w:val="10"/>
                <w:rFonts w:hAnsi="仿宋"/>
              </w:rPr>
              <w:t>分。</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预决算信息是指与部门预算、执行、决算、监督、绩效等管理相关的信息。</w:t>
            </w:r>
          </w:p>
        </w:tc>
        <w:tc>
          <w:tcPr>
            <w:tcW w:w="10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2019年</w:t>
            </w:r>
            <w:r>
              <w:rPr>
                <w:rStyle w:val="10"/>
                <w:rFonts w:hAnsi="仿宋"/>
              </w:rPr>
              <w:t>预算、决算已按时公布在单位门户网站上，资料真实、完整、准确，得</w:t>
            </w:r>
            <w:r>
              <w:rPr>
                <w:rStyle w:val="10"/>
              </w:rPr>
              <w:t>5</w:t>
            </w:r>
            <w:r>
              <w:rPr>
                <w:rStyle w:val="10"/>
                <w:rFonts w:hAnsi="仿宋"/>
              </w:rPr>
              <w:t>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r>
      <w:tr>
        <w:tblPrEx>
          <w:tblCellMar>
            <w:top w:w="0" w:type="dxa"/>
            <w:left w:w="0" w:type="dxa"/>
            <w:bottom w:w="0" w:type="dxa"/>
            <w:right w:w="0" w:type="dxa"/>
          </w:tblCellMar>
        </w:tblPrEx>
        <w:trPr>
          <w:trHeight w:val="2640" w:hRule="atLeast"/>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产出及效率</w:t>
            </w:r>
            <w:r>
              <w:rPr>
                <w:rStyle w:val="10"/>
              </w:rPr>
              <w:t>30</w:t>
            </w:r>
            <w:r>
              <w:rPr>
                <w:rStyle w:val="10"/>
                <w:rFonts w:hAnsi="仿宋"/>
              </w:rPr>
              <w:t>分</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职责履行</w:t>
            </w:r>
            <w:r>
              <w:rPr>
                <w:rStyle w:val="10"/>
              </w:rPr>
              <w:t>8</w:t>
            </w:r>
            <w:r>
              <w:rPr>
                <w:rStyle w:val="10"/>
                <w:rFonts w:hAnsi="仿宋"/>
              </w:rPr>
              <w:t>分</w:t>
            </w: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重点工作实际完成率</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8</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根据</w:t>
            </w:r>
            <w:r>
              <w:rPr>
                <w:rFonts w:hint="eastAsia" w:hAnsi="仿宋"/>
                <w:color w:val="000000"/>
                <w:kern w:val="0"/>
                <w:sz w:val="18"/>
                <w:szCs w:val="18"/>
              </w:rPr>
              <w:t>县</w:t>
            </w:r>
            <w:r>
              <w:rPr>
                <w:rFonts w:hAnsi="仿宋"/>
                <w:color w:val="000000"/>
                <w:kern w:val="0"/>
                <w:sz w:val="18"/>
                <w:szCs w:val="18"/>
              </w:rPr>
              <w:t>绩效办</w:t>
            </w:r>
            <w:r>
              <w:rPr>
                <w:rStyle w:val="10"/>
              </w:rPr>
              <w:t>2019</w:t>
            </w:r>
            <w:r>
              <w:rPr>
                <w:rStyle w:val="10"/>
                <w:rFonts w:hAnsi="仿宋"/>
              </w:rPr>
              <w:t>年对各部门为民办实事和部门重点工程与重点工作考核分数折算。该项得分</w:t>
            </w:r>
            <w:r>
              <w:rPr>
                <w:rStyle w:val="10"/>
              </w:rPr>
              <w:t>=</w:t>
            </w:r>
            <w:r>
              <w:rPr>
                <w:rStyle w:val="10"/>
                <w:rFonts w:hAnsi="仿宋"/>
              </w:rPr>
              <w:t>（绩效办对应部分考核得分</w:t>
            </w:r>
            <w:r>
              <w:rPr>
                <w:rStyle w:val="10"/>
              </w:rPr>
              <w:t>/</w:t>
            </w:r>
            <w:r>
              <w:rPr>
                <w:rStyle w:val="10"/>
                <w:rFonts w:hAnsi="仿宋"/>
              </w:rPr>
              <w:t>该部分总分）</w:t>
            </w:r>
            <w:r>
              <w:rPr>
                <w:rStyle w:val="10"/>
              </w:rPr>
              <w:t>×8</w:t>
            </w:r>
            <w:r>
              <w:rPr>
                <w:rStyle w:val="10"/>
                <w:rFonts w:hAnsi="仿宋"/>
              </w:rPr>
              <w:t>。</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衡山县医疗保障局</w:t>
            </w:r>
            <w:r>
              <w:rPr>
                <w:rStyle w:val="10"/>
              </w:rPr>
              <w:t>2019年</w:t>
            </w:r>
            <w:r>
              <w:rPr>
                <w:rStyle w:val="10"/>
                <w:rFonts w:hAnsi="仿宋"/>
              </w:rPr>
              <w:t>部门重点工作均已完成，本项无扣分，得</w:t>
            </w:r>
            <w:r>
              <w:rPr>
                <w:rStyle w:val="10"/>
              </w:rPr>
              <w:t>8</w:t>
            </w:r>
            <w:r>
              <w:rPr>
                <w:rStyle w:val="10"/>
                <w:rFonts w:hAnsi="仿宋"/>
              </w:rPr>
              <w:t>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8</w:t>
            </w:r>
          </w:p>
        </w:tc>
      </w:tr>
      <w:tr>
        <w:tblPrEx>
          <w:tblCellMar>
            <w:top w:w="0" w:type="dxa"/>
            <w:left w:w="0" w:type="dxa"/>
            <w:bottom w:w="0" w:type="dxa"/>
            <w:right w:w="0" w:type="dxa"/>
          </w:tblCellMar>
        </w:tblPrEx>
        <w:trPr>
          <w:trHeight w:val="288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履职效益</w:t>
            </w:r>
            <w:r>
              <w:rPr>
                <w:rStyle w:val="10"/>
              </w:rPr>
              <w:t>22</w:t>
            </w:r>
            <w:r>
              <w:rPr>
                <w:rStyle w:val="10"/>
                <w:rFonts w:hAnsi="仿宋"/>
              </w:rPr>
              <w:t>分</w:t>
            </w: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经济效益</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效益比较明显计满分；效益一般计</w:t>
            </w:r>
            <w:r>
              <w:rPr>
                <w:rStyle w:val="10"/>
              </w:rPr>
              <w:t>3</w:t>
            </w:r>
            <w:r>
              <w:rPr>
                <w:rStyle w:val="10"/>
                <w:rFonts w:hAnsi="仿宋"/>
              </w:rPr>
              <w:t>分；无效益或者效益不明显计</w:t>
            </w:r>
            <w:r>
              <w:rPr>
                <w:rStyle w:val="10"/>
              </w:rPr>
              <w:t>0</w:t>
            </w:r>
            <w:r>
              <w:rPr>
                <w:rStyle w:val="10"/>
                <w:rFonts w:hAnsi="仿宋"/>
              </w:rPr>
              <w:t>分</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int="eastAsia" w:hAnsi="仿宋"/>
                <w:color w:val="000000"/>
                <w:kern w:val="0"/>
                <w:sz w:val="18"/>
                <w:szCs w:val="18"/>
              </w:rPr>
              <w:t>衡山县医疗保障局2019年度城乡居民医保参保率99.89%，高于省市参保率95%的指标；筹集医保基金2.49亿余元；2019年度医保基金运行总体平稳，基金风险在可控范围以内。经济效益可观，此项计5分。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r>
      <w:tr>
        <w:tblPrEx>
          <w:tblCellMar>
            <w:top w:w="0" w:type="dxa"/>
            <w:left w:w="0" w:type="dxa"/>
            <w:bottom w:w="0" w:type="dxa"/>
            <w:right w:w="0" w:type="dxa"/>
          </w:tblCellMar>
        </w:tblPrEx>
        <w:trPr>
          <w:trHeight w:val="144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社会效益</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效益比较明显计满分；效益一般计</w:t>
            </w:r>
            <w:r>
              <w:rPr>
                <w:rStyle w:val="10"/>
              </w:rPr>
              <w:t>3</w:t>
            </w:r>
            <w:r>
              <w:rPr>
                <w:rStyle w:val="10"/>
                <w:rFonts w:hAnsi="仿宋"/>
              </w:rPr>
              <w:t>分；无效益或者效益不明显计</w:t>
            </w:r>
            <w:r>
              <w:rPr>
                <w:rStyle w:val="10"/>
              </w:rPr>
              <w:t>0</w:t>
            </w:r>
            <w:r>
              <w:rPr>
                <w:rStyle w:val="10"/>
                <w:rFonts w:hAnsi="仿宋"/>
              </w:rPr>
              <w:t>分</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int="eastAsia" w:hAnsi="仿宋"/>
                <w:color w:val="000000"/>
                <w:kern w:val="0"/>
                <w:sz w:val="18"/>
                <w:szCs w:val="18"/>
              </w:rPr>
              <w:t>衡山县医疗保障局医保扶贫工作的大力开展，使建档立卡贫困户基金征缴和缴费补贴到位率100%，异地就医有效缓解了群众“看病难、报销烦的现象”，社会效益显著，此项计5分。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r>
      <w:tr>
        <w:tblPrEx>
          <w:tblCellMar>
            <w:top w:w="0" w:type="dxa"/>
            <w:left w:w="0" w:type="dxa"/>
            <w:bottom w:w="0" w:type="dxa"/>
            <w:right w:w="0" w:type="dxa"/>
          </w:tblCellMar>
        </w:tblPrEx>
        <w:trPr>
          <w:trHeight w:val="2154"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行政效能</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int="eastAsia"/>
                <w:color w:val="000000"/>
                <w:kern w:val="0"/>
                <w:sz w:val="18"/>
                <w:szCs w:val="18"/>
              </w:rPr>
              <w:t>6</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促进部门改进文风会风，加强经费及资产管理，推动网上办事，提高行政效率，降低行政成本效果较好的计</w:t>
            </w:r>
            <w:r>
              <w:rPr>
                <w:rStyle w:val="10"/>
              </w:rPr>
              <w:t>6</w:t>
            </w:r>
            <w:r>
              <w:rPr>
                <w:rStyle w:val="10"/>
                <w:rFonts w:hAnsi="仿宋"/>
              </w:rPr>
              <w:t>分；一般</w:t>
            </w:r>
            <w:r>
              <w:rPr>
                <w:rStyle w:val="10"/>
              </w:rPr>
              <w:t>3</w:t>
            </w:r>
            <w:r>
              <w:rPr>
                <w:rStyle w:val="10"/>
                <w:rFonts w:hAnsi="仿宋"/>
              </w:rPr>
              <w:t>分；无效果或者效果不明显</w:t>
            </w:r>
            <w:r>
              <w:rPr>
                <w:rStyle w:val="10"/>
              </w:rPr>
              <w:t>0</w:t>
            </w:r>
            <w:r>
              <w:rPr>
                <w:rStyle w:val="10"/>
                <w:rFonts w:hAnsi="仿宋"/>
              </w:rPr>
              <w:t>分。</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根据部门自评材料评定。</w:t>
            </w:r>
          </w:p>
        </w:tc>
        <w:tc>
          <w:tcPr>
            <w:tcW w:w="10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Ansi="仿宋"/>
                <w:color w:val="000000"/>
                <w:kern w:val="0"/>
                <w:sz w:val="18"/>
                <w:szCs w:val="18"/>
              </w:rPr>
            </w:pPr>
            <w:r>
              <w:rPr>
                <w:rFonts w:hint="eastAsia" w:hAnsi="仿宋"/>
                <w:color w:val="000000"/>
                <w:kern w:val="0"/>
                <w:sz w:val="18"/>
                <w:szCs w:val="18"/>
              </w:rPr>
              <w:t>促进部门改进文风会风，加强经费及资产管理，提高行政效率，降低行政成本效果较好，该单位本项指标得分6分。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rFonts w:hAnsi="仿宋"/>
                <w:color w:val="000000"/>
                <w:kern w:val="0"/>
                <w:sz w:val="18"/>
                <w:szCs w:val="18"/>
              </w:rPr>
            </w:pPr>
            <w:r>
              <w:rPr>
                <w:rFonts w:hint="eastAsia" w:hAnsi="仿宋"/>
                <w:color w:val="000000"/>
                <w:kern w:val="0"/>
                <w:sz w:val="18"/>
                <w:szCs w:val="18"/>
              </w:rPr>
              <w:t>6</w:t>
            </w:r>
          </w:p>
        </w:tc>
      </w:tr>
      <w:tr>
        <w:tblPrEx>
          <w:tblCellMar>
            <w:top w:w="0" w:type="dxa"/>
            <w:left w:w="0" w:type="dxa"/>
            <w:bottom w:w="0" w:type="dxa"/>
            <w:right w:w="0" w:type="dxa"/>
          </w:tblCellMar>
        </w:tblPrEx>
        <w:trPr>
          <w:trHeight w:val="192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Ansi="仿宋"/>
                <w:color w:val="000000"/>
                <w:kern w:val="0"/>
                <w:sz w:val="18"/>
                <w:szCs w:val="18"/>
              </w:rPr>
            </w:pPr>
            <w:r>
              <w:rPr>
                <w:rFonts w:hint="eastAsia" w:hAnsi="仿宋"/>
                <w:color w:val="000000"/>
                <w:kern w:val="0"/>
                <w:sz w:val="18"/>
                <w:szCs w:val="18"/>
              </w:rPr>
              <w:t>社会公众或服务对象满意度</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Ansi="仿宋"/>
                <w:color w:val="000000"/>
                <w:kern w:val="0"/>
                <w:sz w:val="18"/>
                <w:szCs w:val="18"/>
              </w:rPr>
            </w:pPr>
            <w:r>
              <w:rPr>
                <w:rFonts w:hint="eastAsia" w:hAnsi="仿宋"/>
                <w:color w:val="000000"/>
                <w:kern w:val="0"/>
                <w:sz w:val="18"/>
                <w:szCs w:val="18"/>
              </w:rPr>
              <w:t>6</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Ansi="仿宋"/>
                <w:color w:val="000000"/>
                <w:kern w:val="0"/>
                <w:sz w:val="18"/>
                <w:szCs w:val="18"/>
              </w:rPr>
            </w:pPr>
            <w:r>
              <w:rPr>
                <w:rFonts w:hint="eastAsia" w:hAnsi="仿宋"/>
                <w:color w:val="000000"/>
                <w:kern w:val="0"/>
                <w:sz w:val="18"/>
                <w:szCs w:val="18"/>
              </w:rPr>
              <w:t>90%（含）以上计6分；80%（含）-90%，计4分；70%（含）-80%，计2分；低于70%计0分。</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rFonts w:hAnsi="仿宋"/>
                <w:color w:val="000000"/>
                <w:kern w:val="0"/>
                <w:sz w:val="18"/>
                <w:szCs w:val="18"/>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Ansi="仿宋"/>
                <w:color w:val="000000"/>
                <w:kern w:val="0"/>
                <w:sz w:val="18"/>
                <w:szCs w:val="18"/>
              </w:rPr>
            </w:pPr>
            <w:r>
              <w:rPr>
                <w:rFonts w:hint="eastAsia" w:hAnsi="仿宋"/>
                <w:color w:val="000000"/>
                <w:kern w:val="0"/>
                <w:sz w:val="18"/>
                <w:szCs w:val="18"/>
              </w:rPr>
              <w:t>通过向社会公众发放问卷调查，经统计对本单位的履职效果、厉行节约、信息公开等情况满意度，社会群众对该单位工作开展情况、社会效益等关注程度高、满意度较好，根据评分标准，该单位本项指标得分6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rFonts w:hAnsi="仿宋"/>
                <w:color w:val="000000"/>
                <w:kern w:val="0"/>
                <w:sz w:val="18"/>
                <w:szCs w:val="18"/>
              </w:rPr>
            </w:pPr>
            <w:r>
              <w:rPr>
                <w:rFonts w:hint="eastAsia" w:hAnsi="仿宋"/>
                <w:color w:val="000000"/>
                <w:kern w:val="0"/>
                <w:sz w:val="18"/>
                <w:szCs w:val="18"/>
              </w:rPr>
              <w:t>6</w:t>
            </w:r>
          </w:p>
        </w:tc>
      </w:tr>
      <w:tr>
        <w:tblPrEx>
          <w:tblCellMar>
            <w:top w:w="0" w:type="dxa"/>
            <w:left w:w="0" w:type="dxa"/>
            <w:bottom w:w="0" w:type="dxa"/>
            <w:right w:w="0" w:type="dxa"/>
          </w:tblCellMar>
        </w:tblPrEx>
        <w:trPr>
          <w:trHeight w:val="344" w:hRule="atLeast"/>
        </w:trPr>
        <w:tc>
          <w:tcPr>
            <w:tcW w:w="4672"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合</w:t>
            </w:r>
            <w:r>
              <w:rPr>
                <w:rStyle w:val="10"/>
                <w:rFonts w:hAnsi="仿宋"/>
              </w:rPr>
              <w:t>计</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color w:val="000000"/>
                <w:sz w:val="18"/>
                <w:szCs w:val="18"/>
              </w:rPr>
            </w:pPr>
            <w:r>
              <w:rPr>
                <w:rFonts w:hint="eastAsia"/>
                <w:color w:val="000000"/>
                <w:kern w:val="0"/>
                <w:sz w:val="18"/>
                <w:szCs w:val="18"/>
              </w:rPr>
              <w:t>7</w:t>
            </w:r>
            <w:r>
              <w:rPr>
                <w:color w:val="000000"/>
                <w:kern w:val="0"/>
                <w:sz w:val="18"/>
                <w:szCs w:val="18"/>
              </w:rPr>
              <w:t>5</w:t>
            </w:r>
          </w:p>
        </w:tc>
      </w:tr>
    </w:tbl>
    <w:p>
      <w:pPr>
        <w:ind w:firstLine="640"/>
        <w:jc w:val="center"/>
        <w:rPr>
          <w:rFonts w:ascii="黑体" w:hAnsi="黑体" w:eastAsia="黑体"/>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fldChar w:fldCharType="begin"/>
    </w:r>
    <w:r>
      <w:instrText xml:space="preserve">PAGE   \* MERGEFORMAT</w:instrText>
    </w:r>
    <w:r>
      <w:fldChar w:fldCharType="separate"/>
    </w:r>
    <w:r>
      <w:rPr>
        <w:rFonts w:ascii="Times New Roman" w:hAnsi="Times New Roman"/>
        <w:lang w:val="zh-CN"/>
      </w:rPr>
      <w:t>2</w:t>
    </w:r>
    <w:r>
      <w:rPr>
        <w:lang w:val="zh-CN"/>
      </w:rPr>
      <w:fldChar w:fldCharType="end"/>
    </w:r>
  </w:p>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fldChar w:fldCharType="begin"/>
    </w:r>
    <w:r>
      <w:instrText xml:space="preserve">PAGE   \* MERGEFORMAT</w:instrText>
    </w:r>
    <w:r>
      <w:fldChar w:fldCharType="separate"/>
    </w:r>
    <w:r>
      <w:rPr>
        <w:rFonts w:ascii="Times New Roman" w:hAnsi="Times New Roman"/>
        <w:lang w:val="zh-CN"/>
      </w:rPr>
      <w:t>1</w:t>
    </w:r>
    <w:r>
      <w:rPr>
        <w:lang w:val="zh-CN"/>
      </w:rPr>
      <w:fldChar w:fldCharType="end"/>
    </w:r>
  </w:p>
  <w:p>
    <w:pPr>
      <w:pStyle w:val="5"/>
      <w:ind w:right="360" w:firstLine="560"/>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rPr>
        <w:rFonts w:hint="eastAsia"/>
      </w:rPr>
      <w:t>第</w:t>
    </w:r>
    <w:r>
      <w:fldChar w:fldCharType="begin"/>
    </w:r>
    <w:r>
      <w:instrText xml:space="preserve">PAGE   \* MERGEFORMAT</w:instrText>
    </w:r>
    <w:r>
      <w:fldChar w:fldCharType="separate"/>
    </w:r>
    <w:r>
      <w:rPr>
        <w:rFonts w:ascii="Times New Roman" w:hAnsi="Times New Roman"/>
        <w:lang w:val="zh-CN"/>
      </w:rPr>
      <w:t>14</w:t>
    </w:r>
    <w:r>
      <w:rPr>
        <w:lang w:val="zh-CN"/>
      </w:rPr>
      <w:fldChar w:fldCharType="end"/>
    </w:r>
    <w:r>
      <w:rPr>
        <w:lang w:val="zh-CN"/>
      </w:rPr>
      <w:t>页</w:t>
    </w:r>
    <w:r>
      <w:rPr>
        <w:rFonts w:hint="eastAsia"/>
        <w:lang w:val="zh-CN"/>
      </w:rPr>
      <w:t>，</w:t>
    </w:r>
    <w:r>
      <w:t>共</w:t>
    </w:r>
    <w:r>
      <w:rPr>
        <w:rFonts w:hint="eastAsia" w:ascii="Times New Roman" w:hAnsi="Times New Roman"/>
      </w:rPr>
      <w:t>1</w:t>
    </w:r>
    <w:r>
      <w:rPr>
        <w:rFonts w:ascii="Times New Roman" w:hAnsi="Times New Roman"/>
      </w:rPr>
      <w:t>9</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A1ACC"/>
    <w:multiLevelType w:val="multilevel"/>
    <w:tmpl w:val="50CA1ACC"/>
    <w:lvl w:ilvl="0" w:tentative="0">
      <w:start w:val="1"/>
      <w:numFmt w:val="japaneseCounting"/>
      <w:lvlText w:val="（%1）"/>
      <w:lvlJc w:val="left"/>
      <w:pPr>
        <w:ind w:left="1676" w:hanging="1080"/>
      </w:pPr>
      <w:rPr>
        <w:rFonts w:hint="default"/>
      </w:rPr>
    </w:lvl>
    <w:lvl w:ilvl="1" w:tentative="0">
      <w:start w:val="1"/>
      <w:numFmt w:val="lowerLetter"/>
      <w:lvlText w:val="%2)"/>
      <w:lvlJc w:val="left"/>
      <w:pPr>
        <w:ind w:left="1436" w:hanging="420"/>
      </w:pPr>
    </w:lvl>
    <w:lvl w:ilvl="2" w:tentative="0">
      <w:start w:val="1"/>
      <w:numFmt w:val="lowerRoman"/>
      <w:lvlText w:val="%3."/>
      <w:lvlJc w:val="right"/>
      <w:pPr>
        <w:ind w:left="1856" w:hanging="420"/>
      </w:pPr>
    </w:lvl>
    <w:lvl w:ilvl="3" w:tentative="0">
      <w:start w:val="1"/>
      <w:numFmt w:val="decimal"/>
      <w:lvlText w:val="%4."/>
      <w:lvlJc w:val="left"/>
      <w:pPr>
        <w:ind w:left="2276" w:hanging="420"/>
      </w:pPr>
    </w:lvl>
    <w:lvl w:ilvl="4" w:tentative="0">
      <w:start w:val="1"/>
      <w:numFmt w:val="lowerLetter"/>
      <w:lvlText w:val="%5)"/>
      <w:lvlJc w:val="left"/>
      <w:pPr>
        <w:ind w:left="2696" w:hanging="420"/>
      </w:pPr>
    </w:lvl>
    <w:lvl w:ilvl="5" w:tentative="0">
      <w:start w:val="1"/>
      <w:numFmt w:val="lowerRoman"/>
      <w:lvlText w:val="%6."/>
      <w:lvlJc w:val="right"/>
      <w:pPr>
        <w:ind w:left="3116" w:hanging="420"/>
      </w:pPr>
    </w:lvl>
    <w:lvl w:ilvl="6" w:tentative="0">
      <w:start w:val="1"/>
      <w:numFmt w:val="decimal"/>
      <w:lvlText w:val="%7."/>
      <w:lvlJc w:val="left"/>
      <w:pPr>
        <w:ind w:left="3536" w:hanging="420"/>
      </w:pPr>
    </w:lvl>
    <w:lvl w:ilvl="7" w:tentative="0">
      <w:start w:val="1"/>
      <w:numFmt w:val="lowerLetter"/>
      <w:lvlText w:val="%8)"/>
      <w:lvlJc w:val="left"/>
      <w:pPr>
        <w:ind w:left="3956" w:hanging="420"/>
      </w:pPr>
    </w:lvl>
    <w:lvl w:ilvl="8" w:tentative="0">
      <w:start w:val="1"/>
      <w:numFmt w:val="lowerRoman"/>
      <w:lvlText w:val="%9."/>
      <w:lvlJc w:val="right"/>
      <w:pPr>
        <w:ind w:left="437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86886"/>
    <w:rsid w:val="3598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ind w:firstLine="20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qFormat/>
    <w:uiPriority w:val="9"/>
    <w:pPr>
      <w:outlineLvl w:val="0"/>
    </w:pPr>
    <w:rPr>
      <w:rFonts w:eastAsia="黑体"/>
      <w:bCs/>
      <w:kern w:val="44"/>
      <w:szCs w:val="44"/>
    </w:rPr>
  </w:style>
  <w:style w:type="paragraph" w:styleId="3">
    <w:name w:val="heading 2"/>
    <w:basedOn w:val="1"/>
    <w:next w:val="1"/>
    <w:unhideWhenUsed/>
    <w:qFormat/>
    <w:uiPriority w:val="9"/>
    <w:pPr>
      <w:outlineLvl w:val="1"/>
    </w:pPr>
    <w:rPr>
      <w:rFonts w:eastAsia="楷体" w:asciiTheme="majorHAnsi" w:hAnsiTheme="majorHAnsi" w:cstheme="majorBidi"/>
      <w:b/>
      <w:bCs/>
      <w:szCs w:val="32"/>
    </w:rPr>
  </w:style>
  <w:style w:type="paragraph" w:styleId="4">
    <w:name w:val="heading 3"/>
    <w:basedOn w:val="1"/>
    <w:next w:val="1"/>
    <w:unhideWhenUsed/>
    <w:qFormat/>
    <w:uiPriority w:val="9"/>
    <w:pPr>
      <w:outlineLvl w:val="2"/>
    </w:pPr>
    <w:rPr>
      <w:b/>
      <w:bCs/>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7">
    <w:name w:val="toc 1"/>
    <w:basedOn w:val="1"/>
    <w:next w:val="1"/>
    <w:unhideWhenUsed/>
    <w:qFormat/>
    <w:uiPriority w:val="39"/>
  </w:style>
  <w:style w:type="character" w:customStyle="1" w:styleId="10">
    <w:name w:val="font11"/>
    <w:basedOn w:val="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2021-06-07T04:54:00Z</dcterms:created>
  <dc:creator>雨露心田</dc:creator>
  <cp:lastModifiedBy>雨露心田</cp:lastModifiedBy>
  <dcterms:modified xsi:type="dcterms:W3CDTF">2021-06-07T05:00:59Z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