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jc w:val="center"/>
        <w:rPr>
          <w:rFonts w:hint="eastAsia" w:ascii="宋体" w:hAnsi="宋体" w:eastAsia="宋体" w:cs="宋体"/>
          <w:sz w:val="48"/>
          <w:szCs w:val="48"/>
        </w:rPr>
      </w:pPr>
      <w:r>
        <w:rPr>
          <w:rFonts w:hint="eastAsia" w:ascii="宋体" w:hAnsi="宋体" w:eastAsia="宋体" w:cs="宋体"/>
          <w:sz w:val="48"/>
          <w:szCs w:val="48"/>
        </w:rPr>
        <w:t>20</w:t>
      </w:r>
      <w:r>
        <w:rPr>
          <w:rFonts w:hint="eastAsia" w:ascii="宋体" w:hAnsi="宋体" w:cs="宋体"/>
          <w:sz w:val="48"/>
          <w:szCs w:val="48"/>
          <w:lang w:val="en-US" w:eastAsia="zh-CN"/>
        </w:rPr>
        <w:t>18</w:t>
      </w:r>
      <w:r>
        <w:rPr>
          <w:rFonts w:hint="eastAsia" w:ascii="宋体" w:hAnsi="宋体" w:eastAsia="宋体" w:cs="宋体"/>
          <w:sz w:val="48"/>
          <w:szCs w:val="48"/>
        </w:rPr>
        <w:t>年度部门整体支出绩效自评报告</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default" w:ascii="宋体" w:hAnsi="宋体" w:eastAsia="宋体" w:cs="宋体"/>
          <w:sz w:val="32"/>
          <w:szCs w:val="32"/>
          <w:lang w:val="en-US" w:eastAsia="zh-CN"/>
        </w:rPr>
      </w:pPr>
      <w:r>
        <w:rPr>
          <w:rFonts w:hint="eastAsia" w:ascii="宋体" w:hAnsi="宋体" w:eastAsia="宋体" w:cs="宋体"/>
          <w:sz w:val="44"/>
          <w:szCs w:val="44"/>
        </w:rPr>
        <w:t>单位名称 ：衡山县</w:t>
      </w:r>
      <w:r>
        <w:rPr>
          <w:rFonts w:hint="eastAsia" w:ascii="宋体" w:hAnsi="宋体" w:cs="宋体"/>
          <w:sz w:val="44"/>
          <w:szCs w:val="44"/>
          <w:lang w:val="en-US" w:eastAsia="zh-CN"/>
        </w:rPr>
        <w:t>科学技术协会</w:t>
      </w:r>
    </w:p>
    <w:p>
      <w:pPr>
        <w:jc w:val="center"/>
        <w:rPr>
          <w:rFonts w:hint="eastAsia" w:ascii="宋体" w:hAnsi="宋体" w:eastAsia="宋体" w:cs="宋体"/>
          <w:sz w:val="32"/>
          <w:szCs w:val="32"/>
        </w:rPr>
      </w:pPr>
    </w:p>
    <w:p>
      <w:pP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rPr>
          <w:rFonts w:hint="eastAsia" w:ascii="宋体" w:hAnsi="宋体" w:eastAsia="宋体" w:cs="宋体"/>
          <w:sz w:val="32"/>
          <w:szCs w:val="32"/>
        </w:rPr>
      </w:pPr>
    </w:p>
    <w:p>
      <w:pPr>
        <w:widowControl/>
        <w:spacing w:line="600" w:lineRule="exact"/>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933" w:firstLineChars="300"/>
        <w:textAlignment w:val="auto"/>
        <w:rPr>
          <w:rFonts w:hint="eastAsia" w:ascii="仿宋" w:hAnsi="仿宋" w:eastAsia="仿宋" w:cs="仿宋"/>
          <w:b/>
          <w:bCs/>
          <w:sz w:val="32"/>
          <w:szCs w:val="32"/>
        </w:rPr>
      </w:pPr>
      <w:r>
        <w:rPr>
          <w:rFonts w:hint="eastAsia" w:ascii="仿宋" w:hAnsi="仿宋" w:eastAsia="仿宋" w:cs="仿宋"/>
          <w:b/>
          <w:bCs/>
          <w:sz w:val="32"/>
          <w:szCs w:val="32"/>
        </w:rPr>
        <w:t>一、单位基本情况</w:t>
      </w:r>
    </w:p>
    <w:p>
      <w:pPr>
        <w:pStyle w:val="7"/>
        <w:keepNext w:val="0"/>
        <w:keepLines w:val="0"/>
        <w:pageBreakBefore w:val="0"/>
        <w:widowControl/>
        <w:numPr>
          <w:ilvl w:val="0"/>
          <w:numId w:val="1"/>
        </w:numPr>
        <w:kinsoku/>
        <w:wordWrap/>
        <w:overflowPunct/>
        <w:topLinePunct w:val="0"/>
        <w:autoSpaceDN/>
        <w:bidi w:val="0"/>
        <w:adjustRightInd/>
        <w:snapToGrid/>
        <w:spacing w:beforeAutospacing="0" w:after="0" w:afterAutospacing="0" w:line="540" w:lineRule="exact"/>
        <w:ind w:firstLine="62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机构设置及部门预算单位构成</w:t>
      </w:r>
    </w:p>
    <w:p>
      <w:pPr>
        <w:pStyle w:val="7"/>
        <w:keepNext w:val="0"/>
        <w:keepLines w:val="0"/>
        <w:pageBreakBefore w:val="0"/>
        <w:widowControl/>
        <w:kinsoku/>
        <w:wordWrap/>
        <w:overflowPunct/>
        <w:topLinePunct w:val="0"/>
        <w:autoSpaceDN/>
        <w:bidi w:val="0"/>
        <w:adjustRightInd/>
        <w:snapToGrid/>
        <w:spacing w:beforeAutospacing="0" w:after="0" w:afterAutospacing="0" w:line="540" w:lineRule="exact"/>
        <w:ind w:firstLine="62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shd w:val="clear" w:color="auto" w:fill="FFFFFF"/>
        </w:rPr>
        <w:t>根据《</w:t>
      </w:r>
      <w:r>
        <w:rPr>
          <w:rFonts w:hint="eastAsia" w:ascii="仿宋" w:hAnsi="仿宋" w:eastAsia="仿宋" w:cs="仿宋"/>
          <w:color w:val="000000"/>
          <w:sz w:val="32"/>
          <w:szCs w:val="32"/>
          <w:shd w:val="clear" w:color="auto" w:fill="FFFFFF"/>
          <w:lang w:eastAsia="zh-CN"/>
        </w:rPr>
        <w:t>中共衡阳市委办公室衡阳市人民政府办公室关于印发&lt;衡山县机构改革方案&gt;的通知》</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lang w:eastAsia="zh-CN"/>
        </w:rPr>
        <w:t>衡山县科学技术协会机关为</w:t>
      </w:r>
      <w:r>
        <w:rPr>
          <w:rFonts w:hint="eastAsia" w:ascii="仿宋" w:hAnsi="仿宋" w:eastAsia="仿宋" w:cs="仿宋"/>
          <w:sz w:val="32"/>
          <w:szCs w:val="32"/>
          <w:lang w:val="en-US" w:eastAsia="zh-CN"/>
        </w:rPr>
        <w:t>中共衡山</w:t>
      </w:r>
      <w:r>
        <w:rPr>
          <w:rFonts w:hint="eastAsia" w:ascii="仿宋" w:hAnsi="仿宋" w:eastAsia="仿宋" w:cs="仿宋"/>
          <w:sz w:val="32"/>
          <w:szCs w:val="32"/>
          <w:lang w:eastAsia="zh-CN"/>
        </w:rPr>
        <w:t>县委领导下正科级群团组织，内设办公室、科学</w:t>
      </w:r>
      <w:r>
        <w:rPr>
          <w:rFonts w:hint="eastAsia" w:ascii="仿宋" w:hAnsi="仿宋" w:eastAsia="仿宋" w:cs="仿宋"/>
          <w:sz w:val="32"/>
          <w:szCs w:val="32"/>
          <w:lang w:val="en-US" w:eastAsia="zh-CN"/>
        </w:rPr>
        <w:t>技</w:t>
      </w:r>
      <w:r>
        <w:rPr>
          <w:rFonts w:hint="eastAsia" w:ascii="仿宋" w:hAnsi="仿宋" w:eastAsia="仿宋" w:cs="仿宋"/>
          <w:sz w:val="32"/>
          <w:szCs w:val="32"/>
          <w:lang w:eastAsia="zh-CN"/>
        </w:rPr>
        <w:t>术普及股、学会股等三个职能股室。至</w:t>
      </w:r>
      <w:r>
        <w:rPr>
          <w:rFonts w:hint="eastAsia" w:ascii="仿宋" w:hAnsi="仿宋" w:eastAsia="仿宋" w:cs="仿宋"/>
          <w:sz w:val="32"/>
          <w:szCs w:val="32"/>
          <w:lang w:val="en-US" w:eastAsia="zh-CN"/>
        </w:rPr>
        <w:t>2018年12月，共有全额拨款事业编制8名，实有人数11人，其中财政供养在职4人、退休人员4人、抚恤人员3人。公务用车定编0台，现有车辆0台。</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62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w:t>
      </w:r>
    </w:p>
    <w:p>
      <w:pPr>
        <w:keepNext w:val="0"/>
        <w:keepLines w:val="0"/>
        <w:pageBreakBefore w:val="0"/>
        <w:kinsoku/>
        <w:wordWrap/>
        <w:overflowPunct/>
        <w:topLinePunct w:val="0"/>
        <w:autoSpaceDE/>
        <w:autoSpaceDN/>
        <w:bidi w:val="0"/>
        <w:adjustRightInd/>
        <w:snapToGrid/>
        <w:spacing w:line="360" w:lineRule="auto"/>
        <w:ind w:firstLine="622"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开展学术交流，活跃学术思想，评选优秀学术论文，推广学术成果，促进学术发展</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弘扬科学精神，普及科学知识，传播科学思想和方法，捍卫科学尊严，推广先进技术，开展青少年科学技术教育活动，开展青少年科技竟赛活动</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推进全民科学素质行动计划，提高全民科学文化素质</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反映科学技术工作者的意见和要求，维护科学技术工作者的合法权益。组织科学工作者参与国家和地方科学技术政策、法规制定和国家事务的政治协商、科学决策、民主监督工作</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表彰奖励优秀科学技术工作者，举荐人才</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开展学术论证、咨询服务，提出政策建议，促进科学技术成果的转化</w:t>
      </w:r>
      <w:r>
        <w:rPr>
          <w:rFonts w:hint="eastAsia" w:ascii="仿宋" w:hAnsi="仿宋" w:eastAsia="仿宋" w:cs="仿宋"/>
          <w:sz w:val="32"/>
          <w:szCs w:val="32"/>
        </w:rPr>
        <w:t>。</w:t>
      </w:r>
      <w:r>
        <w:rPr>
          <w:rFonts w:hint="eastAsia" w:ascii="仿宋" w:hAnsi="仿宋" w:eastAsia="仿宋" w:cs="仿宋"/>
          <w:sz w:val="32"/>
          <w:szCs w:val="32"/>
          <w:lang w:eastAsia="zh-CN"/>
        </w:rPr>
        <w:t>接受委托，承担项目评估、成果鉴定、专业技术培训、专业技术职务资格评审等任务。</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开展民间国际科学技术交流活动，发展同国外的科学技术团体科学技术工作者的友好往来</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开展继续教育和培训工作</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编辑出版科学技术书刊、报刊和科普读物</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兴办符合科学技术协会宗旨的社会公益事业</w:t>
      </w:r>
      <w:r>
        <w:rPr>
          <w:rFonts w:hint="eastAsia" w:ascii="仿宋" w:hAnsi="仿宋" w:eastAsia="仿宋" w:cs="仿宋"/>
          <w:sz w:val="32"/>
          <w:szCs w:val="32"/>
        </w:rPr>
        <w:t>。</w:t>
      </w:r>
    </w:p>
    <w:p>
      <w:pPr>
        <w:spacing w:line="580" w:lineRule="exact"/>
        <w:ind w:firstLine="622"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完成县委、县政府交办的其他任务</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line="360" w:lineRule="auto"/>
        <w:ind w:left="0" w:leftChars="0" w:firstLine="62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基本</w:t>
      </w:r>
      <w:r>
        <w:rPr>
          <w:rFonts w:hint="eastAsia" w:ascii="仿宋" w:hAnsi="仿宋" w:eastAsia="仿宋" w:cs="仿宋"/>
          <w:b/>
          <w:bCs/>
          <w:sz w:val="32"/>
          <w:szCs w:val="32"/>
        </w:rPr>
        <w:t>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25" w:lineRule="atLeast"/>
        <w:ind w:left="0" w:right="0" w:firstLine="645"/>
        <w:jc w:val="left"/>
        <w:rPr>
          <w:rFonts w:hint="eastAsia" w:ascii="仿宋" w:hAnsi="仿宋" w:eastAsia="仿宋" w:cs="仿宋"/>
          <w:sz w:val="32"/>
          <w:szCs w:val="32"/>
          <w:lang w:val="en-US" w:eastAsia="zh-CN"/>
        </w:rPr>
      </w:pPr>
      <w:r>
        <w:rPr>
          <w:rFonts w:hint="eastAsia" w:ascii="仿宋" w:hAnsi="仿宋" w:eastAsia="仿宋" w:cs="仿宋"/>
          <w:i w:val="0"/>
          <w:caps w:val="0"/>
          <w:color w:val="2B2B2B"/>
          <w:spacing w:val="0"/>
          <w:sz w:val="32"/>
          <w:szCs w:val="32"/>
          <w:shd w:val="clear" w:fill="FFFFFF"/>
        </w:rPr>
        <w:t>20</w:t>
      </w:r>
      <w:r>
        <w:rPr>
          <w:rFonts w:hint="eastAsia" w:ascii="仿宋" w:hAnsi="仿宋" w:eastAsia="仿宋" w:cs="仿宋"/>
          <w:i w:val="0"/>
          <w:caps w:val="0"/>
          <w:color w:val="2B2B2B"/>
          <w:spacing w:val="0"/>
          <w:sz w:val="32"/>
          <w:szCs w:val="32"/>
          <w:shd w:val="clear" w:fill="FFFFFF"/>
          <w:lang w:val="en-US" w:eastAsia="zh-CN"/>
        </w:rPr>
        <w:t>18</w:t>
      </w:r>
      <w:r>
        <w:rPr>
          <w:rFonts w:hint="eastAsia" w:ascii="仿宋" w:hAnsi="仿宋" w:eastAsia="仿宋" w:cs="仿宋"/>
          <w:i w:val="0"/>
          <w:caps w:val="0"/>
          <w:color w:val="2B2B2B"/>
          <w:spacing w:val="0"/>
          <w:sz w:val="32"/>
          <w:szCs w:val="32"/>
          <w:shd w:val="clear" w:fill="FFFFFF"/>
        </w:rPr>
        <w:t>年度用于保障单位正常运转的日常支出</w:t>
      </w:r>
      <w:r>
        <w:rPr>
          <w:rFonts w:hint="eastAsia" w:ascii="仿宋" w:hAnsi="仿宋" w:eastAsia="仿宋" w:cs="仿宋"/>
          <w:i w:val="0"/>
          <w:caps w:val="0"/>
          <w:color w:val="2B2B2B"/>
          <w:spacing w:val="0"/>
          <w:sz w:val="32"/>
          <w:szCs w:val="32"/>
          <w:shd w:val="clear" w:fill="FFFFFF"/>
          <w:lang w:val="en-US" w:eastAsia="zh-CN"/>
        </w:rPr>
        <w:t>57.9万</w:t>
      </w:r>
      <w:r>
        <w:rPr>
          <w:rFonts w:hint="eastAsia" w:ascii="仿宋" w:hAnsi="仿宋" w:eastAsia="仿宋" w:cs="仿宋"/>
          <w:i w:val="0"/>
          <w:caps w:val="0"/>
          <w:color w:val="2B2B2B"/>
          <w:spacing w:val="0"/>
          <w:sz w:val="32"/>
          <w:szCs w:val="32"/>
          <w:shd w:val="clear" w:fill="FFFFFF"/>
        </w:rPr>
        <w:t>元。与上年对比</w:t>
      </w:r>
      <w:r>
        <w:rPr>
          <w:rFonts w:hint="eastAsia" w:ascii="仿宋" w:hAnsi="仿宋" w:eastAsia="仿宋" w:cs="仿宋"/>
          <w:i w:val="0"/>
          <w:caps w:val="0"/>
          <w:color w:val="2B2B2B"/>
          <w:spacing w:val="0"/>
          <w:sz w:val="32"/>
          <w:szCs w:val="32"/>
          <w:shd w:val="clear" w:fill="FFFFFF"/>
          <w:lang w:eastAsia="zh-CN"/>
        </w:rPr>
        <w:t>增加</w:t>
      </w:r>
      <w:r>
        <w:rPr>
          <w:rFonts w:hint="eastAsia" w:ascii="仿宋" w:hAnsi="仿宋" w:eastAsia="仿宋" w:cs="仿宋"/>
          <w:i w:val="0"/>
          <w:caps w:val="0"/>
          <w:color w:val="2B2B2B"/>
          <w:spacing w:val="0"/>
          <w:sz w:val="32"/>
          <w:szCs w:val="32"/>
          <w:shd w:val="clear" w:fill="FFFFFF"/>
        </w:rPr>
        <w:t>了</w:t>
      </w:r>
      <w:r>
        <w:rPr>
          <w:rFonts w:hint="eastAsia" w:ascii="仿宋" w:hAnsi="仿宋" w:eastAsia="仿宋" w:cs="仿宋"/>
          <w:i w:val="0"/>
          <w:caps w:val="0"/>
          <w:color w:val="2B2B2B"/>
          <w:spacing w:val="0"/>
          <w:sz w:val="32"/>
          <w:szCs w:val="32"/>
          <w:shd w:val="clear" w:fill="FFFFFF"/>
          <w:lang w:val="en-US" w:eastAsia="zh-CN"/>
        </w:rPr>
        <w:t>1.35</w:t>
      </w:r>
      <w:r>
        <w:rPr>
          <w:rFonts w:hint="eastAsia" w:ascii="仿宋" w:hAnsi="仿宋" w:eastAsia="仿宋" w:cs="仿宋"/>
          <w:i w:val="0"/>
          <w:caps w:val="0"/>
          <w:color w:val="2B2B2B"/>
          <w:spacing w:val="0"/>
          <w:sz w:val="32"/>
          <w:szCs w:val="32"/>
          <w:shd w:val="clear" w:fill="FFFFFF"/>
        </w:rPr>
        <w:t>万元，</w:t>
      </w:r>
      <w:r>
        <w:rPr>
          <w:rFonts w:hint="eastAsia" w:ascii="仿宋" w:hAnsi="仿宋" w:eastAsia="仿宋" w:cs="仿宋"/>
          <w:i w:val="0"/>
          <w:caps w:val="0"/>
          <w:color w:val="2B2B2B"/>
          <w:spacing w:val="0"/>
          <w:sz w:val="32"/>
          <w:szCs w:val="32"/>
          <w:shd w:val="clear" w:fill="FFFFFF"/>
          <w:lang w:eastAsia="zh-CN"/>
        </w:rPr>
        <w:t>增加</w:t>
      </w:r>
      <w:r>
        <w:rPr>
          <w:rFonts w:hint="eastAsia" w:ascii="仿宋" w:hAnsi="仿宋" w:eastAsia="仿宋" w:cs="仿宋"/>
          <w:i w:val="0"/>
          <w:caps w:val="0"/>
          <w:color w:val="2B2B2B"/>
          <w:spacing w:val="0"/>
          <w:sz w:val="32"/>
          <w:szCs w:val="32"/>
          <w:shd w:val="clear" w:fill="FFFFFF"/>
        </w:rPr>
        <w:t>率为</w:t>
      </w:r>
      <w:r>
        <w:rPr>
          <w:rFonts w:hint="eastAsia" w:ascii="仿宋" w:hAnsi="仿宋" w:eastAsia="仿宋" w:cs="仿宋"/>
          <w:i w:val="0"/>
          <w:caps w:val="0"/>
          <w:color w:val="2B2B2B"/>
          <w:spacing w:val="0"/>
          <w:sz w:val="32"/>
          <w:szCs w:val="32"/>
          <w:shd w:val="clear" w:fill="FFFFFF"/>
          <w:lang w:val="en-US" w:eastAsia="zh-CN"/>
        </w:rPr>
        <w:t>3.77</w:t>
      </w:r>
      <w:r>
        <w:rPr>
          <w:rFonts w:hint="eastAsia" w:ascii="仿宋" w:hAnsi="仿宋" w:eastAsia="仿宋" w:cs="仿宋"/>
          <w:i w:val="0"/>
          <w:caps w:val="0"/>
          <w:color w:val="2B2B2B"/>
          <w:spacing w:val="0"/>
          <w:sz w:val="32"/>
          <w:szCs w:val="32"/>
          <w:shd w:val="clear" w:fill="FFFFFF"/>
        </w:rPr>
        <w:t>%,主要原因为20</w:t>
      </w:r>
      <w:r>
        <w:rPr>
          <w:rFonts w:hint="eastAsia" w:ascii="仿宋" w:hAnsi="仿宋" w:eastAsia="仿宋" w:cs="仿宋"/>
          <w:i w:val="0"/>
          <w:caps w:val="0"/>
          <w:color w:val="2B2B2B"/>
          <w:spacing w:val="0"/>
          <w:sz w:val="32"/>
          <w:szCs w:val="32"/>
          <w:shd w:val="clear" w:fill="FFFFFF"/>
          <w:lang w:val="en-US" w:eastAsia="zh-CN"/>
        </w:rPr>
        <w:t>18</w:t>
      </w:r>
      <w:r>
        <w:rPr>
          <w:rFonts w:hint="eastAsia" w:ascii="仿宋" w:hAnsi="仿宋" w:eastAsia="仿宋" w:cs="仿宋"/>
          <w:i w:val="0"/>
          <w:caps w:val="0"/>
          <w:color w:val="2B2B2B"/>
          <w:spacing w:val="0"/>
          <w:sz w:val="32"/>
          <w:szCs w:val="32"/>
          <w:shd w:val="clear" w:fill="FFFFFF"/>
        </w:rPr>
        <w:t>年人员经费有所</w:t>
      </w:r>
      <w:r>
        <w:rPr>
          <w:rFonts w:hint="eastAsia" w:ascii="仿宋" w:hAnsi="仿宋" w:eastAsia="仿宋" w:cs="仿宋"/>
          <w:i w:val="0"/>
          <w:caps w:val="0"/>
          <w:color w:val="2B2B2B"/>
          <w:spacing w:val="0"/>
          <w:sz w:val="32"/>
          <w:szCs w:val="32"/>
          <w:shd w:val="clear" w:fill="FFFFFF"/>
          <w:lang w:eastAsia="zh-CN"/>
        </w:rPr>
        <w:t>增加</w:t>
      </w:r>
      <w:r>
        <w:rPr>
          <w:rFonts w:hint="eastAsia" w:ascii="仿宋" w:hAnsi="仿宋" w:eastAsia="仿宋" w:cs="仿宋"/>
          <w:i w:val="0"/>
          <w:caps w:val="0"/>
          <w:color w:val="2B2B2B"/>
          <w:spacing w:val="0"/>
          <w:sz w:val="32"/>
          <w:szCs w:val="32"/>
          <w:shd w:val="clear" w:fill="FFFFFF"/>
        </w:rPr>
        <w:t>。其中：</w:t>
      </w:r>
      <w:r>
        <w:rPr>
          <w:rFonts w:hint="eastAsia" w:ascii="仿宋" w:hAnsi="仿宋" w:eastAsia="仿宋" w:cs="仿宋"/>
          <w:b w:val="0"/>
          <w:i w:val="0"/>
          <w:caps w:val="0"/>
          <w:color w:val="000000"/>
          <w:spacing w:val="0"/>
          <w:sz w:val="32"/>
          <w:szCs w:val="32"/>
          <w:shd w:val="clear" w:fill="FFFFFF"/>
        </w:rPr>
        <w:t>工资福利支出</w:t>
      </w:r>
      <w:r>
        <w:rPr>
          <w:rFonts w:hint="eastAsia" w:ascii="仿宋" w:hAnsi="仿宋" w:eastAsia="仿宋" w:cs="仿宋"/>
          <w:b w:val="0"/>
          <w:i w:val="0"/>
          <w:caps w:val="0"/>
          <w:color w:val="000000"/>
          <w:spacing w:val="0"/>
          <w:sz w:val="32"/>
          <w:szCs w:val="32"/>
          <w:shd w:val="clear" w:fill="FFFFFF"/>
          <w:lang w:val="en-US" w:eastAsia="zh-CN"/>
        </w:rPr>
        <w:t>32.09</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占比</w:t>
      </w:r>
      <w:r>
        <w:rPr>
          <w:rFonts w:hint="eastAsia" w:ascii="仿宋" w:hAnsi="仿宋" w:eastAsia="仿宋" w:cs="仿宋"/>
          <w:b w:val="0"/>
          <w:i w:val="0"/>
          <w:caps w:val="0"/>
          <w:color w:val="000000"/>
          <w:spacing w:val="0"/>
          <w:sz w:val="32"/>
          <w:szCs w:val="32"/>
          <w:shd w:val="clear" w:fill="FFFFFF"/>
          <w:lang w:val="en-US" w:eastAsia="zh-CN"/>
        </w:rPr>
        <w:t>55.42</w:t>
      </w:r>
      <w:r>
        <w:rPr>
          <w:rFonts w:hint="eastAsia" w:ascii="仿宋" w:hAnsi="仿宋" w:eastAsia="仿宋" w:cs="仿宋"/>
          <w:b w:val="0"/>
          <w:i w:val="0"/>
          <w:caps w:val="0"/>
          <w:color w:val="000000"/>
          <w:spacing w:val="0"/>
          <w:sz w:val="32"/>
          <w:szCs w:val="32"/>
          <w:shd w:val="clear" w:fill="FFFFFF"/>
        </w:rPr>
        <w:t>%。商品和服务支出</w:t>
      </w:r>
      <w:r>
        <w:rPr>
          <w:rFonts w:hint="eastAsia" w:ascii="仿宋" w:hAnsi="仿宋" w:eastAsia="仿宋" w:cs="仿宋"/>
          <w:b w:val="0"/>
          <w:i w:val="0"/>
          <w:caps w:val="0"/>
          <w:color w:val="000000"/>
          <w:spacing w:val="0"/>
          <w:sz w:val="32"/>
          <w:szCs w:val="32"/>
          <w:shd w:val="clear" w:fill="FFFFFF"/>
          <w:lang w:val="en-US" w:eastAsia="zh-CN"/>
        </w:rPr>
        <w:t>20.4</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占比</w:t>
      </w:r>
      <w:r>
        <w:rPr>
          <w:rFonts w:hint="eastAsia" w:ascii="仿宋" w:hAnsi="仿宋" w:eastAsia="仿宋" w:cs="仿宋"/>
          <w:b w:val="0"/>
          <w:i w:val="0"/>
          <w:caps w:val="0"/>
          <w:color w:val="000000"/>
          <w:spacing w:val="0"/>
          <w:sz w:val="32"/>
          <w:szCs w:val="32"/>
          <w:shd w:val="clear" w:fill="FFFFFF"/>
          <w:lang w:val="en-US" w:eastAsia="zh-CN"/>
        </w:rPr>
        <w:t>35.23</w:t>
      </w:r>
      <w:r>
        <w:rPr>
          <w:rFonts w:hint="eastAsia" w:ascii="仿宋" w:hAnsi="仿宋" w:eastAsia="仿宋" w:cs="仿宋"/>
          <w:b w:val="0"/>
          <w:i w:val="0"/>
          <w:caps w:val="0"/>
          <w:color w:val="000000"/>
          <w:spacing w:val="0"/>
          <w:sz w:val="32"/>
          <w:szCs w:val="32"/>
          <w:shd w:val="clear" w:fill="FFFFFF"/>
        </w:rPr>
        <w:t>%。 对个人和家庭的补助</w:t>
      </w:r>
      <w:r>
        <w:rPr>
          <w:rFonts w:hint="eastAsia" w:ascii="仿宋" w:hAnsi="仿宋" w:eastAsia="仿宋" w:cs="仿宋"/>
          <w:b w:val="0"/>
          <w:i w:val="0"/>
          <w:caps w:val="0"/>
          <w:color w:val="000000"/>
          <w:spacing w:val="0"/>
          <w:sz w:val="32"/>
          <w:szCs w:val="32"/>
          <w:shd w:val="clear" w:fill="FFFFFF"/>
          <w:lang w:val="en-US" w:eastAsia="zh-CN"/>
        </w:rPr>
        <w:t>4.93</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 占比</w:t>
      </w:r>
      <w:r>
        <w:rPr>
          <w:rFonts w:hint="eastAsia" w:ascii="仿宋" w:hAnsi="仿宋" w:eastAsia="仿宋" w:cs="仿宋"/>
          <w:b w:val="0"/>
          <w:i w:val="0"/>
          <w:caps w:val="0"/>
          <w:color w:val="000000"/>
          <w:spacing w:val="0"/>
          <w:sz w:val="32"/>
          <w:szCs w:val="32"/>
          <w:shd w:val="clear" w:fill="FFFFFF"/>
          <w:lang w:val="en-US" w:eastAsia="zh-CN"/>
        </w:rPr>
        <w:t>8.52</w:t>
      </w:r>
      <w:bookmarkStart w:id="0" w:name="_GoBack"/>
      <w:bookmarkEnd w:id="0"/>
      <w:r>
        <w:rPr>
          <w:rFonts w:hint="eastAsia" w:ascii="仿宋" w:hAnsi="仿宋" w:eastAsia="仿宋" w:cs="仿宋"/>
          <w:b w:val="0"/>
          <w:i w:val="0"/>
          <w:caps w:val="0"/>
          <w:color w:val="000000"/>
          <w:spacing w:val="0"/>
          <w:sz w:val="32"/>
          <w:szCs w:val="32"/>
          <w:shd w:val="clear" w:fill="FFFFFF"/>
        </w:rPr>
        <w:t>%。资本性支出</w:t>
      </w:r>
      <w:r>
        <w:rPr>
          <w:rFonts w:hint="eastAsia" w:ascii="仿宋" w:hAnsi="仿宋" w:eastAsia="仿宋" w:cs="仿宋"/>
          <w:b w:val="0"/>
          <w:i w:val="0"/>
          <w:caps w:val="0"/>
          <w:color w:val="000000"/>
          <w:spacing w:val="0"/>
          <w:sz w:val="32"/>
          <w:szCs w:val="32"/>
          <w:shd w:val="clear" w:fill="FFFFFF"/>
          <w:lang w:val="en-US" w:eastAsia="zh-CN"/>
        </w:rPr>
        <w:t>0.48</w:t>
      </w:r>
      <w:r>
        <w:rPr>
          <w:rFonts w:hint="eastAsia" w:ascii="仿宋" w:hAnsi="仿宋" w:eastAsia="仿宋" w:cs="仿宋"/>
          <w:b w:val="0"/>
          <w:i w:val="0"/>
          <w:caps w:val="0"/>
          <w:color w:val="000000"/>
          <w:spacing w:val="0"/>
          <w:sz w:val="32"/>
          <w:szCs w:val="32"/>
          <w:shd w:val="clear" w:fill="FFFFFF"/>
        </w:rPr>
        <w:t>万元</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占比</w:t>
      </w:r>
      <w:r>
        <w:rPr>
          <w:rFonts w:hint="eastAsia" w:ascii="仿宋" w:hAnsi="仿宋" w:eastAsia="仿宋" w:cs="仿宋"/>
          <w:b w:val="0"/>
          <w:i w:val="0"/>
          <w:caps w:val="0"/>
          <w:color w:val="000000"/>
          <w:spacing w:val="0"/>
          <w:sz w:val="32"/>
          <w:szCs w:val="32"/>
          <w:shd w:val="clear" w:fill="FFFFFF"/>
          <w:lang w:val="en-US" w:eastAsia="zh-CN"/>
        </w:rPr>
        <w:t>0.83</w:t>
      </w:r>
      <w:r>
        <w:rPr>
          <w:rFonts w:hint="eastAsia" w:ascii="仿宋" w:hAnsi="仿宋" w:eastAsia="仿宋" w:cs="仿宋"/>
          <w:b w:val="0"/>
          <w:i w:val="0"/>
          <w:caps w:val="0"/>
          <w:color w:val="000000"/>
          <w:spacing w:val="0"/>
          <w:sz w:val="32"/>
          <w:szCs w:val="32"/>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25" w:lineRule="atLeast"/>
        <w:ind w:right="0" w:firstLine="622" w:firstLineChars="200"/>
        <w:jc w:val="left"/>
        <w:rPr>
          <w:rFonts w:hint="eastAsia" w:ascii="仿宋" w:hAnsi="仿宋" w:eastAsia="仿宋" w:cs="仿宋"/>
          <w:b/>
          <w:bCs w:val="0"/>
          <w:sz w:val="32"/>
          <w:szCs w:val="32"/>
        </w:rPr>
      </w:pPr>
      <w:r>
        <w:rPr>
          <w:rStyle w:val="10"/>
          <w:rFonts w:hint="eastAsia" w:ascii="仿宋" w:hAnsi="仿宋" w:eastAsia="仿宋" w:cs="仿宋"/>
          <w:b/>
          <w:bCs w:val="0"/>
          <w:i w:val="0"/>
          <w:caps w:val="0"/>
          <w:color w:val="2B2B2B"/>
          <w:spacing w:val="0"/>
          <w:sz w:val="32"/>
          <w:szCs w:val="32"/>
          <w:shd w:val="clear" w:fill="FFFFFF"/>
          <w:lang w:val="en-US" w:eastAsia="zh-CN"/>
        </w:rPr>
        <w:t>三、</w:t>
      </w:r>
      <w:r>
        <w:rPr>
          <w:rStyle w:val="10"/>
          <w:rFonts w:hint="eastAsia" w:ascii="仿宋" w:hAnsi="仿宋" w:eastAsia="仿宋" w:cs="仿宋"/>
          <w:b/>
          <w:bCs w:val="0"/>
          <w:i w:val="0"/>
          <w:caps w:val="0"/>
          <w:color w:val="2B2B2B"/>
          <w:spacing w:val="0"/>
          <w:sz w:val="32"/>
          <w:szCs w:val="32"/>
          <w:shd w:val="clear" w:fill="FFFFFF"/>
        </w:rPr>
        <w:t>项目支出情况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rFonts w:hint="eastAsia" w:ascii="仿宋" w:hAnsi="仿宋" w:eastAsia="仿宋" w:cs="仿宋"/>
          <w:sz w:val="32"/>
          <w:szCs w:val="32"/>
        </w:rPr>
      </w:pPr>
      <w:r>
        <w:rPr>
          <w:rFonts w:hint="eastAsia" w:ascii="仿宋" w:hAnsi="仿宋" w:eastAsia="仿宋" w:cs="仿宋"/>
          <w:i w:val="0"/>
          <w:caps w:val="0"/>
          <w:color w:val="2B2B2B"/>
          <w:spacing w:val="0"/>
          <w:sz w:val="32"/>
          <w:szCs w:val="32"/>
          <w:shd w:val="clear" w:fill="FFFFFF"/>
        </w:rPr>
        <w:t>20</w:t>
      </w:r>
      <w:r>
        <w:rPr>
          <w:rFonts w:hint="eastAsia" w:ascii="仿宋" w:hAnsi="仿宋" w:eastAsia="仿宋" w:cs="仿宋"/>
          <w:i w:val="0"/>
          <w:caps w:val="0"/>
          <w:color w:val="2B2B2B"/>
          <w:spacing w:val="0"/>
          <w:sz w:val="32"/>
          <w:szCs w:val="32"/>
          <w:shd w:val="clear" w:fill="FFFFFF"/>
          <w:lang w:val="en-US" w:eastAsia="zh-CN"/>
        </w:rPr>
        <w:t>18</w:t>
      </w:r>
      <w:r>
        <w:rPr>
          <w:rFonts w:hint="eastAsia" w:ascii="仿宋" w:hAnsi="仿宋" w:eastAsia="仿宋" w:cs="仿宋"/>
          <w:i w:val="0"/>
          <w:caps w:val="0"/>
          <w:color w:val="2B2B2B"/>
          <w:spacing w:val="0"/>
          <w:sz w:val="32"/>
          <w:szCs w:val="32"/>
          <w:shd w:val="clear" w:fill="FFFFFF"/>
        </w:rPr>
        <w:t>年</w:t>
      </w:r>
      <w:r>
        <w:rPr>
          <w:rFonts w:hint="eastAsia" w:ascii="仿宋" w:hAnsi="仿宋" w:eastAsia="仿宋" w:cs="仿宋"/>
          <w:i w:val="0"/>
          <w:caps w:val="0"/>
          <w:color w:val="2B2B2B"/>
          <w:spacing w:val="0"/>
          <w:sz w:val="32"/>
          <w:szCs w:val="32"/>
          <w:shd w:val="clear" w:fill="FFFFFF"/>
          <w:lang w:val="en-US" w:eastAsia="zh-CN"/>
        </w:rPr>
        <w:t>各项专项资金投入15万元，2018年项目支出共计15万元，占项目支出的100%。主要</w:t>
      </w:r>
      <w:r>
        <w:rPr>
          <w:rFonts w:hint="eastAsia" w:ascii="仿宋" w:hAnsi="仿宋" w:eastAsia="仿宋" w:cs="仿宋"/>
          <w:i w:val="0"/>
          <w:caps w:val="0"/>
          <w:color w:val="2B2B2B"/>
          <w:spacing w:val="0"/>
          <w:sz w:val="32"/>
          <w:szCs w:val="32"/>
          <w:shd w:val="clear" w:fill="FFFFFF"/>
        </w:rPr>
        <w:t>用于科普活动、科学技术普及、其他科学技术交流与合作支出。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rFonts w:hint="eastAsia" w:ascii="仿宋" w:hAnsi="仿宋" w:eastAsia="仿宋" w:cs="仿宋"/>
          <w:b/>
          <w:bCs/>
          <w:i w:val="0"/>
          <w:caps w:val="0"/>
          <w:color w:val="2B2B2B"/>
          <w:spacing w:val="0"/>
          <w:sz w:val="32"/>
          <w:szCs w:val="32"/>
          <w:shd w:val="clear" w:fill="FFFFFF"/>
        </w:rPr>
      </w:pPr>
      <w:r>
        <w:rPr>
          <w:rFonts w:hint="eastAsia" w:ascii="宋体" w:hAnsi="宋体" w:eastAsia="宋体" w:cs="宋体"/>
          <w:b/>
          <w:bCs/>
          <w:sz w:val="32"/>
          <w:szCs w:val="32"/>
        </w:rPr>
        <w:t>四</w:t>
      </w:r>
      <w:r>
        <w:rPr>
          <w:rFonts w:hint="eastAsia" w:ascii="仿宋" w:hAnsi="仿宋" w:eastAsia="仿宋" w:cs="仿宋"/>
          <w:b/>
          <w:bCs/>
          <w:i w:val="0"/>
          <w:caps w:val="0"/>
          <w:color w:val="2B2B2B"/>
          <w:spacing w:val="0"/>
          <w:sz w:val="32"/>
          <w:szCs w:val="32"/>
          <w:shd w:val="clear" w:fill="FFFFFF"/>
        </w:rPr>
        <w:t>、部门整体支出绩效情况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rFonts w:hint="eastAsia" w:ascii="仿宋" w:hAnsi="仿宋" w:eastAsia="仿宋" w:cs="仿宋"/>
          <w:i w:val="0"/>
          <w:caps w:val="0"/>
          <w:color w:val="2B2B2B"/>
          <w:spacing w:val="0"/>
          <w:sz w:val="32"/>
          <w:szCs w:val="32"/>
          <w:shd w:val="clear" w:fill="FFFFFF"/>
          <w:lang w:eastAsia="zh-CN"/>
        </w:rPr>
      </w:pPr>
      <w:r>
        <w:rPr>
          <w:rFonts w:hint="eastAsia" w:ascii="仿宋" w:hAnsi="仿宋" w:eastAsia="仿宋" w:cs="仿宋"/>
          <w:i w:val="0"/>
          <w:caps w:val="0"/>
          <w:color w:val="2B2B2B"/>
          <w:spacing w:val="0"/>
          <w:sz w:val="32"/>
          <w:szCs w:val="32"/>
          <w:shd w:val="clear" w:fill="FFFFFF"/>
        </w:rPr>
        <w:t>根据部门整体支出绩效评价指标体系，我单位</w:t>
      </w:r>
      <w:r>
        <w:rPr>
          <w:rFonts w:hint="eastAsia" w:ascii="仿宋" w:hAnsi="仿宋" w:eastAsia="仿宋" w:cs="仿宋"/>
          <w:i w:val="0"/>
          <w:caps w:val="0"/>
          <w:color w:val="2B2B2B"/>
          <w:spacing w:val="0"/>
          <w:sz w:val="32"/>
          <w:szCs w:val="32"/>
          <w:shd w:val="clear" w:fill="FFFFFF"/>
          <w:lang w:val="en-US" w:eastAsia="zh-CN"/>
        </w:rPr>
        <w:t>2018</w:t>
      </w:r>
      <w:r>
        <w:rPr>
          <w:rFonts w:hint="eastAsia" w:ascii="仿宋" w:hAnsi="仿宋" w:eastAsia="仿宋" w:cs="仿宋"/>
          <w:i w:val="0"/>
          <w:caps w:val="0"/>
          <w:color w:val="2B2B2B"/>
          <w:spacing w:val="0"/>
          <w:sz w:val="32"/>
          <w:szCs w:val="32"/>
          <w:shd w:val="clear" w:fill="FFFFFF"/>
        </w:rPr>
        <w:t>年度评价得分为</w:t>
      </w:r>
      <w:r>
        <w:rPr>
          <w:rFonts w:hint="eastAsia" w:ascii="仿宋" w:hAnsi="仿宋" w:eastAsia="仿宋" w:cs="仿宋"/>
          <w:i w:val="0"/>
          <w:caps w:val="0"/>
          <w:color w:val="2B2B2B"/>
          <w:spacing w:val="0"/>
          <w:sz w:val="32"/>
          <w:szCs w:val="32"/>
          <w:shd w:val="clear" w:fill="FFFFFF"/>
          <w:lang w:val="en-US" w:eastAsia="zh-CN"/>
        </w:rPr>
        <w:t>90</w:t>
      </w:r>
      <w:r>
        <w:rPr>
          <w:rFonts w:hint="eastAsia" w:ascii="仿宋" w:hAnsi="仿宋" w:eastAsia="仿宋" w:cs="仿宋"/>
          <w:i w:val="0"/>
          <w:caps w:val="0"/>
          <w:color w:val="2B2B2B"/>
          <w:spacing w:val="0"/>
          <w:sz w:val="32"/>
          <w:szCs w:val="32"/>
          <w:shd w:val="clear" w:fill="FFFFFF"/>
        </w:rPr>
        <w:t>分</w:t>
      </w:r>
      <w:r>
        <w:rPr>
          <w:rFonts w:hint="eastAsia" w:ascii="仿宋" w:hAnsi="仿宋" w:eastAsia="仿宋" w:cs="仿宋"/>
          <w:i w:val="0"/>
          <w:caps w:val="0"/>
          <w:color w:val="2B2B2B"/>
          <w:spacing w:val="0"/>
          <w:sz w:val="32"/>
          <w:szCs w:val="32"/>
          <w:shd w:val="clear" w:fill="FFFFFF"/>
          <w:lang w:eastAsia="zh-CN"/>
        </w:rPr>
        <w:t>。</w:t>
      </w:r>
      <w:r>
        <w:rPr>
          <w:rFonts w:hint="eastAsia" w:ascii="仿宋" w:hAnsi="仿宋" w:eastAsia="仿宋" w:cs="仿宋"/>
          <w:i w:val="0"/>
          <w:caps w:val="0"/>
          <w:color w:val="2B2B2B"/>
          <w:spacing w:val="0"/>
          <w:sz w:val="32"/>
          <w:szCs w:val="32"/>
          <w:shd w:val="clear" w:fill="FFFFFF"/>
          <w:lang w:val="en-US" w:eastAsia="zh-CN"/>
        </w:rPr>
        <w:t>从整体上看，</w:t>
      </w:r>
      <w:r>
        <w:rPr>
          <w:rFonts w:hint="eastAsia" w:ascii="仿宋" w:hAnsi="仿宋" w:eastAsia="仿宋" w:cs="仿宋"/>
          <w:i w:val="0"/>
          <w:caps w:val="0"/>
          <w:color w:val="2B2B2B"/>
          <w:spacing w:val="0"/>
          <w:sz w:val="32"/>
          <w:szCs w:val="32"/>
          <w:shd w:val="clear" w:fill="FFFFFF"/>
        </w:rPr>
        <w:t>20</w:t>
      </w:r>
      <w:r>
        <w:rPr>
          <w:rFonts w:hint="eastAsia" w:ascii="仿宋" w:hAnsi="仿宋" w:eastAsia="仿宋" w:cs="仿宋"/>
          <w:i w:val="0"/>
          <w:caps w:val="0"/>
          <w:color w:val="2B2B2B"/>
          <w:spacing w:val="0"/>
          <w:sz w:val="32"/>
          <w:szCs w:val="32"/>
          <w:shd w:val="clear" w:fill="FFFFFF"/>
          <w:lang w:val="en-US" w:eastAsia="zh-CN"/>
        </w:rPr>
        <w:t>18</w:t>
      </w:r>
      <w:r>
        <w:rPr>
          <w:rFonts w:hint="eastAsia" w:ascii="仿宋" w:hAnsi="仿宋" w:eastAsia="仿宋" w:cs="仿宋"/>
          <w:i w:val="0"/>
          <w:caps w:val="0"/>
          <w:color w:val="2B2B2B"/>
          <w:spacing w:val="0"/>
          <w:sz w:val="32"/>
          <w:szCs w:val="32"/>
          <w:shd w:val="clear" w:fill="FFFFFF"/>
        </w:rPr>
        <w:t>年我单位</w:t>
      </w:r>
      <w:r>
        <w:rPr>
          <w:rFonts w:hint="eastAsia" w:ascii="仿宋" w:hAnsi="仿宋" w:eastAsia="仿宋" w:cs="仿宋"/>
          <w:i w:val="0"/>
          <w:caps w:val="0"/>
          <w:color w:val="2B2B2B"/>
          <w:spacing w:val="0"/>
          <w:sz w:val="32"/>
          <w:szCs w:val="32"/>
          <w:shd w:val="clear" w:fill="FFFFFF"/>
          <w:lang w:val="en-US" w:eastAsia="zh-CN"/>
        </w:rPr>
        <w:t>资金运行维护决策正确，资金管理规范，项目管理到位，政策执行有力，有效发挥了财政资金的使用效率。（</w:t>
      </w:r>
      <w:r>
        <w:rPr>
          <w:rFonts w:hint="eastAsia" w:ascii="仿宋" w:hAnsi="仿宋" w:eastAsia="仿宋" w:cs="仿宋"/>
          <w:i w:val="0"/>
          <w:caps w:val="0"/>
          <w:color w:val="2B2B2B"/>
          <w:spacing w:val="0"/>
          <w:sz w:val="32"/>
          <w:szCs w:val="32"/>
          <w:shd w:val="clear" w:fill="FFFFFF"/>
        </w:rPr>
        <w:t>具体情况见附件</w:t>
      </w:r>
      <w:r>
        <w:rPr>
          <w:rFonts w:hint="eastAsia" w:ascii="仿宋" w:hAnsi="仿宋" w:eastAsia="仿宋" w:cs="仿宋"/>
          <w:i w:val="0"/>
          <w:caps w:val="0"/>
          <w:color w:val="2B2B2B"/>
          <w:spacing w:val="0"/>
          <w:sz w:val="32"/>
          <w:szCs w:val="32"/>
          <w:shd w:val="clear" w:fill="FFFFFF"/>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22" w:firstLineChars="200"/>
        <w:jc w:val="left"/>
        <w:textAlignment w:val="auto"/>
        <w:rPr>
          <w:rFonts w:hint="eastAsia" w:ascii="仿宋" w:hAnsi="仿宋" w:eastAsia="仿宋" w:cs="仿宋"/>
          <w:b/>
          <w:bCs/>
          <w:i w:val="0"/>
          <w:caps w:val="0"/>
          <w:color w:val="2B2B2B"/>
          <w:spacing w:val="0"/>
          <w:kern w:val="0"/>
          <w:sz w:val="32"/>
          <w:szCs w:val="32"/>
          <w:shd w:val="clear" w:fill="FFFFFF"/>
          <w:lang w:val="en-US" w:eastAsia="zh-CN" w:bidi="ar"/>
        </w:rPr>
      </w:pPr>
      <w:r>
        <w:rPr>
          <w:rFonts w:hint="eastAsia" w:ascii="仿宋" w:hAnsi="仿宋" w:eastAsia="仿宋" w:cs="仿宋"/>
          <w:b/>
          <w:bCs/>
          <w:i w:val="0"/>
          <w:caps w:val="0"/>
          <w:color w:val="2B2B2B"/>
          <w:spacing w:val="0"/>
          <w:kern w:val="0"/>
          <w:sz w:val="32"/>
          <w:szCs w:val="32"/>
          <w:shd w:val="clear" w:fill="FFFFFF"/>
          <w:lang w:val="en-US" w:eastAsia="zh-CN" w:bidi="ar"/>
        </w:rPr>
        <w:t>存在的主要问题及下一步改进措施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11" w:firstLineChars="10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（一）存在的主要问题</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1、预算编制与实际支出存在差异，有待提高预算收支管理水平。</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2、财务管理制度有待健全完善，从而使各项管理制度得到有效执行。</w:t>
      </w:r>
    </w:p>
    <w:p>
      <w:pPr>
        <w:keepNext w:val="0"/>
        <w:keepLines w:val="0"/>
        <w:pageBreakBefore w:val="0"/>
        <w:widowControl/>
        <w:kinsoku/>
        <w:wordWrap/>
        <w:overflowPunct/>
        <w:topLinePunct w:val="0"/>
        <w:autoSpaceDE/>
        <w:autoSpaceDN/>
        <w:bidi w:val="0"/>
        <w:adjustRightInd/>
        <w:snapToGrid/>
        <w:spacing w:line="360" w:lineRule="auto"/>
        <w:ind w:firstLine="311" w:firstLineChars="100"/>
        <w:jc w:val="left"/>
        <w:textAlignment w:val="auto"/>
        <w:rPr>
          <w:rFonts w:hint="default"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（二）改进措施</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1、进一步加强单位各股室的预算管理意识，严格按照预算编制的相关制度和要求进行预算编制。</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2、对相关人员加强培训，特别是针对《预算法》、《行政事业单位会计制度》等学习培训，规范部门预算收支核算，切实提高部门预算收支管理水平。</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3、加强单位财务管理，健全单位财务管理制度体系，规范单位财务行为。</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b/>
          <w:bCs/>
          <w:i w:val="0"/>
          <w:caps w:val="0"/>
          <w:color w:val="2B2B2B"/>
          <w:spacing w:val="0"/>
          <w:kern w:val="0"/>
          <w:sz w:val="32"/>
          <w:szCs w:val="32"/>
          <w:shd w:val="clear" w:fill="FFFFFF"/>
          <w:lang w:val="en-US" w:eastAsia="zh-CN" w:bidi="ar"/>
        </w:rPr>
      </w:pPr>
      <w:r>
        <w:rPr>
          <w:rFonts w:hint="eastAsia" w:ascii="仿宋" w:hAnsi="仿宋" w:eastAsia="仿宋" w:cs="仿宋"/>
          <w:b/>
          <w:bCs/>
          <w:i w:val="0"/>
          <w:caps w:val="0"/>
          <w:color w:val="2B2B2B"/>
          <w:spacing w:val="0"/>
          <w:kern w:val="0"/>
          <w:sz w:val="32"/>
          <w:szCs w:val="32"/>
          <w:shd w:val="clear" w:fill="FFFFFF"/>
          <w:lang w:val="en-US" w:eastAsia="zh-CN" w:bidi="ar"/>
        </w:rPr>
        <w:t>六、绩效自评结果拟应用和公开情况</w:t>
      </w:r>
    </w:p>
    <w:p>
      <w:pPr>
        <w:keepNext w:val="0"/>
        <w:keepLines w:val="0"/>
        <w:pageBreakBefore w:val="0"/>
        <w:widowControl/>
        <w:kinsoku/>
        <w:wordWrap/>
        <w:overflowPunct/>
        <w:topLinePunct w:val="0"/>
        <w:autoSpaceDE/>
        <w:autoSpaceDN/>
        <w:bidi w:val="0"/>
        <w:adjustRightInd/>
        <w:snapToGrid/>
        <w:spacing w:line="360" w:lineRule="auto"/>
        <w:ind w:firstLine="778" w:firstLineChars="250"/>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绩效自评结果得分90分，详细情况按规定公开，接受社会监督。</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七、其他需要说明的情况</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无</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附件：1.部门整体支出绩效评价指标评分表</w:t>
      </w:r>
    </w:p>
    <w:p>
      <w:pPr>
        <w:keepNext w:val="0"/>
        <w:keepLines w:val="0"/>
        <w:pageBreakBefore w:val="0"/>
        <w:widowControl/>
        <w:kinsoku/>
        <w:wordWrap/>
        <w:overflowPunct/>
        <w:topLinePunct w:val="0"/>
        <w:autoSpaceDE/>
        <w:autoSpaceDN/>
        <w:bidi w:val="0"/>
        <w:adjustRightInd/>
        <w:snapToGrid/>
        <w:spacing w:line="360" w:lineRule="auto"/>
        <w:ind w:firstLine="1580" w:firstLineChars="508"/>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2.部门整体支出绩效评价基础数据表</w:t>
      </w:r>
    </w:p>
    <w:p>
      <w:pPr>
        <w:keepNext w:val="0"/>
        <w:keepLines w:val="0"/>
        <w:pageBreakBefore w:val="0"/>
        <w:widowControl/>
        <w:kinsoku/>
        <w:wordWrap/>
        <w:overflowPunct/>
        <w:topLinePunct w:val="0"/>
        <w:autoSpaceDE/>
        <w:autoSpaceDN/>
        <w:bidi w:val="0"/>
        <w:adjustRightInd/>
        <w:snapToGrid/>
        <w:spacing w:line="360" w:lineRule="auto"/>
        <w:ind w:firstLine="1580" w:firstLineChars="508"/>
        <w:jc w:val="left"/>
        <w:textAlignment w:val="auto"/>
        <w:rPr>
          <w:rFonts w:hint="eastAsia" w:ascii="仿宋" w:hAnsi="仿宋" w:eastAsia="仿宋" w:cs="仿宋"/>
          <w:i w:val="0"/>
          <w:caps w:val="0"/>
          <w:color w:val="2B2B2B"/>
          <w:spacing w:val="0"/>
          <w:kern w:val="0"/>
          <w:sz w:val="32"/>
          <w:szCs w:val="32"/>
          <w:shd w:val="clear" w:fill="FFFFFF"/>
          <w:lang w:val="en-US" w:eastAsia="zh-CN" w:bidi="ar"/>
        </w:rPr>
      </w:pPr>
      <w:r>
        <w:rPr>
          <w:rFonts w:hint="eastAsia" w:ascii="仿宋" w:hAnsi="仿宋" w:eastAsia="仿宋" w:cs="仿宋"/>
          <w:i w:val="0"/>
          <w:caps w:val="0"/>
          <w:color w:val="2B2B2B"/>
          <w:spacing w:val="0"/>
          <w:kern w:val="0"/>
          <w:sz w:val="32"/>
          <w:szCs w:val="32"/>
          <w:shd w:val="clear" w:fill="FFFFFF"/>
          <w:lang w:val="en-US" w:eastAsia="zh-CN" w:bidi="ar"/>
        </w:rPr>
        <w:t>3.2018年度县级专项资金绩效目标自评表</w:t>
      </w:r>
    </w:p>
    <w:p>
      <w:pPr>
        <w:spacing w:afterLines="100"/>
        <w:jc w:val="center"/>
        <w:rPr>
          <w:rFonts w:hint="eastAsia" w:ascii="仿宋" w:hAnsi="仿宋" w:eastAsia="仿宋" w:cs="仿宋"/>
          <w:kern w:val="0"/>
          <w:sz w:val="24"/>
        </w:rPr>
      </w:pPr>
      <w:r>
        <w:rPr>
          <w:rFonts w:hint="eastAsia" w:ascii="仿宋" w:hAnsi="仿宋" w:eastAsia="仿宋" w:cs="仿宋"/>
          <w:i w:val="0"/>
          <w:caps w:val="0"/>
          <w:color w:val="2B2B2B"/>
          <w:spacing w:val="0"/>
          <w:kern w:val="0"/>
          <w:sz w:val="32"/>
          <w:szCs w:val="32"/>
          <w:shd w:val="clear" w:fill="FFFFFF"/>
          <w:lang w:val="en-US" w:eastAsia="zh-CN" w:bidi="ar"/>
        </w:rPr>
        <w:br w:type="page"/>
      </w:r>
      <w:r>
        <w:rPr>
          <w:rFonts w:hint="eastAsia" w:ascii="仿宋" w:hAnsi="仿宋" w:eastAsia="仿宋" w:cs="仿宋"/>
          <w:kern w:val="0"/>
          <w:sz w:val="36"/>
          <w:szCs w:val="36"/>
        </w:rPr>
        <w:t>部门整体支出绩效评价指标评分表</w:t>
      </w:r>
    </w:p>
    <w:tbl>
      <w:tblPr>
        <w:tblStyle w:val="8"/>
        <w:tblW w:w="0" w:type="auto"/>
        <w:jc w:val="center"/>
        <w:tblLayout w:type="autofit"/>
        <w:tblCellMar>
          <w:top w:w="0" w:type="dxa"/>
          <w:left w:w="108" w:type="dxa"/>
          <w:bottom w:w="0" w:type="dxa"/>
          <w:right w:w="108" w:type="dxa"/>
        </w:tblCellMar>
      </w:tblPr>
      <w:tblGrid>
        <w:gridCol w:w="1774"/>
        <w:gridCol w:w="476"/>
        <w:gridCol w:w="816"/>
        <w:gridCol w:w="426"/>
        <w:gridCol w:w="3014"/>
        <w:gridCol w:w="2160"/>
        <w:gridCol w:w="547"/>
      </w:tblGrid>
      <w:tr>
        <w:tblPrEx>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一级指标</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二级指标</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三级</w:t>
            </w: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指标</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分值</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评价标准</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指标说明</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得分</w:t>
            </w:r>
          </w:p>
        </w:tc>
      </w:tr>
      <w:tr>
        <w:tblPrEx>
          <w:tblCellMar>
            <w:top w:w="0" w:type="dxa"/>
            <w:left w:w="108" w:type="dxa"/>
            <w:bottom w:w="0" w:type="dxa"/>
            <w:right w:w="108" w:type="dxa"/>
          </w:tblCellMar>
        </w:tblPrEx>
        <w:trPr>
          <w:trHeight w:val="1814"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投入</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10分</w:t>
            </w:r>
          </w:p>
        </w:tc>
        <w:tc>
          <w:tcPr>
            <w:tcW w:w="0" w:type="auto"/>
            <w:vMerge w:val="restar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预算配置</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在职人员控制率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nil"/>
              <w:right w:val="nil"/>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以100%为标准。在职人员控制率≦100%，计5分；每超过一个百分点扣0.5分，扣完为止。</w:t>
            </w:r>
          </w:p>
        </w:tc>
        <w:tc>
          <w:tcPr>
            <w:tcW w:w="0" w:type="auto"/>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在职人员控制率=（在职人员数/编制数）×100%，在职人员数：部门（单位）实际在职人数，以财政局确定的部门决算编制口径为准。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编制数：机构编制部门核定批复的部门（单位）的人员编制数。</w:t>
            </w:r>
          </w:p>
        </w:tc>
        <w:tc>
          <w:tcPr>
            <w:tcW w:w="0" w:type="auto"/>
            <w:tcBorders>
              <w:top w:val="nil"/>
              <w:left w:val="nil"/>
              <w:bottom w:val="single" w:color="auto" w:sz="4" w:space="0"/>
              <w:right w:val="single" w:color="auto" w:sz="4" w:space="0"/>
            </w:tcBorders>
            <w:noWrap w:val="0"/>
            <w:vAlign w:val="center"/>
          </w:tcPr>
          <w:p>
            <w:pPr>
              <w:widowControl/>
              <w:ind w:firstLine="231" w:firstLineChars="10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p>
            <w:pPr>
              <w:widowControl/>
              <w:jc w:val="center"/>
              <w:rPr>
                <w:rFonts w:hint="eastAsia" w:ascii="仿宋" w:hAnsi="仿宋" w:eastAsia="仿宋" w:cs="仿宋"/>
                <w:kern w:val="0"/>
                <w:sz w:val="24"/>
              </w:rPr>
            </w:pPr>
          </w:p>
        </w:tc>
      </w:tr>
      <w:tr>
        <w:tblPrEx>
          <w:tblCellMar>
            <w:top w:w="0" w:type="dxa"/>
            <w:left w:w="108" w:type="dxa"/>
            <w:bottom w:w="0" w:type="dxa"/>
            <w:right w:w="108" w:type="dxa"/>
          </w:tblCellMar>
        </w:tblPrEx>
        <w:trPr>
          <w:trHeight w:val="92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“三公经费”变动率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“三公经费”变动率≦0,计8分；“三公经费”＞0，每超过一个百分点扣0.8分，扣完为止。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“三公经费”变动率=[（本年度“三公经费”预算数-上年度“三公经费”预算数）/上年度“三公经费”预算数]×100%</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过                                                                                                                          程</w:t>
            </w: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60分</w:t>
            </w: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p>
            <w:pPr>
              <w:jc w:val="left"/>
              <w:rPr>
                <w:rFonts w:hint="eastAsia" w:ascii="仿宋" w:hAnsi="仿宋" w:eastAsia="仿宋" w:cs="仿宋"/>
                <w:kern w:val="0"/>
                <w:sz w:val="20"/>
                <w:szCs w:val="20"/>
              </w:rPr>
            </w:pP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预算执行</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预算完成率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100%计满分，每低于5%扣2分，扣完为止。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预算完成率=（上年结转+年初预算+本年追加预算-年末结余）/（上年结转+年初预算+本年追加预算）×100%。</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r>
      <w:tr>
        <w:tblPrEx>
          <w:tblCellMar>
            <w:top w:w="0" w:type="dxa"/>
            <w:left w:w="108" w:type="dxa"/>
            <w:bottom w:w="0" w:type="dxa"/>
            <w:right w:w="108" w:type="dxa"/>
          </w:tblCellMar>
        </w:tblPrEx>
        <w:trPr>
          <w:trHeight w:val="1273"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预算控制率=0，计5分；0-10%（含），计4分；10-20%（含），计3分；20-30%（含），计2分；大于30%不得分。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预算控制率=（本年追加预算/年初预算）×100%。</w:t>
            </w:r>
          </w:p>
        </w:tc>
        <w:tc>
          <w:tcPr>
            <w:tcW w:w="0" w:type="auto"/>
            <w:tcBorders>
              <w:top w:val="nil"/>
              <w:left w:val="nil"/>
              <w:bottom w:val="single" w:color="auto" w:sz="4" w:space="0"/>
              <w:right w:val="single" w:color="auto" w:sz="4" w:space="0"/>
            </w:tcBorders>
            <w:noWrap w:val="0"/>
            <w:vAlign w:val="center"/>
          </w:tcPr>
          <w:p>
            <w:pPr>
              <w:widowControl/>
              <w:ind w:firstLine="231" w:firstLineChars="10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新建楼堂馆所面积控制率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100%以下（含）计满分，每超出5%扣2分，扣完为止。没有楼堂馆所项目的部门按满分计算。</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楼堂馆所面积控制率=实际建设面积/批准建设面积×100%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该指标以2017年完工的新建楼堂馆所为评价内容。</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新建楼堂馆所投资概算控制率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100%以下（含）计满分，每超出5%扣2分，扣完为止。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楼堂馆所投资预算控制率=实际投资金额/批准投资金额×100% 。</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该指标以2017年完工的新建楼堂馆所为评价内容。</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p>
            <w:pPr>
              <w:widowControl/>
              <w:jc w:val="center"/>
              <w:rPr>
                <w:rFonts w:hint="eastAsia" w:ascii="仿宋" w:hAnsi="仿宋" w:eastAsia="仿宋" w:cs="仿宋"/>
                <w:kern w:val="0"/>
                <w:sz w:val="24"/>
                <w:lang w:val="en-US" w:eastAsia="zh-CN"/>
              </w:rPr>
            </w:pPr>
          </w:p>
        </w:tc>
      </w:tr>
      <w:tr>
        <w:tblPrEx>
          <w:tblCellMar>
            <w:top w:w="0" w:type="dxa"/>
            <w:left w:w="108" w:type="dxa"/>
            <w:bottom w:w="0" w:type="dxa"/>
            <w:right w:w="108" w:type="dxa"/>
          </w:tblCellMar>
        </w:tblPrEx>
        <w:trPr>
          <w:trHeight w:val="1263"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预算管理</w:t>
            </w: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40分</w:t>
            </w:r>
          </w:p>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公用经费控制率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100%以下（含）计满分，每超出1%扣1分，扣完为止。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公用经费控制率=（实际支出公用经费总额/预算安排公用经费总额）×100%。</w:t>
            </w:r>
            <w:r>
              <w:rPr>
                <w:rFonts w:hint="eastAsia" w:ascii="仿宋" w:hAnsi="仿宋" w:eastAsia="仿宋" w:cs="仿宋"/>
                <w:kern w:val="0"/>
                <w:sz w:val="20"/>
                <w:szCs w:val="20"/>
              </w:rPr>
              <w:br w:type="textWrapping"/>
            </w:r>
            <w:r>
              <w:rPr>
                <w:rFonts w:hint="eastAsia" w:ascii="仿宋" w:hAnsi="仿宋" w:eastAsia="仿宋" w:cs="仿宋"/>
                <w:kern w:val="0"/>
                <w:sz w:val="20"/>
                <w:szCs w:val="20"/>
              </w:rPr>
              <w:t>公用经费支出是指部门基本支出中的一般商品和服务支出。</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tblPrEx>
          <w:tblCellMar>
            <w:top w:w="0" w:type="dxa"/>
            <w:left w:w="108" w:type="dxa"/>
            <w:bottom w:w="0" w:type="dxa"/>
            <w:right w:w="108" w:type="dxa"/>
          </w:tblCellMar>
        </w:tblPrEx>
        <w:trPr>
          <w:trHeight w:val="1223"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“三公经费”控制率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7</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100%以下（含）计满分，每超出1%扣1分，扣完为止。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“三公经费”控制率-（“三公经费”实际支出数/“三公经费”预算安排数）×100%。</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left w:val="single" w:color="auto"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政府采购执行率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100%计满分，每超过（降低）5%扣2分。扣完为止。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政府采购执行率=（实际政府采购金额/政府采购预算数）×100%</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0" w:type="auto"/>
            <w:vMerge w:val="continue"/>
            <w:tcBorders>
              <w:left w:val="single" w:color="auto" w:sz="4" w:space="0"/>
              <w:bottom w:val="single" w:color="000000" w:sz="4" w:space="0"/>
              <w:right w:val="single" w:color="auto" w:sz="4" w:space="0"/>
            </w:tcBorders>
            <w:noWrap w:val="0"/>
            <w:vAlign w:val="center"/>
          </w:tcPr>
          <w:p>
            <w:pPr>
              <w:jc w:val="left"/>
              <w:rPr>
                <w:rFonts w:hint="eastAsia" w:ascii="仿宋" w:hAnsi="仿宋" w:eastAsia="仿宋" w:cs="仿宋"/>
                <w:kern w:val="0"/>
                <w:sz w:val="20"/>
                <w:szCs w:val="20"/>
              </w:rPr>
            </w:pP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管理制度健全性</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①有内部财务管理制度、会计核算制度等管理制度，2分；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②有本部门厉行节约制度,2分；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③相关管理制度合法、合规、完整，2分；④相关管理制度得到有效执行，2分。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tblPrEx>
          <w:tblCellMar>
            <w:top w:w="0" w:type="dxa"/>
            <w:left w:w="108" w:type="dxa"/>
            <w:bottom w:w="0" w:type="dxa"/>
            <w:right w:w="108" w:type="dxa"/>
          </w:tblCellMar>
        </w:tblPrEx>
        <w:trPr>
          <w:trHeight w:val="4520" w:hRule="atLeast"/>
          <w:jc w:val="center"/>
        </w:trPr>
        <w:tc>
          <w:tcPr>
            <w:tcW w:w="0" w:type="auto"/>
            <w:vMerge w:val="restart"/>
            <w:tcBorders>
              <w:top w:val="nil"/>
              <w:left w:val="single" w:color="auto" w:sz="4" w:space="0"/>
              <w:right w:val="single" w:color="auto" w:sz="4" w:space="0"/>
            </w:tcBorders>
            <w:noWrap w:val="0"/>
            <w:vAlign w:val="center"/>
          </w:tcPr>
          <w:p>
            <w:pPr>
              <w:jc w:val="center"/>
              <w:rPr>
                <w:rFonts w:hint="eastAsia" w:ascii="仿宋" w:hAnsi="仿宋" w:eastAsia="仿宋" w:cs="仿宋"/>
                <w:kern w:val="0"/>
                <w:sz w:val="20"/>
                <w:szCs w:val="20"/>
              </w:rPr>
            </w:pPr>
            <w:r>
              <w:rPr>
                <w:rFonts w:hint="eastAsia" w:ascii="仿宋" w:hAnsi="仿宋" w:eastAsia="仿宋" w:cs="仿宋"/>
                <w:kern w:val="0"/>
                <w:sz w:val="20"/>
                <w:szCs w:val="20"/>
              </w:rPr>
              <w:t>过                                                                                                                                       程</w:t>
            </w:r>
          </w:p>
          <w:p>
            <w:pPr>
              <w:jc w:val="left"/>
              <w:rPr>
                <w:rFonts w:hint="eastAsia" w:ascii="仿宋" w:hAnsi="仿宋" w:eastAsia="仿宋" w:cs="仿宋"/>
                <w:kern w:val="0"/>
                <w:sz w:val="20"/>
                <w:szCs w:val="20"/>
              </w:rPr>
            </w:pP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60分</w:t>
            </w:r>
          </w:p>
        </w:tc>
        <w:tc>
          <w:tcPr>
            <w:tcW w:w="0" w:type="auto"/>
            <w:vMerge w:val="restart"/>
            <w:tcBorders>
              <w:top w:val="nil"/>
              <w:left w:val="nil"/>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预算管理</w:t>
            </w:r>
          </w:p>
          <w:p>
            <w:pPr>
              <w:widowControl/>
              <w:jc w:val="left"/>
              <w:rPr>
                <w:rFonts w:hint="eastAsia" w:ascii="仿宋" w:hAnsi="仿宋" w:eastAsia="仿宋" w:cs="仿宋"/>
                <w:kern w:val="0"/>
                <w:sz w:val="20"/>
                <w:szCs w:val="20"/>
              </w:rPr>
            </w:pP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40分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资金使用合规性</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以上情况每出现一例不符合要求的扣1分，扣完为止。</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0" w:type="auto"/>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预决算信息公开性</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预决算信息是指与部门预算、执行、决算、监督、绩效等管理相关的信息。</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产出及效率</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30分</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职责履行</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8分</w:t>
            </w:r>
          </w:p>
        </w:tc>
        <w:tc>
          <w:tcPr>
            <w:tcW w:w="0" w:type="auto"/>
            <w:tcBorders>
              <w:top w:val="nil"/>
              <w:left w:val="nil"/>
              <w:bottom w:val="nil"/>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重点工作实际完成率</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根据市绩效办2019年对各部门为民办实事和部门重点工程与重点工作考核分数折算。</w:t>
            </w:r>
            <w:r>
              <w:rPr>
                <w:rFonts w:hint="eastAsia" w:ascii="仿宋" w:hAnsi="仿宋" w:eastAsia="仿宋" w:cs="仿宋"/>
                <w:kern w:val="0"/>
                <w:sz w:val="20"/>
                <w:szCs w:val="20"/>
              </w:rPr>
              <w:br w:type="textWrapping"/>
            </w:r>
            <w:r>
              <w:rPr>
                <w:rFonts w:hint="eastAsia" w:ascii="仿宋" w:hAnsi="仿宋" w:eastAsia="仿宋" w:cs="仿宋"/>
                <w:kern w:val="0"/>
                <w:sz w:val="20"/>
                <w:szCs w:val="20"/>
              </w:rPr>
              <w:t>该项得分=（绩效办对应部分考核得分/该部分总分）×8。</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8</w:t>
            </w:r>
          </w:p>
          <w:p>
            <w:pPr>
              <w:widowControl/>
              <w:jc w:val="center"/>
              <w:rPr>
                <w:rFonts w:hint="eastAsia" w:ascii="仿宋" w:hAnsi="仿宋" w:eastAsia="仿宋" w:cs="仿宋"/>
                <w:kern w:val="0"/>
                <w:sz w:val="24"/>
                <w:lang w:val="en-US" w:eastAsia="zh-CN"/>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履职 效益</w:t>
            </w:r>
          </w:p>
          <w:p>
            <w:pPr>
              <w:widowControl/>
              <w:jc w:val="center"/>
              <w:rPr>
                <w:rFonts w:hint="eastAsia" w:ascii="仿宋" w:hAnsi="仿宋" w:eastAsia="仿宋" w:cs="仿宋"/>
                <w:kern w:val="0"/>
                <w:sz w:val="20"/>
                <w:szCs w:val="20"/>
              </w:rPr>
            </w:pPr>
          </w:p>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22分</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经济效益</w:t>
            </w:r>
          </w:p>
        </w:tc>
        <w:tc>
          <w:tcPr>
            <w:tcW w:w="0" w:type="auto"/>
            <w:vMerge w:val="restart"/>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w:t>
            </w:r>
          </w:p>
        </w:tc>
        <w:tc>
          <w:tcPr>
            <w:tcW w:w="0" w:type="auto"/>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此两项指标为设置部门整体支出绩效评价指标时必须考虑的共性要素，可根据部门实际情况有选择的进行设置，并将其细化为相应的个性化指标。</w:t>
            </w:r>
          </w:p>
        </w:tc>
        <w:tc>
          <w:tcPr>
            <w:tcW w:w="0" w:type="auto"/>
            <w:tcBorders>
              <w:top w:val="nil"/>
              <w:left w:val="nil"/>
              <w:bottom w:val="nil"/>
              <w:right w:val="single" w:color="auto" w:sz="4" w:space="0"/>
            </w:tcBorders>
            <w:noWrap w:val="0"/>
            <w:vAlign w:val="center"/>
          </w:tcPr>
          <w:p>
            <w:pPr>
              <w:widowControl/>
              <w:jc w:val="center"/>
              <w:rPr>
                <w:rFonts w:hint="eastAsia" w:ascii="仿宋" w:hAnsi="仿宋" w:eastAsia="仿宋" w:cs="仿宋"/>
                <w:kern w:val="0"/>
                <w:sz w:val="24"/>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社会效益</w:t>
            </w:r>
          </w:p>
        </w:tc>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nil"/>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9</w:t>
            </w:r>
          </w:p>
        </w:tc>
      </w:tr>
      <w:tr>
        <w:tblPrEx>
          <w:tblCellMar>
            <w:top w:w="0" w:type="dxa"/>
            <w:left w:w="108" w:type="dxa"/>
            <w:bottom w:w="0" w:type="dxa"/>
            <w:right w:w="108" w:type="dxa"/>
          </w:tblCellMar>
        </w:tblPrEx>
        <w:trPr>
          <w:trHeight w:val="1629"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行政效能</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促进部门改进文风会风，加强经费及资产管理，推动网上办事，提高行政效率，降低行政成本效果较好的计6分；一般3分；无效果或者效果不明显0分。</w:t>
            </w:r>
          </w:p>
        </w:tc>
        <w:tc>
          <w:tcPr>
            <w:tcW w:w="0" w:type="auto"/>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根据部门自评材料评定。</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r>
      <w:tr>
        <w:tblPrEx>
          <w:tblCellMar>
            <w:top w:w="0" w:type="dxa"/>
            <w:left w:w="108" w:type="dxa"/>
            <w:bottom w:w="0" w:type="dxa"/>
            <w:right w:w="108" w:type="dxa"/>
          </w:tblCellMar>
        </w:tblPrEx>
        <w:trPr>
          <w:trHeight w:val="1255" w:hRule="atLeast"/>
          <w:jc w:val="center"/>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 w:val="20"/>
                <w:szCs w:val="20"/>
              </w:rPr>
            </w:pP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社会公众或服务对象满意度</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90%（含）以上计6分；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80%（含）-90%，计4分；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70%（含）-80%，计2分；</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低于70%计0分。</w:t>
            </w:r>
          </w:p>
        </w:tc>
        <w:tc>
          <w:tcPr>
            <w:tcW w:w="0" w:type="auto"/>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社会公众或服务对象是指部门（单位）履行职责而影响到的部门、群体或个人，一般采取社会调查的方式。</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kern w:val="0"/>
          <w:sz w:val="32"/>
          <w:szCs w:val="32"/>
        </w:rPr>
      </w:pPr>
      <w:r>
        <w:rPr>
          <w:rFonts w:hint="eastAsia" w:ascii="仿宋" w:hAnsi="仿宋" w:eastAsia="仿宋" w:cs="仿宋"/>
          <w:kern w:val="0"/>
          <w:sz w:val="32"/>
          <w:szCs w:val="32"/>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填报单位：</w:t>
      </w:r>
      <w:r>
        <w:rPr>
          <w:rFonts w:hint="eastAsia" w:ascii="仿宋" w:hAnsi="仿宋" w:eastAsia="仿宋" w:cs="仿宋"/>
          <w:kern w:val="0"/>
          <w:sz w:val="24"/>
          <w:szCs w:val="24"/>
          <w:lang w:eastAsia="zh-CN"/>
        </w:rPr>
        <w:t>衡山县</w:t>
      </w:r>
      <w:r>
        <w:rPr>
          <w:rFonts w:hint="eastAsia" w:ascii="仿宋" w:hAnsi="仿宋" w:eastAsia="仿宋" w:cs="仿宋"/>
          <w:kern w:val="0"/>
          <w:sz w:val="24"/>
          <w:szCs w:val="24"/>
          <w:lang w:val="en-US" w:eastAsia="zh-CN"/>
        </w:rPr>
        <w:t>科学技术协会</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单位：万元</w:t>
      </w:r>
    </w:p>
    <w:tbl>
      <w:tblPr>
        <w:tblStyle w:val="8"/>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4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18</w:t>
            </w:r>
            <w:r>
              <w:rPr>
                <w:rFonts w:hint="eastAsia" w:ascii="仿宋" w:hAnsi="仿宋" w:eastAsia="仿宋" w:cs="仿宋"/>
                <w:b/>
                <w:bCs/>
                <w:kern w:val="0"/>
                <w:sz w:val="21"/>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trHeight w:val="28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37.5%</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17</w:t>
            </w:r>
            <w:r>
              <w:rPr>
                <w:rFonts w:hint="eastAsia" w:ascii="仿宋" w:hAnsi="仿宋" w:eastAsia="仿宋" w:cs="仿宋"/>
                <w:b/>
                <w:bCs/>
                <w:kern w:val="0"/>
                <w:sz w:val="21"/>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18</w:t>
            </w:r>
            <w:r>
              <w:rPr>
                <w:rFonts w:hint="eastAsia" w:ascii="仿宋" w:hAnsi="仿宋" w:eastAsia="仿宋" w:cs="仿宋"/>
                <w:b/>
                <w:bCs/>
                <w:kern w:val="0"/>
                <w:sz w:val="21"/>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18</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0.28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01" w:firstLineChars="100"/>
              <w:jc w:val="left"/>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ind w:firstLine="402" w:firstLineChars="20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0.28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5.99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科学普及活动经费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5.99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、省、市级专项资金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bidi="ar-SA"/>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31.02</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35.41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1.25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1.39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0.27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2.75</w:t>
            </w:r>
          </w:p>
        </w:tc>
      </w:tr>
      <w:tr>
        <w:tblPrEx>
          <w:tblCellMar>
            <w:top w:w="0" w:type="dxa"/>
            <w:left w:w="108" w:type="dxa"/>
            <w:bottom w:w="0" w:type="dxa"/>
            <w:right w:w="108" w:type="dxa"/>
          </w:tblCellMar>
        </w:tblPrEx>
        <w:trPr>
          <w:trHeight w:val="16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lang w:val="en-US"/>
              </w:rPr>
            </w:pPr>
          </w:p>
        </w:tc>
      </w:tr>
      <w:tr>
        <w:tblPrEx>
          <w:tblCellMar>
            <w:top w:w="0" w:type="dxa"/>
            <w:left w:w="108" w:type="dxa"/>
            <w:bottom w:w="0" w:type="dxa"/>
            <w:right w:w="108" w:type="dxa"/>
          </w:tblCellMar>
        </w:tblPrEx>
        <w:trPr>
          <w:trHeight w:val="37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846"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楼堂馆所控制情况</w:t>
            </w:r>
            <w:r>
              <w:rPr>
                <w:rFonts w:hint="eastAsia" w:ascii="仿宋" w:hAnsi="仿宋" w:eastAsia="仿宋" w:cs="仿宋"/>
                <w:kern w:val="0"/>
                <w:sz w:val="21"/>
                <w:szCs w:val="21"/>
              </w:rPr>
              <w:br w:type="textWrapping"/>
            </w:r>
            <w:r>
              <w:rPr>
                <w:rFonts w:hint="eastAsia" w:ascii="仿宋" w:hAnsi="仿宋" w:eastAsia="仿宋" w:cs="仿宋"/>
                <w:kern w:val="0"/>
                <w:sz w:val="21"/>
                <w:szCs w:val="21"/>
              </w:rPr>
              <w:t>（20</w:t>
            </w:r>
            <w:r>
              <w:rPr>
                <w:rFonts w:hint="eastAsia" w:ascii="仿宋" w:hAnsi="仿宋" w:eastAsia="仿宋" w:cs="仿宋"/>
                <w:kern w:val="0"/>
                <w:sz w:val="21"/>
                <w:szCs w:val="21"/>
                <w:lang w:val="en-US" w:eastAsia="zh-CN"/>
              </w:rPr>
              <w:t>20</w:t>
            </w:r>
            <w:r>
              <w:rPr>
                <w:rFonts w:hint="eastAsia" w:ascii="仿宋" w:hAnsi="仿宋" w:eastAsia="仿宋" w:cs="仿宋"/>
                <w:kern w:val="0"/>
                <w:sz w:val="21"/>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112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CellMar>
            <w:top w:w="0" w:type="dxa"/>
            <w:left w:w="108" w:type="dxa"/>
            <w:bottom w:w="0" w:type="dxa"/>
            <w:right w:w="108" w:type="dxa"/>
          </w:tblCellMar>
        </w:tblPrEx>
        <w:trPr>
          <w:trHeight w:val="27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118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41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bl>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说明：“项目支出”需要填报基本支出以外的所有项目支出情况，包括业务工作项目、运行维护项目和市级专项资金等；“公用经费”填报基本支出中的一般商品和服务支出。</w:t>
      </w:r>
    </w:p>
    <w:p>
      <w:pPr>
        <w:widowControl/>
        <w:jc w:val="center"/>
        <w:rPr>
          <w:rFonts w:hint="eastAsia" w:ascii="仿宋" w:hAnsi="仿宋" w:eastAsia="仿宋" w:cs="仿宋"/>
          <w:kern w:val="0"/>
          <w:sz w:val="30"/>
          <w:szCs w:val="30"/>
        </w:rPr>
      </w:pPr>
    </w:p>
    <w:p>
      <w:pPr>
        <w:widowControl/>
        <w:jc w:val="center"/>
        <w:rPr>
          <w:rFonts w:hint="eastAsia" w:ascii="仿宋" w:hAnsi="仿宋" w:eastAsia="仿宋" w:cs="仿宋"/>
          <w:kern w:val="0"/>
          <w:sz w:val="30"/>
          <w:szCs w:val="30"/>
        </w:rPr>
      </w:pPr>
      <w:r>
        <w:rPr>
          <w:rFonts w:hint="eastAsia" w:ascii="仿宋" w:hAnsi="仿宋" w:eastAsia="仿宋" w:cs="仿宋"/>
          <w:kern w:val="0"/>
          <w:sz w:val="30"/>
          <w:szCs w:val="30"/>
        </w:rPr>
        <w:t>20</w:t>
      </w:r>
      <w:r>
        <w:rPr>
          <w:rFonts w:hint="eastAsia" w:ascii="仿宋" w:hAnsi="仿宋" w:eastAsia="仿宋" w:cs="仿宋"/>
          <w:kern w:val="0"/>
          <w:sz w:val="30"/>
          <w:szCs w:val="30"/>
          <w:lang w:val="en-US" w:eastAsia="zh-CN"/>
        </w:rPr>
        <w:t>18</w:t>
      </w:r>
      <w:r>
        <w:rPr>
          <w:rFonts w:hint="eastAsia" w:ascii="仿宋" w:hAnsi="仿宋" w:eastAsia="仿宋" w:cs="仿宋"/>
          <w:kern w:val="0"/>
          <w:sz w:val="30"/>
          <w:szCs w:val="30"/>
        </w:rPr>
        <w:t>年度县级专项资金绩效目标自评表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39" w:hRule="atLeast"/>
          <w:jc w:val="center"/>
        </w:trPr>
        <w:tc>
          <w:tcPr>
            <w:tcW w:w="10060" w:type="dxa"/>
            <w:gridSpan w:val="9"/>
            <w:tcBorders>
              <w:top w:val="nil"/>
              <w:left w:val="nil"/>
              <w:bottom w:val="single" w:color="auto" w:sz="4" w:space="0"/>
              <w:right w:val="nil"/>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科学普及活动</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负责人及电话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周常青  5812473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衡山县委</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衡山县科学技术协会</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年初设定目标</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全年实际完成情况</w:t>
            </w:r>
          </w:p>
        </w:tc>
      </w:tr>
      <w:tr>
        <w:tblPrEx>
          <w:tblCellMar>
            <w:top w:w="0" w:type="dxa"/>
            <w:left w:w="108" w:type="dxa"/>
            <w:bottom w:w="0" w:type="dxa"/>
            <w:right w:w="108" w:type="dxa"/>
          </w:tblCellMar>
        </w:tblPrEx>
        <w:trPr>
          <w:trHeight w:val="38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CellMar>
            <w:top w:w="0" w:type="dxa"/>
            <w:left w:w="108" w:type="dxa"/>
            <w:bottom w:w="0" w:type="dxa"/>
            <w:right w:w="108" w:type="dxa"/>
          </w:tblCellMar>
        </w:tblPrEx>
        <w:trPr>
          <w:trHeight w:val="799"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绩</w:t>
            </w:r>
          </w:p>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    指  标</w:t>
            </w:r>
          </w:p>
        </w:tc>
        <w:tc>
          <w:tcPr>
            <w:tcW w:w="675" w:type="dxa"/>
            <w:tcBorders>
              <w:top w:val="single" w:color="auto" w:sz="4" w:space="0"/>
              <w:left w:val="nil"/>
              <w:bottom w:val="single" w:color="auto" w:sz="4" w:space="0"/>
              <w:right w:val="nil"/>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二二级指标</w:t>
            </w:r>
          </w:p>
        </w:tc>
        <w:tc>
          <w:tcPr>
            <w:tcW w:w="1701"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全年</w:t>
            </w:r>
          </w:p>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未完成原因和</w:t>
            </w:r>
          </w:p>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改进措施</w:t>
            </w:r>
          </w:p>
        </w:tc>
      </w:tr>
      <w:tr>
        <w:tblPrEx>
          <w:tblCellMar>
            <w:top w:w="0" w:type="dxa"/>
            <w:left w:w="108" w:type="dxa"/>
            <w:bottom w:w="0" w:type="dxa"/>
            <w:right w:w="108" w:type="dxa"/>
          </w:tblCellMar>
        </w:tblPrEx>
        <w:trPr>
          <w:trHeight w:val="42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产   产</w:t>
            </w:r>
          </w:p>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出   指   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数数量指标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“科普中国”信息员队伍建设达到全县人口的2%</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101.25%</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6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开展全国科普日活动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科学防疫、科普知识宣传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402"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201" w:firstLineChars="1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质质量指标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提高全民科学素质</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402"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201" w:firstLineChars="1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hint="eastAsia" w:ascii="仿宋" w:hAnsi="仿宋" w:eastAsia="仿宋" w:cs="仿宋"/>
                <w:kern w:val="0"/>
                <w:sz w:val="21"/>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hint="eastAsia" w:ascii="仿宋" w:hAnsi="仿宋" w:eastAsia="仿宋" w:cs="仿宋"/>
                <w:kern w:val="0"/>
                <w:sz w:val="21"/>
                <w:szCs w:val="21"/>
                <w:lang w:val="en-US" w:eastAsia="zh-CN"/>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hint="eastAsia" w:ascii="仿宋" w:hAnsi="仿宋" w:eastAsia="仿宋" w:cs="仿宋"/>
                <w:kern w:val="0"/>
                <w:sz w:val="21"/>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center"/>
              <w:rPr>
                <w:rFonts w:hint="eastAsia" w:ascii="仿宋" w:hAnsi="仿宋" w:eastAsia="仿宋" w:cs="仿宋"/>
                <w:kern w:val="0"/>
                <w:sz w:val="21"/>
                <w:szCs w:val="21"/>
                <w:lang w:val="en-US" w:eastAsia="zh-CN"/>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时时效指标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2018年全年</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2018年全年</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18"/>
                <w:szCs w:val="18"/>
                <w:lang w:val="en-US" w:eastAsia="zh-CN"/>
              </w:rPr>
              <w:t>2018年全年</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成成本指标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lang w:val="en-US" w:eastAsia="zh-CN"/>
              </w:rPr>
            </w:pP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效效益   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经经济效益指标</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效   效</w:t>
            </w:r>
          </w:p>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益</w:t>
            </w:r>
          </w:p>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指   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生生态效益  指标</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满满意度指标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服服务对象满意度指标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县委县政府考核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合格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良好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603" w:firstLineChars="300"/>
              <w:jc w:val="left"/>
              <w:rPr>
                <w:rFonts w:hint="eastAsia" w:ascii="仿宋" w:hAnsi="仿宋" w:eastAsia="仿宋" w:cs="仿宋"/>
                <w:kern w:val="0"/>
                <w:sz w:val="21"/>
                <w:szCs w:val="21"/>
                <w:lang w:val="en-US" w:eastAsia="zh-CN"/>
              </w:rPr>
            </w:pPr>
          </w:p>
        </w:tc>
        <w:tc>
          <w:tcPr>
            <w:tcW w:w="709" w:type="dxa"/>
            <w:tcBorders>
              <w:top w:val="single" w:color="auto" w:sz="4" w:space="0"/>
              <w:left w:val="nil"/>
              <w:bottom w:val="single" w:color="auto" w:sz="4" w:space="0"/>
              <w:right w:val="single" w:color="auto"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1701"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84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1983" w:type="dxa"/>
            <w:tcBorders>
              <w:top w:val="single" w:color="auto" w:sz="4" w:space="0"/>
              <w:left w:val="nil"/>
              <w:bottom w:val="single" w:color="auto" w:sz="4" w:space="0"/>
              <w:right w:val="single" w:color="auto" w:sz="4" w:space="0"/>
            </w:tcBorders>
            <w:noWrap/>
            <w:vAlign w:val="bottom"/>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说明</w:t>
            </w:r>
          </w:p>
        </w:tc>
        <w:tc>
          <w:tcPr>
            <w:tcW w:w="9291" w:type="dxa"/>
            <w:gridSpan w:val="8"/>
            <w:tcBorders>
              <w:top w:val="single" w:color="auto" w:sz="4" w:space="0"/>
              <w:left w:val="nil"/>
              <w:bottom w:val="nil"/>
              <w:right w:val="single" w:color="000000" w:sz="4" w:space="0"/>
            </w:tcBorders>
            <w:noWrap/>
            <w:vAlign w:val="center"/>
          </w:tcPr>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603" w:firstLineChars="300"/>
              <w:jc w:val="left"/>
              <w:rPr>
                <w:rFonts w:hint="eastAsia" w:ascii="仿宋" w:hAnsi="仿宋" w:eastAsia="仿宋" w:cs="仿宋"/>
                <w:kern w:val="0"/>
                <w:sz w:val="21"/>
                <w:szCs w:val="21"/>
                <w:lang w:val="en-US" w:eastAsia="zh-CN"/>
              </w:rPr>
            </w:pPr>
          </w:p>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注：1、其他资金包括和中央、省、市补助、地方财政资金共同投入到同一项目的自有资金、社会资金，以及以前年度的结转结余资金等。 </w:t>
            </w:r>
          </w:p>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2、定量指标，资金使用单位填写本地区实际完成数。各部门汇总时，对绝对值直接累加计算，相对值按照资金额度加权平均计算。</w:t>
            </w:r>
          </w:p>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定性指标根据指标完成情况分为：全部或基本达成预期指标、部分达成预期指标并具有一定效果、未达成预期指标且效果较差三档，资金使用单位分别按照100％—80％（含）、80％—60％（含）、60％—0％合理填写完成比例。</w:t>
            </w:r>
          </w:p>
          <w:p>
            <w:pPr>
              <w:widowControl/>
              <w:ind w:firstLine="603" w:firstLineChars="30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4、各主管部门及资金使用单位填写《自评表》并报送同级财政部门审核后，形成县级专项资金《自评表》。</w:t>
            </w:r>
          </w:p>
        </w:tc>
      </w:tr>
    </w:tbl>
    <w:p>
      <w:pPr>
        <w:widowControl/>
        <w:ind w:firstLine="603" w:firstLineChars="300"/>
        <w:jc w:val="left"/>
        <w:rPr>
          <w:rFonts w:hint="eastAsia" w:ascii="仿宋" w:hAnsi="仿宋" w:eastAsia="仿宋" w:cs="仿宋"/>
          <w:kern w:val="0"/>
          <w:sz w:val="21"/>
          <w:szCs w:val="21"/>
          <w:lang w:val="en-US" w:eastAsia="zh-CN"/>
        </w:rPr>
      </w:pPr>
    </w:p>
    <w:p>
      <w:pPr>
        <w:rPr>
          <w:rFonts w:hint="eastAsia" w:ascii="仿宋" w:hAnsi="仿宋" w:eastAsia="仿宋" w:cs="仿宋"/>
          <w:sz w:val="30"/>
          <w:szCs w:val="30"/>
        </w:rPr>
      </w:pPr>
    </w:p>
    <w:p>
      <w:pPr>
        <w:rPr>
          <w:rFonts w:hint="eastAsia" w:ascii="仿宋" w:hAnsi="仿宋" w:eastAsia="仿宋" w:cs="仿宋"/>
          <w:sz w:val="30"/>
          <w:szCs w:val="30"/>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2E8E2"/>
    <w:multiLevelType w:val="singleLevel"/>
    <w:tmpl w:val="2602E8E2"/>
    <w:lvl w:ilvl="0" w:tentative="0">
      <w:start w:val="5"/>
      <w:numFmt w:val="chineseCounting"/>
      <w:suff w:val="nothing"/>
      <w:lvlText w:val="%1、"/>
      <w:lvlJc w:val="left"/>
      <w:rPr>
        <w:rFonts w:hint="eastAsia"/>
      </w:rPr>
    </w:lvl>
  </w:abstractNum>
  <w:abstractNum w:abstractNumId="1">
    <w:nsid w:val="4A4A2EA4"/>
    <w:multiLevelType w:val="multilevel"/>
    <w:tmpl w:val="4A4A2EA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A08"/>
    <w:rsid w:val="000B00ED"/>
    <w:rsid w:val="0026735C"/>
    <w:rsid w:val="002C2222"/>
    <w:rsid w:val="0030405C"/>
    <w:rsid w:val="003A79B3"/>
    <w:rsid w:val="003E148F"/>
    <w:rsid w:val="004E3A08"/>
    <w:rsid w:val="005D3B64"/>
    <w:rsid w:val="006964FD"/>
    <w:rsid w:val="006E0BAA"/>
    <w:rsid w:val="0084169D"/>
    <w:rsid w:val="008A2C0F"/>
    <w:rsid w:val="008D433D"/>
    <w:rsid w:val="00954778"/>
    <w:rsid w:val="00A00604"/>
    <w:rsid w:val="00A074FC"/>
    <w:rsid w:val="00AB1D23"/>
    <w:rsid w:val="00BF0F9C"/>
    <w:rsid w:val="00DA53AB"/>
    <w:rsid w:val="00DB56AF"/>
    <w:rsid w:val="00E52234"/>
    <w:rsid w:val="00F232A7"/>
    <w:rsid w:val="00F64A54"/>
    <w:rsid w:val="00F65187"/>
    <w:rsid w:val="09C46EC2"/>
    <w:rsid w:val="17374548"/>
    <w:rsid w:val="219F348A"/>
    <w:rsid w:val="2FDD0DA2"/>
    <w:rsid w:val="42453E1A"/>
    <w:rsid w:val="6BFD5DE2"/>
    <w:rsid w:val="6EA11545"/>
    <w:rsid w:val="7F4D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99"/>
    <w:pPr>
      <w:jc w:val="left"/>
    </w:pPr>
    <w:rPr>
      <w:rFonts w:asciiTheme="minorHAnsi" w:hAnsiTheme="minorHAnsi" w:eastAsiaTheme="minorEastAsia"/>
      <w:sz w:val="24"/>
    </w:rPr>
  </w:style>
  <w:style w:type="paragraph" w:styleId="3">
    <w:name w:val="Body Text"/>
    <w:basedOn w:val="1"/>
    <w:link w:val="21"/>
    <w:qFormat/>
    <w:uiPriority w:val="99"/>
    <w:rPr>
      <w:rFonts w:asciiTheme="minorHAnsi" w:hAnsiTheme="minorHAnsi" w:eastAsiaTheme="minorEastAsia"/>
      <w:sz w:val="24"/>
    </w:rPr>
  </w:style>
  <w:style w:type="paragraph" w:styleId="4">
    <w:name w:val="Balloon Text"/>
    <w:basedOn w:val="1"/>
    <w:link w:val="18"/>
    <w:semiHidden/>
    <w:qFormat/>
    <w:uiPriority w:val="99"/>
    <w:rPr>
      <w:rFonts w:asciiTheme="minorHAnsi" w:hAnsiTheme="minorHAnsi" w:eastAsiaTheme="minorEastAsia" w:cstheme="minorBidi"/>
      <w:sz w:val="16"/>
      <w:szCs w:val="16"/>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szCs w:val="21"/>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正文文本 Char"/>
    <w:basedOn w:val="9"/>
    <w:link w:val="3"/>
    <w:qFormat/>
    <w:locked/>
    <w:uiPriority w:val="99"/>
    <w:rPr>
      <w:rFonts w:cs="Times New Roman"/>
      <w:sz w:val="24"/>
      <w:szCs w:val="24"/>
    </w:rPr>
  </w:style>
  <w:style w:type="character" w:customStyle="1" w:styleId="16">
    <w:name w:val="批注框文本 Char"/>
    <w:basedOn w:val="9"/>
    <w:link w:val="4"/>
    <w:semiHidden/>
    <w:qFormat/>
    <w:uiPriority w:val="99"/>
    <w:rPr>
      <w:sz w:val="16"/>
      <w:szCs w:val="16"/>
    </w:rPr>
  </w:style>
  <w:style w:type="character" w:customStyle="1" w:styleId="17">
    <w:name w:val="批注文字 Char"/>
    <w:basedOn w:val="9"/>
    <w:link w:val="2"/>
    <w:qFormat/>
    <w:locked/>
    <w:uiPriority w:val="99"/>
    <w:rPr>
      <w:rFonts w:cs="Times New Roman"/>
      <w:sz w:val="24"/>
      <w:szCs w:val="24"/>
    </w:rPr>
  </w:style>
  <w:style w:type="character" w:customStyle="1" w:styleId="18">
    <w:name w:val="批注框文本 Char1"/>
    <w:basedOn w:val="9"/>
    <w:link w:val="4"/>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 w:type="character" w:customStyle="1" w:styleId="20">
    <w:name w:val="批注文字 Char1"/>
    <w:basedOn w:val="9"/>
    <w:link w:val="2"/>
    <w:semiHidden/>
    <w:qFormat/>
    <w:uiPriority w:val="99"/>
    <w:rPr>
      <w:rFonts w:ascii="Times New Roman" w:hAnsi="Times New Roman" w:eastAsia="宋体" w:cs="Times New Roman"/>
      <w:szCs w:val="24"/>
    </w:rPr>
  </w:style>
  <w:style w:type="character" w:customStyle="1" w:styleId="21">
    <w:name w:val="正文文本 Char1"/>
    <w:basedOn w:val="9"/>
    <w:link w:val="3"/>
    <w:semiHidden/>
    <w:qFormat/>
    <w:uiPriority w:val="99"/>
    <w:rPr>
      <w:rFonts w:ascii="Times New Roman" w:hAnsi="Times New Roman" w:eastAsia="宋体" w:cs="Times New Roman"/>
      <w:szCs w:val="24"/>
    </w:r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FBD16-DC43-4915-8D46-E8ABACA152F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744</Words>
  <Characters>4242</Characters>
  <Lines>35</Lines>
  <Paragraphs>9</Paragraphs>
  <TotalTime>12</TotalTime>
  <ScaleCrop>false</ScaleCrop>
  <LinksUpToDate>false</LinksUpToDate>
  <CharactersWithSpaces>4977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Administrator</dc:creator>
  <cp:lastModifiedBy>Administrator</cp:lastModifiedBy>
  <cp:lastPrinted>2020-09-14T02:00:00Z</cp:lastPrinted>
  <dcterms:modified xsi:type="dcterms:W3CDTF">2021-06-07T08:32:29Z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AA70DE88088A47BDA5848256D5110987</vt:lpwstr>
  </property>
</Properties>
</file>