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5A0A1">
      <w:pPr>
        <w:jc w:val="center"/>
        <w:rPr>
          <w:rFonts w:ascii="方正小标宋简体" w:eastAsia="方正小标宋简体"/>
          <w:sz w:val="32"/>
          <w:szCs w:val="32"/>
        </w:rPr>
      </w:pPr>
    </w:p>
    <w:p w14:paraId="60DD6D96">
      <w:pPr>
        <w:jc w:val="center"/>
        <w:rPr>
          <w:rFonts w:ascii="方正小标宋_GBK" w:eastAsia="方正小标宋_GBK"/>
          <w:sz w:val="48"/>
          <w:szCs w:val="48"/>
        </w:rPr>
      </w:pPr>
      <w:r>
        <w:rPr>
          <w:rFonts w:ascii="方正小标宋_GBK" w:eastAsia="方正小标宋_GBK"/>
          <w:sz w:val="48"/>
          <w:szCs w:val="48"/>
        </w:rPr>
        <w:t>201</w:t>
      </w:r>
      <w:r>
        <w:rPr>
          <w:rFonts w:hint="eastAsia" w:ascii="方正小标宋_GBK" w:eastAsia="方正小标宋_GBK"/>
          <w:sz w:val="48"/>
          <w:szCs w:val="48"/>
        </w:rPr>
        <w:t>9年度部门整体支出绩效自评报告</w:t>
      </w:r>
    </w:p>
    <w:p w14:paraId="04DB33B9">
      <w:pPr>
        <w:jc w:val="center"/>
        <w:rPr>
          <w:rFonts w:ascii="黑体" w:eastAsia="黑体"/>
          <w:sz w:val="32"/>
          <w:szCs w:val="32"/>
        </w:rPr>
      </w:pPr>
    </w:p>
    <w:p w14:paraId="57DA3E4A">
      <w:pPr>
        <w:jc w:val="center"/>
        <w:rPr>
          <w:rFonts w:ascii="黑体" w:eastAsia="黑体"/>
          <w:sz w:val="32"/>
          <w:szCs w:val="32"/>
        </w:rPr>
      </w:pPr>
    </w:p>
    <w:p w14:paraId="05CA395B">
      <w:pPr>
        <w:jc w:val="center"/>
        <w:rPr>
          <w:rFonts w:ascii="黑体" w:eastAsia="黑体"/>
          <w:sz w:val="32"/>
          <w:szCs w:val="32"/>
        </w:rPr>
      </w:pPr>
      <w:bookmarkStart w:id="0" w:name="_GoBack"/>
      <w:bookmarkEnd w:id="0"/>
    </w:p>
    <w:p w14:paraId="71399C1A">
      <w:pPr>
        <w:jc w:val="center"/>
        <w:rPr>
          <w:rFonts w:ascii="黑体" w:eastAsia="黑体"/>
          <w:sz w:val="32"/>
          <w:szCs w:val="32"/>
        </w:rPr>
      </w:pPr>
    </w:p>
    <w:p w14:paraId="65389BBE">
      <w:pPr>
        <w:jc w:val="center"/>
        <w:rPr>
          <w:rFonts w:ascii="黑体" w:eastAsia="黑体"/>
          <w:sz w:val="32"/>
          <w:szCs w:val="32"/>
        </w:rPr>
      </w:pPr>
    </w:p>
    <w:p w14:paraId="14E853DF">
      <w:pPr>
        <w:jc w:val="center"/>
        <w:rPr>
          <w:rFonts w:ascii="黑体" w:eastAsia="黑体"/>
          <w:sz w:val="32"/>
          <w:szCs w:val="32"/>
        </w:rPr>
      </w:pPr>
    </w:p>
    <w:p w14:paraId="71CEDEA1">
      <w:pPr>
        <w:jc w:val="center"/>
        <w:rPr>
          <w:rFonts w:ascii="黑体" w:eastAsia="黑体"/>
          <w:sz w:val="32"/>
          <w:szCs w:val="32"/>
        </w:rPr>
      </w:pPr>
    </w:p>
    <w:p w14:paraId="653986A8">
      <w:pPr>
        <w:jc w:val="center"/>
        <w:rPr>
          <w:rFonts w:ascii="黑体" w:eastAsia="黑体"/>
          <w:sz w:val="32"/>
          <w:szCs w:val="32"/>
        </w:rPr>
      </w:pPr>
    </w:p>
    <w:p w14:paraId="55EAACDE">
      <w:pPr>
        <w:rPr>
          <w:rFonts w:ascii="黑体" w:eastAsia="黑体"/>
          <w:sz w:val="32"/>
          <w:szCs w:val="32"/>
        </w:rPr>
      </w:pPr>
    </w:p>
    <w:p w14:paraId="1A21F1DE">
      <w:pPr>
        <w:jc w:val="center"/>
        <w:rPr>
          <w:rFonts w:ascii="黑体" w:eastAsia="黑体"/>
          <w:sz w:val="32"/>
          <w:szCs w:val="32"/>
        </w:rPr>
      </w:pPr>
    </w:p>
    <w:p w14:paraId="138372F7">
      <w:pPr>
        <w:jc w:val="center"/>
        <w:rPr>
          <w:rFonts w:ascii="黑体" w:eastAsia="黑体"/>
          <w:sz w:val="44"/>
          <w:szCs w:val="44"/>
        </w:rPr>
      </w:pPr>
      <w:r>
        <w:rPr>
          <w:rFonts w:hint="eastAsia" w:ascii="黑体" w:eastAsia="黑体"/>
          <w:sz w:val="44"/>
          <w:szCs w:val="44"/>
        </w:rPr>
        <w:t>单位名称（盖章）</w:t>
      </w:r>
    </w:p>
    <w:p w14:paraId="7A91C38B">
      <w:pPr>
        <w:jc w:val="center"/>
        <w:rPr>
          <w:rFonts w:ascii="黑体" w:eastAsia="黑体"/>
          <w:sz w:val="32"/>
          <w:szCs w:val="32"/>
        </w:rPr>
      </w:pPr>
    </w:p>
    <w:p w14:paraId="2BFEEE5E">
      <w:pPr>
        <w:ind w:firstLine="630" w:firstLineChars="300"/>
        <w:rPr>
          <w:rFonts w:ascii="宋体" w:hAnsi="宋体" w:cs="宋体"/>
          <w:sz w:val="28"/>
          <w:szCs w:val="28"/>
        </w:rPr>
      </w:pPr>
      <w:r>
        <w:br w:type="page"/>
      </w:r>
      <w:r>
        <w:rPr>
          <w:rFonts w:hint="eastAsia" w:ascii="宋体" w:hAnsi="宋体" w:cs="宋体"/>
          <w:sz w:val="28"/>
          <w:szCs w:val="28"/>
        </w:rPr>
        <w:t>根据《预算法》有关“各级政府、各部门、各单位应当对预算支出情况开展绩效评价”的规定及衡山县财政局《关于对2019年度部门整体支出开展绩效自评有关事项的通知》（山财绩〔2020〕176号）文件精神，衡山县白果镇人民政府对政府整体支出及专项项目资金支出进行了绩效评价，现将自评有关情况报告如下：</w:t>
      </w:r>
    </w:p>
    <w:p w14:paraId="5ED16EDE">
      <w:pPr>
        <w:numPr>
          <w:ilvl w:val="0"/>
          <w:numId w:val="1"/>
        </w:numPr>
        <w:spacing w:line="560" w:lineRule="exact"/>
        <w:ind w:firstLine="562" w:firstLineChars="200"/>
        <w:rPr>
          <w:rFonts w:ascii="宋体" w:hAnsi="宋体" w:cs="宋体"/>
          <w:b/>
          <w:sz w:val="28"/>
          <w:szCs w:val="28"/>
        </w:rPr>
      </w:pPr>
      <w:r>
        <w:rPr>
          <w:rFonts w:hint="eastAsia" w:ascii="宋体" w:hAnsi="宋体" w:cs="宋体"/>
          <w:b/>
          <w:sz w:val="28"/>
          <w:szCs w:val="28"/>
        </w:rPr>
        <w:t>基本概况</w:t>
      </w:r>
    </w:p>
    <w:p w14:paraId="630FCA55">
      <w:pPr>
        <w:pStyle w:val="4"/>
        <w:shd w:val="clear" w:color="auto" w:fill="FFFFFF"/>
        <w:spacing w:before="0" w:beforeAutospacing="0" w:after="0" w:afterAutospacing="0" w:line="360" w:lineRule="auto"/>
        <w:ind w:firstLine="480" w:firstLineChars="200"/>
        <w:contextualSpacing/>
        <w:rPr>
          <w:rFonts w:asciiTheme="minorEastAsia" w:hAnsiTheme="minorEastAsia" w:eastAsiaTheme="minorEastAsia"/>
          <w:color w:val="000000"/>
        </w:rPr>
      </w:pPr>
      <w:r>
        <w:rPr>
          <w:rFonts w:hint="eastAsia" w:asciiTheme="minorEastAsia" w:hAnsiTheme="minorEastAsia" w:eastAsiaTheme="minorEastAsia"/>
          <w:color w:val="000000"/>
          <w:shd w:val="clear" w:color="auto" w:fill="FFFFFF"/>
        </w:rPr>
        <w:t>白果</w:t>
      </w:r>
      <w:r>
        <w:rPr>
          <w:rFonts w:asciiTheme="minorEastAsia" w:hAnsiTheme="minorEastAsia" w:eastAsiaTheme="minorEastAsia"/>
          <w:color w:val="000000"/>
          <w:shd w:val="clear" w:color="auto" w:fill="FFFFFF"/>
        </w:rPr>
        <w:t>镇政府是正科级全额拨款单位，有二级预算单位0个，</w:t>
      </w:r>
      <w:r>
        <w:rPr>
          <w:rFonts w:hint="eastAsia" w:asciiTheme="minorEastAsia" w:hAnsiTheme="minorEastAsia" w:eastAsiaTheme="minorEastAsia"/>
          <w:color w:val="000000"/>
          <w:shd w:val="clear" w:color="auto" w:fill="FFFFFF"/>
        </w:rPr>
        <w:t>至</w:t>
      </w:r>
      <w:r>
        <w:rPr>
          <w:rFonts w:asciiTheme="minorEastAsia" w:hAnsiTheme="minorEastAsia" w:eastAsiaTheme="minorEastAsia"/>
          <w:color w:val="000000"/>
          <w:shd w:val="clear" w:color="auto" w:fill="FFFFFF"/>
        </w:rPr>
        <w:t>2019</w:t>
      </w:r>
      <w:r>
        <w:rPr>
          <w:rFonts w:hint="eastAsia" w:asciiTheme="minorEastAsia" w:hAnsiTheme="minorEastAsia" w:eastAsiaTheme="minorEastAsia"/>
          <w:color w:val="000000"/>
          <w:shd w:val="clear" w:color="auto" w:fill="FFFFFF"/>
        </w:rPr>
        <w:t>年</w:t>
      </w:r>
      <w:r>
        <w:rPr>
          <w:rFonts w:asciiTheme="minorEastAsia" w:hAnsiTheme="minorEastAsia" w:eastAsiaTheme="minorEastAsia"/>
          <w:color w:val="000000"/>
          <w:shd w:val="clear" w:color="auto" w:fill="FFFFFF"/>
        </w:rPr>
        <w:t>1</w:t>
      </w:r>
      <w:r>
        <w:rPr>
          <w:rFonts w:hint="eastAsia" w:asciiTheme="minorEastAsia" w:hAnsiTheme="minorEastAsia" w:eastAsiaTheme="minorEastAsia"/>
          <w:color w:val="000000"/>
          <w:shd w:val="clear" w:color="auto" w:fill="FFFFFF"/>
        </w:rPr>
        <w:t>2月份，共有编制</w:t>
      </w:r>
      <w:r>
        <w:rPr>
          <w:rFonts w:asciiTheme="minorEastAsia" w:hAnsiTheme="minorEastAsia" w:eastAsiaTheme="minorEastAsia"/>
          <w:color w:val="000000"/>
          <w:shd w:val="clear" w:color="auto" w:fill="FFFFFF"/>
        </w:rPr>
        <w:t>85</w:t>
      </w:r>
      <w:r>
        <w:rPr>
          <w:rFonts w:hint="eastAsia" w:asciiTheme="minorEastAsia" w:hAnsiTheme="minorEastAsia" w:eastAsiaTheme="minorEastAsia"/>
          <w:color w:val="000000"/>
          <w:shd w:val="clear" w:color="auto" w:fill="FFFFFF"/>
        </w:rPr>
        <w:t>个（行政编</w:t>
      </w:r>
      <w:r>
        <w:rPr>
          <w:rFonts w:asciiTheme="minorEastAsia" w:hAnsiTheme="minorEastAsia" w:eastAsiaTheme="minorEastAsia"/>
          <w:color w:val="000000"/>
          <w:shd w:val="clear" w:color="auto" w:fill="FFFFFF"/>
        </w:rPr>
        <w:t>33</w:t>
      </w:r>
      <w:r>
        <w:rPr>
          <w:rFonts w:hint="eastAsia" w:asciiTheme="minorEastAsia" w:hAnsiTheme="minorEastAsia" w:eastAsiaTheme="minorEastAsia"/>
          <w:color w:val="000000"/>
          <w:shd w:val="clear" w:color="auto" w:fill="FFFFFF"/>
        </w:rPr>
        <w:t>个，事业编</w:t>
      </w:r>
      <w:r>
        <w:rPr>
          <w:rFonts w:asciiTheme="minorEastAsia" w:hAnsiTheme="minorEastAsia" w:eastAsiaTheme="minorEastAsia"/>
          <w:color w:val="000000"/>
          <w:shd w:val="clear" w:color="auto" w:fill="FFFFFF"/>
        </w:rPr>
        <w:t>52</w:t>
      </w:r>
      <w:r>
        <w:rPr>
          <w:rFonts w:hint="eastAsia" w:asciiTheme="minorEastAsia" w:hAnsiTheme="minorEastAsia" w:eastAsiaTheme="minorEastAsia"/>
          <w:color w:val="000000"/>
          <w:shd w:val="clear" w:color="auto" w:fill="FFFFFF"/>
        </w:rPr>
        <w:t>个）</w:t>
      </w:r>
      <w:r>
        <w:rPr>
          <w:rFonts w:hint="eastAsia" w:asciiTheme="minorEastAsia" w:hAnsiTheme="minorEastAsia" w:eastAsiaTheme="minorEastAsia"/>
          <w:color w:val="000000"/>
        </w:rPr>
        <w:t>，</w:t>
      </w:r>
      <w:r>
        <w:rPr>
          <w:rFonts w:hint="eastAsia" w:asciiTheme="minorEastAsia" w:hAnsiTheme="minorEastAsia" w:eastAsiaTheme="minorEastAsia"/>
          <w:color w:val="000000"/>
          <w:shd w:val="clear" w:color="auto" w:fill="FFFFFF"/>
        </w:rPr>
        <w:t>实有人数9</w:t>
      </w:r>
      <w:r>
        <w:rPr>
          <w:rFonts w:asciiTheme="minorEastAsia" w:hAnsiTheme="minorEastAsia" w:eastAsiaTheme="minorEastAsia"/>
          <w:color w:val="000000"/>
          <w:shd w:val="clear" w:color="auto" w:fill="FFFFFF"/>
        </w:rPr>
        <w:t>9</w:t>
      </w:r>
      <w:r>
        <w:rPr>
          <w:rFonts w:hint="eastAsia" w:asciiTheme="minorEastAsia" w:hAnsiTheme="minorEastAsia" w:eastAsiaTheme="minorEastAsia"/>
          <w:color w:val="000000"/>
          <w:shd w:val="clear" w:color="auto" w:fill="FFFFFF"/>
        </w:rPr>
        <w:t>人，其中财政供养在职</w:t>
      </w:r>
      <w:r>
        <w:rPr>
          <w:rFonts w:asciiTheme="minorEastAsia" w:hAnsiTheme="minorEastAsia" w:eastAsiaTheme="minorEastAsia"/>
          <w:color w:val="000000"/>
          <w:shd w:val="clear" w:color="auto" w:fill="FFFFFF"/>
        </w:rPr>
        <w:t>5</w:t>
      </w:r>
      <w:r>
        <w:rPr>
          <w:rFonts w:hint="eastAsia" w:asciiTheme="minorEastAsia" w:hAnsiTheme="minorEastAsia" w:eastAsiaTheme="minorEastAsia"/>
          <w:color w:val="000000"/>
          <w:shd w:val="clear" w:color="auto" w:fill="FFFFFF"/>
        </w:rPr>
        <w:t>8人、离退休</w:t>
      </w:r>
      <w:r>
        <w:rPr>
          <w:rFonts w:asciiTheme="minorEastAsia" w:hAnsiTheme="minorEastAsia" w:eastAsiaTheme="minorEastAsia"/>
          <w:color w:val="000000"/>
          <w:shd w:val="clear" w:color="auto" w:fill="FFFFFF"/>
        </w:rPr>
        <w:t>41</w:t>
      </w:r>
      <w:r>
        <w:rPr>
          <w:rFonts w:hint="eastAsia" w:asciiTheme="minorEastAsia" w:hAnsiTheme="minorEastAsia" w:eastAsiaTheme="minorEastAsia"/>
          <w:color w:val="000000"/>
          <w:shd w:val="clear" w:color="auto" w:fill="FFFFFF"/>
        </w:rPr>
        <w:t>人；公务用车定编</w:t>
      </w:r>
      <w:r>
        <w:rPr>
          <w:rFonts w:asciiTheme="minorEastAsia" w:hAnsiTheme="minorEastAsia" w:eastAsiaTheme="minorEastAsia"/>
          <w:color w:val="000000"/>
          <w:shd w:val="clear" w:color="auto" w:fill="FFFFFF"/>
        </w:rPr>
        <w:t>1</w:t>
      </w:r>
      <w:r>
        <w:rPr>
          <w:rFonts w:hint="eastAsia" w:asciiTheme="minorEastAsia" w:hAnsiTheme="minorEastAsia" w:eastAsiaTheme="minorEastAsia"/>
          <w:color w:val="000000"/>
          <w:shd w:val="clear" w:color="auto" w:fill="FFFFFF"/>
        </w:rPr>
        <w:t>台，现有车辆</w:t>
      </w:r>
      <w:r>
        <w:rPr>
          <w:rFonts w:asciiTheme="minorEastAsia" w:hAnsiTheme="minorEastAsia" w:eastAsiaTheme="minorEastAsia"/>
          <w:color w:val="000000"/>
          <w:shd w:val="clear" w:color="auto" w:fill="FFFFFF"/>
        </w:rPr>
        <w:t>1</w:t>
      </w:r>
      <w:r>
        <w:rPr>
          <w:rFonts w:hint="eastAsia" w:asciiTheme="minorEastAsia" w:hAnsiTheme="minorEastAsia" w:eastAsiaTheme="minorEastAsia"/>
          <w:color w:val="000000"/>
        </w:rPr>
        <w:t>台。</w:t>
      </w:r>
    </w:p>
    <w:p w14:paraId="14130862">
      <w:pPr>
        <w:pStyle w:val="4"/>
        <w:shd w:val="clear" w:color="auto" w:fill="FFFFFF"/>
        <w:spacing w:before="0" w:beforeAutospacing="0" w:after="0" w:afterAutospacing="0" w:line="360" w:lineRule="auto"/>
        <w:ind w:firstLine="480" w:firstLineChars="200"/>
        <w:contextualSpacing/>
        <w:jc w:val="both"/>
        <w:rPr>
          <w:rFonts w:asciiTheme="minorEastAsia" w:hAnsiTheme="minorEastAsia" w:eastAsiaTheme="minorEastAsia"/>
          <w:color w:val="000000"/>
        </w:rPr>
      </w:pPr>
      <w:r>
        <w:rPr>
          <w:rFonts w:asciiTheme="minorEastAsia" w:hAnsiTheme="minorEastAsia" w:eastAsiaTheme="minorEastAsia"/>
          <w:color w:val="000000"/>
        </w:rPr>
        <w:t>根据上述各项职责政府内设“六办、三中心、一大队”。“六办”即党政综合办公室、经济发展办公室（农业农村和扶贫工作办公室）、社会事务办公室、自然资源和生态环境办公室（村镇建设管理办公室）、社会治理和应急管理办公室（信访室）、基层党建工作办公室。“三中心”即社会事业综合服务中心（文化综合服务站、退役军人服务站）、农业综合服务中心、政务服务中心。“一大队”即综合行政执法大队。</w:t>
      </w:r>
    </w:p>
    <w:p w14:paraId="1EE8D9D2">
      <w:pPr>
        <w:pStyle w:val="4"/>
        <w:shd w:val="clear" w:color="auto" w:fill="FFFFFF"/>
        <w:spacing w:before="0" w:beforeAutospacing="0" w:after="0" w:afterAutospacing="0" w:line="360" w:lineRule="auto"/>
        <w:ind w:firstLine="480" w:firstLineChars="200"/>
        <w:contextualSpacing/>
        <w:jc w:val="both"/>
        <w:rPr>
          <w:rFonts w:asciiTheme="minorEastAsia" w:hAnsiTheme="minorEastAsia" w:eastAsiaTheme="minorEastAsia"/>
          <w:color w:val="000000"/>
        </w:rPr>
      </w:pPr>
      <w:r>
        <w:rPr>
          <w:rFonts w:asciiTheme="minorEastAsia" w:hAnsiTheme="minorEastAsia" w:eastAsiaTheme="minorEastAsia"/>
          <w:color w:val="000000"/>
        </w:rPr>
        <w:t>财政所、派出所、</w:t>
      </w:r>
      <w:r>
        <w:rPr>
          <w:rFonts w:hint="eastAsia" w:asciiTheme="minorEastAsia" w:hAnsiTheme="minorEastAsia" w:eastAsiaTheme="minorEastAsia"/>
          <w:color w:val="000000"/>
        </w:rPr>
        <w:t>交警队、</w:t>
      </w:r>
      <w:r>
        <w:rPr>
          <w:rFonts w:asciiTheme="minorEastAsia" w:hAnsiTheme="minorEastAsia" w:eastAsiaTheme="minorEastAsia"/>
          <w:color w:val="000000"/>
        </w:rPr>
        <w:t>司法所、市场监督管理所、中心学校、卫生院（医院）等为县直部门派驻镇机构。</w:t>
      </w:r>
    </w:p>
    <w:p w14:paraId="2FE3B26A">
      <w:pPr>
        <w:spacing w:line="560" w:lineRule="exact"/>
        <w:ind w:firstLine="560" w:firstLineChars="200"/>
        <w:rPr>
          <w:rFonts w:ascii="宋体" w:hAnsi="宋体" w:cs="宋体"/>
          <w:sz w:val="28"/>
          <w:szCs w:val="28"/>
        </w:rPr>
      </w:pPr>
      <w:r>
        <w:rPr>
          <w:rFonts w:hint="eastAsia" w:ascii="宋体" w:hAnsi="宋体" w:cs="宋体"/>
          <w:sz w:val="28"/>
          <w:szCs w:val="28"/>
        </w:rPr>
        <w:t>白果镇地处衡山西北部，是我县交通枢纽，旅游旺地，其行政区域面积91.2平方公里，全镇总人口6.1万，辖17个行政村，2个社区居委会，全镇现有基层党支部43个，党员1735名，非公经济党组织3个。</w:t>
      </w:r>
    </w:p>
    <w:p w14:paraId="59CD345C">
      <w:pPr>
        <w:spacing w:line="560" w:lineRule="exact"/>
        <w:rPr>
          <w:rFonts w:ascii="宋体" w:hAnsi="宋体" w:cs="宋体"/>
          <w:b/>
          <w:sz w:val="28"/>
          <w:szCs w:val="28"/>
        </w:rPr>
      </w:pPr>
      <w:r>
        <w:rPr>
          <w:rFonts w:hint="eastAsia" w:ascii="宋体" w:hAnsi="宋体" w:cs="宋体"/>
          <w:b/>
          <w:sz w:val="28"/>
          <w:szCs w:val="28"/>
        </w:rPr>
        <w:t xml:space="preserve">    二、基本支出情况</w:t>
      </w:r>
    </w:p>
    <w:p w14:paraId="515709EC">
      <w:pPr>
        <w:ind w:firstLine="560" w:firstLineChars="200"/>
        <w:rPr>
          <w:rFonts w:asciiTheme="minorEastAsia" w:hAnsiTheme="minorEastAsia"/>
          <w:sz w:val="32"/>
          <w:szCs w:val="32"/>
        </w:rPr>
      </w:pPr>
      <w:r>
        <w:rPr>
          <w:rFonts w:hint="eastAsia" w:ascii="宋体" w:hAnsi="宋体" w:cs="宋体"/>
          <w:sz w:val="28"/>
          <w:szCs w:val="28"/>
        </w:rPr>
        <w:t>2019年度基本支出764万元，其中：人员经费支出600.2万元，日常公用经费支出163.8万元。</w:t>
      </w:r>
    </w:p>
    <w:p w14:paraId="79C18BAC">
      <w:pPr>
        <w:spacing w:line="560" w:lineRule="exact"/>
        <w:ind w:firstLine="562" w:firstLineChars="200"/>
        <w:rPr>
          <w:rFonts w:ascii="宋体" w:hAnsi="宋体" w:cs="宋体"/>
          <w:b/>
          <w:sz w:val="28"/>
          <w:szCs w:val="28"/>
        </w:rPr>
      </w:pPr>
      <w:r>
        <w:rPr>
          <w:rFonts w:hint="eastAsia" w:ascii="宋体" w:hAnsi="宋体" w:cs="宋体"/>
          <w:b/>
          <w:sz w:val="28"/>
          <w:szCs w:val="28"/>
        </w:rPr>
        <w:t>三、项目支出情况</w:t>
      </w:r>
    </w:p>
    <w:p w14:paraId="58C3A1ED">
      <w:pPr>
        <w:spacing w:line="560" w:lineRule="exact"/>
        <w:ind w:firstLine="560" w:firstLineChars="200"/>
        <w:rPr>
          <w:rFonts w:ascii="宋体" w:hAnsi="宋体" w:cs="宋体"/>
          <w:sz w:val="28"/>
          <w:szCs w:val="28"/>
        </w:rPr>
      </w:pPr>
      <w:r>
        <w:rPr>
          <w:rFonts w:hint="eastAsia" w:ascii="宋体" w:hAnsi="宋体" w:cs="宋体"/>
          <w:sz w:val="28"/>
          <w:szCs w:val="28"/>
        </w:rPr>
        <w:t>2019年度项目支出1753.61万元，主要由以下几项组成：</w:t>
      </w:r>
    </w:p>
    <w:p w14:paraId="454060A6">
      <w:pPr>
        <w:spacing w:line="560" w:lineRule="exact"/>
        <w:ind w:firstLine="560" w:firstLineChars="200"/>
        <w:rPr>
          <w:rFonts w:ascii="宋体" w:hAnsi="宋体" w:cs="宋体"/>
          <w:sz w:val="28"/>
          <w:szCs w:val="28"/>
        </w:rPr>
      </w:pPr>
      <w:r>
        <w:rPr>
          <w:rFonts w:hint="eastAsia" w:ascii="宋体" w:hAnsi="宋体" w:cs="宋体"/>
          <w:sz w:val="28"/>
          <w:szCs w:val="28"/>
        </w:rPr>
        <w:t>（1）村级运行经费</w:t>
      </w:r>
    </w:p>
    <w:p w14:paraId="4EE91F98">
      <w:pPr>
        <w:spacing w:line="560" w:lineRule="exact"/>
        <w:ind w:firstLine="560" w:firstLineChars="200"/>
        <w:rPr>
          <w:rFonts w:ascii="宋体" w:hAnsi="宋体" w:cs="宋体"/>
          <w:sz w:val="28"/>
          <w:szCs w:val="28"/>
        </w:rPr>
      </w:pPr>
      <w:r>
        <w:rPr>
          <w:rFonts w:hint="eastAsia" w:ascii="宋体" w:hAnsi="宋体" w:cs="宋体"/>
          <w:sz w:val="28"/>
          <w:szCs w:val="28"/>
        </w:rPr>
        <w:t>17个行政村县本级财政共下达经费427.48万，主要用于村级干部的人员经费及公用经费支出。</w:t>
      </w:r>
    </w:p>
    <w:p w14:paraId="78653A61">
      <w:pPr>
        <w:spacing w:line="560" w:lineRule="exact"/>
        <w:ind w:firstLine="560" w:firstLineChars="200"/>
        <w:rPr>
          <w:rFonts w:ascii="宋体" w:hAnsi="宋体" w:cs="宋体"/>
          <w:sz w:val="28"/>
          <w:szCs w:val="28"/>
        </w:rPr>
      </w:pPr>
      <w:r>
        <w:rPr>
          <w:rFonts w:hint="eastAsia" w:ascii="宋体" w:hAnsi="宋体" w:cs="宋体"/>
          <w:sz w:val="28"/>
          <w:szCs w:val="28"/>
        </w:rPr>
        <w:t>（2）社区运行经费</w:t>
      </w:r>
    </w:p>
    <w:p w14:paraId="75B2AD72">
      <w:pPr>
        <w:spacing w:line="560" w:lineRule="exact"/>
        <w:ind w:firstLine="560" w:firstLineChars="200"/>
        <w:rPr>
          <w:rFonts w:ascii="宋体" w:hAnsi="宋体" w:cs="宋体"/>
          <w:sz w:val="28"/>
          <w:szCs w:val="28"/>
        </w:rPr>
      </w:pPr>
      <w:r>
        <w:rPr>
          <w:rFonts w:hint="eastAsia" w:ascii="宋体" w:hAnsi="宋体" w:cs="宋体"/>
          <w:sz w:val="28"/>
          <w:szCs w:val="28"/>
        </w:rPr>
        <w:t>2个社区居委会县本级财政共下达经费73.59万，主要用于社区居委会干部的人员经费及公用经费支出。</w:t>
      </w:r>
    </w:p>
    <w:p w14:paraId="778812FD">
      <w:pPr>
        <w:spacing w:line="560" w:lineRule="exact"/>
        <w:ind w:firstLine="560" w:firstLineChars="200"/>
        <w:rPr>
          <w:rFonts w:ascii="宋体" w:hAnsi="宋体" w:cs="宋体"/>
          <w:sz w:val="28"/>
          <w:szCs w:val="28"/>
        </w:rPr>
      </w:pPr>
      <w:r>
        <w:rPr>
          <w:rFonts w:hint="eastAsia" w:ascii="宋体" w:hAnsi="宋体" w:cs="宋体"/>
          <w:sz w:val="28"/>
          <w:szCs w:val="28"/>
        </w:rPr>
        <w:t>（3）危房改造资金</w:t>
      </w:r>
    </w:p>
    <w:p w14:paraId="5E7168FF">
      <w:pPr>
        <w:spacing w:line="560" w:lineRule="exact"/>
        <w:ind w:firstLine="560" w:firstLineChars="200"/>
        <w:rPr>
          <w:rFonts w:ascii="宋体" w:hAnsi="宋体" w:cs="宋体"/>
          <w:sz w:val="28"/>
          <w:szCs w:val="28"/>
        </w:rPr>
      </w:pPr>
      <w:r>
        <w:rPr>
          <w:rFonts w:hint="eastAsia" w:ascii="宋体" w:hAnsi="宋体" w:cs="宋体"/>
          <w:sz w:val="28"/>
          <w:szCs w:val="28"/>
        </w:rPr>
        <w:t>2019年共支出危房改造资金110.23万元，其中：中央及省级资金57.48万元，市级财政资金4.5万元，县本级配套48.25万元。全部用于贫困人群的危房改造，包括新建和修缮加固，一共发放53户。</w:t>
      </w:r>
    </w:p>
    <w:p w14:paraId="5927941E">
      <w:pPr>
        <w:spacing w:line="560" w:lineRule="exact"/>
        <w:ind w:firstLine="562" w:firstLineChars="200"/>
        <w:rPr>
          <w:rFonts w:ascii="宋体" w:hAnsi="宋体" w:cs="宋体"/>
          <w:b/>
          <w:sz w:val="28"/>
          <w:szCs w:val="28"/>
        </w:rPr>
      </w:pPr>
      <w:r>
        <w:rPr>
          <w:rFonts w:hint="eastAsia" w:ascii="宋体" w:hAnsi="宋体" w:cs="宋体"/>
          <w:b/>
          <w:sz w:val="28"/>
          <w:szCs w:val="28"/>
        </w:rPr>
        <w:t>四、本单位整体支出绩效情况</w:t>
      </w:r>
    </w:p>
    <w:p w14:paraId="57E3A2A6">
      <w:pPr>
        <w:pStyle w:val="9"/>
        <w:spacing w:line="600" w:lineRule="exact"/>
        <w:ind w:left="420" w:firstLine="0" w:firstLineChars="0"/>
        <w:rPr>
          <w:rFonts w:ascii="宋体" w:hAnsi="宋体" w:cs="宋体"/>
          <w:sz w:val="28"/>
          <w:szCs w:val="28"/>
        </w:rPr>
      </w:pPr>
      <w:r>
        <w:rPr>
          <w:rFonts w:hint="eastAsia" w:ascii="宋体" w:hAnsi="宋体" w:cs="宋体"/>
          <w:sz w:val="28"/>
          <w:szCs w:val="28"/>
        </w:rPr>
        <w:t>（一）单位整体基本支出绩效情况</w:t>
      </w:r>
    </w:p>
    <w:p w14:paraId="57754E5A">
      <w:pPr>
        <w:spacing w:line="600" w:lineRule="exact"/>
        <w:ind w:firstLine="560" w:firstLineChars="200"/>
        <w:rPr>
          <w:rFonts w:asciiTheme="minorEastAsia" w:hAnsiTheme="minorEastAsia" w:eastAsiaTheme="minorEastAsia"/>
          <w:color w:val="000000"/>
          <w:sz w:val="28"/>
          <w:szCs w:val="28"/>
        </w:rPr>
      </w:pPr>
      <w:r>
        <w:rPr>
          <w:rFonts w:hint="eastAsia" w:ascii="宋体" w:hAnsi="宋体" w:cs="宋体"/>
          <w:sz w:val="28"/>
          <w:szCs w:val="28"/>
        </w:rPr>
        <w:t>2019年度运行经费为163.8万元，比上年增加48.51万元，主要是因为2019年因机构改革，人员由31人增加到58人，人员大大增加导致运行经费增加。三公费用为15.21万元，比上年减少0.25万元，其中：公务接待费14.25万元，比上年减少0.22万元，</w:t>
      </w:r>
      <w:r>
        <w:rPr>
          <w:rFonts w:hint="eastAsia" w:asciiTheme="minorEastAsia" w:hAnsiTheme="minorEastAsia" w:eastAsiaTheme="minorEastAsia"/>
          <w:color w:val="000000"/>
          <w:sz w:val="28"/>
          <w:szCs w:val="28"/>
        </w:rPr>
        <w:t>公务接待305批次，2390人次。</w:t>
      </w:r>
    </w:p>
    <w:p w14:paraId="7C3CF453">
      <w:pPr>
        <w:spacing w:line="600" w:lineRule="exact"/>
        <w:ind w:firstLine="560" w:firstLineChars="200"/>
        <w:rPr>
          <w:rFonts w:ascii="宋体" w:hAnsi="宋体" w:cs="宋体"/>
          <w:sz w:val="28"/>
          <w:szCs w:val="28"/>
        </w:rPr>
      </w:pPr>
      <w:r>
        <w:rPr>
          <w:rFonts w:hint="eastAsia" w:ascii="宋体" w:hAnsi="宋体" w:cs="宋体"/>
          <w:sz w:val="28"/>
          <w:szCs w:val="28"/>
        </w:rPr>
        <w:t>（二）专项绩效目标实施和完成情况</w:t>
      </w:r>
    </w:p>
    <w:p w14:paraId="6EDAAE0A">
      <w:pPr>
        <w:ind w:firstLine="560" w:firstLineChars="200"/>
        <w:rPr>
          <w:rFonts w:ascii="宋体" w:hAnsi="宋体" w:cs="宋体"/>
          <w:sz w:val="28"/>
          <w:szCs w:val="28"/>
        </w:rPr>
      </w:pPr>
      <w:r>
        <w:rPr>
          <w:rFonts w:hint="eastAsia" w:ascii="宋体" w:hAnsi="宋体" w:cs="宋体"/>
          <w:sz w:val="28"/>
          <w:szCs w:val="28"/>
        </w:rPr>
        <w:t>项目建设推进顺利</w:t>
      </w:r>
    </w:p>
    <w:p w14:paraId="02C49A00">
      <w:pPr>
        <w:pStyle w:val="9"/>
        <w:numPr>
          <w:ilvl w:val="0"/>
          <w:numId w:val="2"/>
        </w:numPr>
        <w:ind w:firstLineChars="0"/>
        <w:rPr>
          <w:rFonts w:ascii="宋体" w:hAnsi="宋体" w:cs="宋体"/>
          <w:sz w:val="28"/>
          <w:szCs w:val="28"/>
        </w:rPr>
      </w:pPr>
      <w:r>
        <w:rPr>
          <w:rFonts w:hint="eastAsia" w:ascii="宋体" w:hAnsi="宋体" w:cs="宋体"/>
          <w:sz w:val="28"/>
          <w:szCs w:val="28"/>
        </w:rPr>
        <w:t>村级及社区运行经费</w:t>
      </w:r>
    </w:p>
    <w:p w14:paraId="3B9AE954">
      <w:pPr>
        <w:rPr>
          <w:rFonts w:cs="宋体" w:asciiTheme="minorEastAsia" w:hAnsiTheme="minorEastAsia" w:eastAsiaTheme="minorEastAsia"/>
          <w:sz w:val="28"/>
          <w:szCs w:val="28"/>
        </w:rPr>
      </w:pPr>
      <w:r>
        <w:rPr>
          <w:rFonts w:hint="eastAsia" w:ascii="宋体" w:hAnsi="宋体" w:cs="宋体"/>
          <w:sz w:val="28"/>
          <w:szCs w:val="28"/>
        </w:rPr>
        <w:t xml:space="preserve">    </w:t>
      </w:r>
      <w:r>
        <w:rPr>
          <w:rFonts w:hint="eastAsia" w:cs="宋体" w:asciiTheme="minorEastAsia" w:hAnsiTheme="minorEastAsia" w:eastAsiaTheme="minorEastAsia"/>
          <w:sz w:val="28"/>
          <w:szCs w:val="28"/>
        </w:rPr>
        <w:t>白果镇下辖17个行政村、2个社区居委会，村支两委干部106人，各项工作稳步推进，</w:t>
      </w:r>
      <w:r>
        <w:rPr>
          <w:rFonts w:cs="宋体" w:asciiTheme="minorEastAsia" w:hAnsiTheme="minorEastAsia" w:eastAsiaTheme="minorEastAsia"/>
          <w:sz w:val="28"/>
          <w:szCs w:val="28"/>
        </w:rPr>
        <w:t>2019年我镇获得</w:t>
      </w:r>
      <w:r>
        <w:rPr>
          <w:rFonts w:hint="eastAsia" w:asciiTheme="minorEastAsia" w:hAnsiTheme="minorEastAsia" w:eastAsiaTheme="minorEastAsia"/>
          <w:sz w:val="28"/>
          <w:szCs w:val="28"/>
        </w:rPr>
        <w:t>湖南省“六好”乡镇（街道）工会</w:t>
      </w:r>
      <w:r>
        <w:rPr>
          <w:rFonts w:cs="宋体" w:asciiTheme="minorEastAsia" w:hAnsiTheme="minorEastAsia" w:eastAsiaTheme="minorEastAsia"/>
          <w:sz w:val="28"/>
          <w:szCs w:val="28"/>
        </w:rPr>
        <w:t>，</w:t>
      </w:r>
      <w:r>
        <w:rPr>
          <w:rFonts w:hint="eastAsia" w:asciiTheme="minorEastAsia" w:hAnsiTheme="minorEastAsia" w:eastAsiaTheme="minorEastAsia"/>
          <w:color w:val="000000"/>
          <w:sz w:val="28"/>
          <w:szCs w:val="28"/>
        </w:rPr>
        <w:t>湖南省美丽河湖（桃花港），湖南省计划生育基层群众自治先进单位，湖南省现代农机合作社（日升、大江），衡阳市“法治乡镇（街道）”，湖南省脱贫攻坚先进个人（周锦屏），湖南省农村幸福社区建设示范单位（棠兴村），市级同心美丽乡村（棠兴村），</w:t>
      </w:r>
      <w:r>
        <w:rPr>
          <w:rFonts w:hint="eastAsia" w:asciiTheme="minorEastAsia" w:hAnsiTheme="minorEastAsia" w:eastAsiaTheme="minorEastAsia"/>
          <w:sz w:val="28"/>
          <w:szCs w:val="28"/>
        </w:rPr>
        <w:t>市级“五化”建设创优达标示范支部（棠兴村）</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获得县“目标管理绩效考核先进乡镇”</w:t>
      </w:r>
      <w:r>
        <w:rPr>
          <w:rFonts w:hint="eastAsia" w:cs="宋体" w:asciiTheme="minorEastAsia" w:hAnsiTheme="minorEastAsia" w:eastAsiaTheme="minorEastAsia"/>
          <w:sz w:val="28"/>
          <w:szCs w:val="28"/>
        </w:rPr>
        <w:t>等</w:t>
      </w:r>
      <w:r>
        <w:rPr>
          <w:rFonts w:cs="宋体" w:asciiTheme="minorEastAsia" w:hAnsiTheme="minorEastAsia" w:eastAsiaTheme="minorEastAsia"/>
          <w:sz w:val="28"/>
          <w:szCs w:val="28"/>
        </w:rPr>
        <w:t>。</w:t>
      </w:r>
    </w:p>
    <w:p w14:paraId="0A7A1CB4">
      <w:pPr>
        <w:ind w:left="560"/>
        <w:rPr>
          <w:rFonts w:ascii="宋体" w:hAnsi="宋体" w:cs="宋体"/>
          <w:sz w:val="28"/>
          <w:szCs w:val="28"/>
        </w:rPr>
      </w:pPr>
      <w:r>
        <w:rPr>
          <w:rFonts w:hint="eastAsia" w:ascii="宋体" w:hAnsi="宋体" w:cs="宋体"/>
          <w:sz w:val="28"/>
          <w:szCs w:val="28"/>
        </w:rPr>
        <w:t>（2）危房改造项目</w:t>
      </w:r>
    </w:p>
    <w:p w14:paraId="166C0D2A">
      <w:pPr>
        <w:widowControl/>
        <w:spacing w:line="560" w:lineRule="exact"/>
        <w:ind w:firstLine="560" w:firstLineChars="200"/>
        <w:rPr>
          <w:rFonts w:ascii="宋体" w:hAnsi="宋体" w:cs="宋体"/>
          <w:sz w:val="28"/>
          <w:szCs w:val="28"/>
        </w:rPr>
      </w:pPr>
      <w:r>
        <w:rPr>
          <w:rFonts w:hint="eastAsia" w:ascii="宋体" w:hAnsi="宋体" w:cs="宋体"/>
          <w:sz w:val="28"/>
          <w:szCs w:val="28"/>
        </w:rPr>
        <w:t>我镇2019年危房改造任务指标数为53户，在镇危改办及各村（社区）干部齐心协力下，各危改户房屋目前已经全部竣工并通过验收，住房保障问题得到解决，全镇已落实危改资金110.23万元，镇危改办将进一步加大督促力度，按质按量完成任务，确保全镇“四类人员”住房得到保障。</w:t>
      </w:r>
    </w:p>
    <w:p w14:paraId="095189D8">
      <w:pPr>
        <w:ind w:firstLine="560" w:firstLineChars="200"/>
        <w:rPr>
          <w:rFonts w:ascii="宋体" w:hAnsi="宋体" w:cs="宋体"/>
          <w:sz w:val="28"/>
          <w:szCs w:val="28"/>
        </w:rPr>
      </w:pPr>
      <w:r>
        <w:rPr>
          <w:rFonts w:hint="eastAsia" w:ascii="宋体" w:hAnsi="宋体" w:cs="宋体"/>
          <w:sz w:val="28"/>
          <w:szCs w:val="28"/>
        </w:rPr>
        <w:t>（三）专项资金绩效情况</w:t>
      </w:r>
    </w:p>
    <w:p w14:paraId="18E40300">
      <w:pPr>
        <w:spacing w:line="560" w:lineRule="exact"/>
        <w:ind w:firstLine="560" w:firstLineChars="200"/>
        <w:rPr>
          <w:rFonts w:ascii="宋体" w:hAnsi="宋体" w:cs="宋体"/>
          <w:sz w:val="28"/>
          <w:szCs w:val="28"/>
        </w:rPr>
      </w:pPr>
      <w:r>
        <w:rPr>
          <w:rFonts w:hint="eastAsia" w:ascii="宋体" w:hAnsi="宋体" w:cs="宋体"/>
          <w:sz w:val="28"/>
          <w:szCs w:val="28"/>
        </w:rPr>
        <w:t>一年来，白果镇财政资金严格按照预算管理要求和财经财务制度规定执行，县级安排的各项专项资金严格按照项目专项资金使用管理要求和相应项目实施方案加强管理，制定了相关资金管理制度，严格资金支出，资金使用规范，项目工作开展措施有力，工作稳步推进，且成效明显。项目专项资金到位和拨付及时，资金使用单位严格专项资金使用与管理，专账核算，专款专用，用到实处，没有出现项目资金被挤占、挪用、和严重偏离绩效目标的情况，确保了资金效果，项目专项资金产出效果比较明显，达到预期目标，发挥了财政专项资金效益和作用。</w:t>
      </w:r>
    </w:p>
    <w:p w14:paraId="4EE05C75">
      <w:pPr>
        <w:spacing w:line="560" w:lineRule="exact"/>
        <w:ind w:firstLine="560" w:firstLineChars="200"/>
        <w:rPr>
          <w:rFonts w:ascii="宋体" w:hAnsi="宋体" w:cs="宋体"/>
          <w:sz w:val="28"/>
          <w:szCs w:val="28"/>
        </w:rPr>
      </w:pPr>
      <w:r>
        <w:rPr>
          <w:rFonts w:hint="eastAsia" w:ascii="宋体" w:hAnsi="宋体" w:cs="宋体"/>
          <w:sz w:val="28"/>
          <w:szCs w:val="28"/>
        </w:rPr>
        <w:t>年度部门预算执行整体收支平稳，各项工作开展顺畅，工作目标如期实现，重点工作突出，各项工作继续保持，资金投入准确到位，资金支出成效明显，整体效果好。</w:t>
      </w:r>
    </w:p>
    <w:p w14:paraId="6ABEDCBD">
      <w:pPr>
        <w:spacing w:line="560" w:lineRule="exact"/>
        <w:rPr>
          <w:rFonts w:ascii="宋体" w:hAnsi="宋体" w:cs="宋体"/>
          <w:sz w:val="28"/>
          <w:szCs w:val="28"/>
        </w:rPr>
      </w:pPr>
      <w:r>
        <w:rPr>
          <w:rFonts w:hint="eastAsia" w:ascii="宋体" w:hAnsi="宋体" w:cs="宋体"/>
          <w:sz w:val="28"/>
          <w:szCs w:val="28"/>
        </w:rPr>
        <w:t>（四）财务制度建设及财务管理情况</w:t>
      </w:r>
    </w:p>
    <w:p w14:paraId="10F61AA5">
      <w:pPr>
        <w:spacing w:line="560" w:lineRule="exact"/>
        <w:ind w:firstLine="560" w:firstLineChars="200"/>
        <w:rPr>
          <w:rFonts w:ascii="宋体" w:hAnsi="宋体" w:cs="宋体"/>
          <w:sz w:val="28"/>
          <w:szCs w:val="28"/>
        </w:rPr>
      </w:pPr>
      <w:r>
        <w:rPr>
          <w:rFonts w:hint="eastAsia" w:ascii="宋体" w:hAnsi="宋体" w:cs="宋体"/>
          <w:sz w:val="28"/>
          <w:szCs w:val="28"/>
        </w:rPr>
        <w:t>根据《会计法》《预算法》《行政事业单位财务规则》等法律法规，财政部及省财政厅有关财务规章的规定，我镇加强了经费预算管理，对预算资金的使用，资产的配置、处置、项目资金的管理进一步规范，加大压缩“三公经费”以及办公费、会议费、差旅费、培训费、公务接待费等相关经费支出，加强内控系统完善，明确管理目标和要求，细化开支标准和开支范围，完善报账程序，审批权限等，资金得到进一步规范使用和管理，确保资金效益。</w:t>
      </w:r>
    </w:p>
    <w:p w14:paraId="52385E21">
      <w:pPr>
        <w:spacing w:line="560" w:lineRule="exact"/>
        <w:rPr>
          <w:rFonts w:ascii="宋体" w:hAnsi="宋体" w:cs="宋体"/>
          <w:sz w:val="28"/>
          <w:szCs w:val="28"/>
        </w:rPr>
      </w:pPr>
      <w:r>
        <w:rPr>
          <w:rFonts w:hint="eastAsia" w:ascii="宋体" w:hAnsi="宋体" w:cs="宋体"/>
          <w:sz w:val="28"/>
          <w:szCs w:val="28"/>
        </w:rPr>
        <w:t>（五）专项资金管理制度、措施制定和实施情况</w:t>
      </w:r>
    </w:p>
    <w:p w14:paraId="734787EC">
      <w:pPr>
        <w:spacing w:line="560" w:lineRule="exact"/>
        <w:ind w:firstLine="560" w:firstLineChars="200"/>
        <w:rPr>
          <w:rFonts w:ascii="宋体" w:hAnsi="宋体" w:cs="宋体"/>
          <w:sz w:val="28"/>
          <w:szCs w:val="28"/>
        </w:rPr>
      </w:pPr>
      <w:r>
        <w:rPr>
          <w:rFonts w:hint="eastAsia" w:ascii="宋体" w:hAnsi="宋体" w:cs="宋体"/>
          <w:sz w:val="28"/>
          <w:szCs w:val="28"/>
        </w:rPr>
        <w:t>白果镇人民政府严格按照专项资金管理要求认真落实专项资金专款专用、专项管理、绩效目标跟踪、资金使用效益评价管理要求，各项目制定了相关工作方案，成立资金使用管理、考核评价工作领导小组，对照项目专项资金使用、管理要求，加强了对专项资金的规范使用和效益管理，资金严格按照专项资金要求，加强预算、绩效目标、产出效益、使用监督管理，量化细化工作指标，强化考核，责任到人，发现资金使用出现偏离马上予以纠正，确保专项资金使用达实效，产出见效益。</w:t>
      </w:r>
    </w:p>
    <w:p w14:paraId="3E5D3727">
      <w:pPr>
        <w:spacing w:line="560" w:lineRule="exact"/>
        <w:ind w:firstLine="562" w:firstLineChars="200"/>
        <w:rPr>
          <w:rFonts w:ascii="宋体" w:hAnsi="宋体" w:cs="宋体"/>
          <w:b/>
          <w:sz w:val="28"/>
          <w:szCs w:val="28"/>
        </w:rPr>
      </w:pPr>
      <w:r>
        <w:rPr>
          <w:rFonts w:hint="eastAsia" w:ascii="宋体" w:hAnsi="宋体" w:cs="宋体"/>
          <w:b/>
          <w:sz w:val="28"/>
          <w:szCs w:val="28"/>
        </w:rPr>
        <w:t>五、当前困难</w:t>
      </w:r>
    </w:p>
    <w:p w14:paraId="4C90C336">
      <w:pPr>
        <w:spacing w:line="580" w:lineRule="exact"/>
        <w:ind w:firstLine="560" w:firstLineChars="200"/>
        <w:rPr>
          <w:rFonts w:ascii="宋体" w:hAnsi="宋体" w:cs="宋体"/>
          <w:sz w:val="28"/>
          <w:szCs w:val="28"/>
        </w:rPr>
      </w:pPr>
      <w:r>
        <w:rPr>
          <w:rFonts w:hint="eastAsia" w:ascii="宋体" w:hAnsi="宋体" w:cs="宋体"/>
          <w:sz w:val="28"/>
          <w:szCs w:val="28"/>
        </w:rPr>
        <w:t>主要表现在：</w:t>
      </w:r>
    </w:p>
    <w:p w14:paraId="4A0EE7C2">
      <w:pPr>
        <w:spacing w:line="580" w:lineRule="exact"/>
        <w:ind w:firstLine="560" w:firstLineChars="200"/>
        <w:rPr>
          <w:rFonts w:ascii="宋体" w:hAnsi="宋体" w:cs="宋体"/>
          <w:sz w:val="28"/>
          <w:szCs w:val="28"/>
        </w:rPr>
      </w:pPr>
      <w:r>
        <w:rPr>
          <w:rFonts w:hint="eastAsia" w:ascii="宋体" w:hAnsi="宋体" w:cs="宋体"/>
          <w:sz w:val="28"/>
          <w:szCs w:val="28"/>
        </w:rPr>
        <w:t>（一）农业产业结构调整步伐较慢，生态休闲农业发展后劲不强；工业经济总量偏小，企业单体规模小，骨干企业少，高新技术型企业不多。</w:t>
      </w:r>
      <w:r>
        <w:rPr>
          <w:rFonts w:ascii="宋体" w:hAnsi="宋体" w:cs="宋体"/>
          <w:sz w:val="28"/>
          <w:szCs w:val="28"/>
        </w:rPr>
        <w:t xml:space="preserve"> </w:t>
      </w:r>
    </w:p>
    <w:p w14:paraId="05D35C45">
      <w:pPr>
        <w:spacing w:line="560" w:lineRule="exact"/>
        <w:ind w:firstLine="560" w:firstLineChars="200"/>
        <w:rPr>
          <w:rFonts w:ascii="宋体" w:hAnsi="宋体" w:cs="宋体"/>
          <w:sz w:val="28"/>
          <w:szCs w:val="28"/>
        </w:rPr>
      </w:pPr>
      <w:r>
        <w:rPr>
          <w:rFonts w:hint="eastAsia" w:ascii="宋体" w:hAnsi="宋体" w:cs="宋体"/>
          <w:sz w:val="28"/>
          <w:szCs w:val="28"/>
        </w:rPr>
        <w:t>（二）财政资金支出延缓。项目工作开展须有资金保障，近年来通过财政资金支出出现延缓，特别是项目资金不能确保按计划和进度实现付款，资金支出延缓甚至出现资金暂时支付不了的情况，势必造成项目进展不能达预期目标。</w:t>
      </w:r>
    </w:p>
    <w:p w14:paraId="1C6BC6A0">
      <w:pPr>
        <w:spacing w:line="560" w:lineRule="exact"/>
        <w:ind w:firstLine="562" w:firstLineChars="200"/>
        <w:rPr>
          <w:rFonts w:ascii="宋体" w:hAnsi="宋体" w:cs="宋体"/>
          <w:b/>
          <w:sz w:val="28"/>
          <w:szCs w:val="28"/>
        </w:rPr>
      </w:pPr>
      <w:r>
        <w:rPr>
          <w:rFonts w:hint="eastAsia" w:ascii="宋体" w:hAnsi="宋体" w:cs="宋体"/>
          <w:b/>
          <w:sz w:val="28"/>
          <w:szCs w:val="28"/>
        </w:rPr>
        <w:t>六、今后工作建议</w:t>
      </w:r>
    </w:p>
    <w:p w14:paraId="7F3EEBC9">
      <w:pPr>
        <w:spacing w:line="580" w:lineRule="exact"/>
        <w:ind w:firstLine="560" w:firstLineChars="200"/>
        <w:rPr>
          <w:rFonts w:ascii="宋体" w:hAnsi="宋体" w:cs="宋体"/>
          <w:sz w:val="28"/>
          <w:szCs w:val="28"/>
        </w:rPr>
      </w:pPr>
      <w:r>
        <w:rPr>
          <w:rFonts w:hint="eastAsia" w:ascii="宋体" w:hAnsi="宋体" w:cs="宋体"/>
          <w:sz w:val="28"/>
          <w:szCs w:val="28"/>
        </w:rPr>
        <w:t>（一）优化环境，强化招商，着力培育新的经济亮点。</w:t>
      </w:r>
    </w:p>
    <w:p w14:paraId="3DC5CF6D">
      <w:pPr>
        <w:spacing w:line="580" w:lineRule="exact"/>
        <w:ind w:firstLine="560" w:firstLineChars="200"/>
        <w:rPr>
          <w:rFonts w:ascii="宋体" w:hAnsi="宋体" w:cs="宋体"/>
          <w:sz w:val="28"/>
          <w:szCs w:val="28"/>
        </w:rPr>
      </w:pPr>
      <w:r>
        <w:rPr>
          <w:rFonts w:hint="eastAsia" w:ascii="宋体" w:hAnsi="宋体" w:cs="宋体"/>
          <w:sz w:val="28"/>
          <w:szCs w:val="28"/>
        </w:rPr>
        <w:t>一是切实加强项目推进。要转变工作观念，调整工作思路，明确工作责任，深入研透并严格执行土地征收政策，严守工作时限，破解工作瓶颈，确保严格按照时间节点落实征拆和安置工作任务，促进项目如期顺利推进。加快推进科技含量高、经济效益好、产业带动强的大项目、好项目。</w:t>
      </w:r>
    </w:p>
    <w:p w14:paraId="546E545B">
      <w:pPr>
        <w:spacing w:line="580" w:lineRule="exact"/>
        <w:ind w:firstLine="560" w:firstLineChars="200"/>
        <w:rPr>
          <w:rFonts w:ascii="宋体" w:hAnsi="宋体" w:cs="宋体"/>
          <w:sz w:val="28"/>
          <w:szCs w:val="28"/>
        </w:rPr>
      </w:pPr>
      <w:r>
        <w:rPr>
          <w:rFonts w:hint="eastAsia" w:ascii="宋体" w:hAnsi="宋体" w:cs="宋体"/>
          <w:sz w:val="28"/>
          <w:szCs w:val="28"/>
        </w:rPr>
        <w:t>二是加大招商引资力度。整合招商资源，创新招商载体，开展招商选资，对符合白果发展思路的项目积极引进，积极实施规范招商行为，坚持老客户和新客户并举，强化服务意识，优化发展环境，不断提高招商质量和水平。</w:t>
      </w:r>
    </w:p>
    <w:p w14:paraId="0E4B6A56">
      <w:pPr>
        <w:spacing w:line="580" w:lineRule="exact"/>
        <w:ind w:firstLine="560" w:firstLineChars="200"/>
        <w:rPr>
          <w:rFonts w:ascii="宋体" w:hAnsi="宋体" w:cs="宋体"/>
          <w:sz w:val="28"/>
          <w:szCs w:val="28"/>
        </w:rPr>
      </w:pPr>
      <w:r>
        <w:rPr>
          <w:rFonts w:hint="eastAsia" w:ascii="宋体" w:hAnsi="宋体" w:cs="宋体"/>
          <w:sz w:val="28"/>
          <w:szCs w:val="28"/>
        </w:rPr>
        <w:t>三是强化项目推进要素保障。加强城建、国土及规划管理，规范项目准入,完成镇区村规划编制工作，规范农村基础设施和公共服务设施建设，科学有序推进新农村建设。以新农村建设为抓手，加快改善人居环境步伐；进一步加大对违章建筑的整治力度，促使村民依法依规建房。</w:t>
      </w:r>
    </w:p>
    <w:p w14:paraId="5F2CE992">
      <w:pPr>
        <w:spacing w:line="580" w:lineRule="exact"/>
        <w:ind w:firstLine="560" w:firstLineChars="200"/>
        <w:rPr>
          <w:rFonts w:ascii="宋体" w:hAnsi="宋体" w:cs="宋体"/>
          <w:sz w:val="28"/>
          <w:szCs w:val="28"/>
        </w:rPr>
      </w:pPr>
      <w:r>
        <w:rPr>
          <w:rFonts w:hint="eastAsia" w:ascii="宋体" w:hAnsi="宋体" w:cs="宋体"/>
          <w:sz w:val="28"/>
          <w:szCs w:val="28"/>
        </w:rPr>
        <w:t>（二）创新思路，拓展空间，深入挖掘经济发展潜力。</w:t>
      </w:r>
    </w:p>
    <w:p w14:paraId="717E9BBF">
      <w:pPr>
        <w:spacing w:line="580" w:lineRule="exact"/>
        <w:ind w:firstLine="560" w:firstLineChars="200"/>
        <w:rPr>
          <w:rFonts w:ascii="宋体" w:hAnsi="宋体" w:cs="宋体"/>
          <w:sz w:val="28"/>
          <w:szCs w:val="28"/>
        </w:rPr>
      </w:pPr>
      <w:r>
        <w:rPr>
          <w:rFonts w:hint="eastAsia" w:ascii="宋体" w:hAnsi="宋体" w:cs="宋体"/>
          <w:sz w:val="28"/>
          <w:szCs w:val="28"/>
        </w:rPr>
        <w:t>一是在巩固传统农业的同时进一步促进农业结构的优化。按照农业</w:t>
      </w:r>
      <w:r>
        <w:rPr>
          <w:rFonts w:hint="eastAsia" w:ascii="宋体" w:hAnsi="宋体" w:cs="宋体"/>
          <w:sz w:val="28"/>
          <w:szCs w:val="28"/>
          <w:lang w:eastAsia="zh-CN"/>
        </w:rPr>
        <w:t>供给侧结构性改革</w:t>
      </w:r>
      <w:r>
        <w:rPr>
          <w:rFonts w:hint="eastAsia" w:ascii="宋体" w:hAnsi="宋体" w:cs="宋体"/>
          <w:sz w:val="28"/>
          <w:szCs w:val="28"/>
        </w:rPr>
        <w:t>的要求，切实加快农村土地流转，把重点放到支持、培育新型农业经营主体上来。加快发展特色农业和农业龙头企业,发展农业休闲旅游产业。</w:t>
      </w:r>
    </w:p>
    <w:p w14:paraId="45D53D3E">
      <w:pPr>
        <w:spacing w:line="580" w:lineRule="exact"/>
        <w:ind w:firstLine="560" w:firstLineChars="200"/>
        <w:rPr>
          <w:rFonts w:ascii="宋体" w:hAnsi="宋体" w:cs="宋体"/>
          <w:sz w:val="28"/>
          <w:szCs w:val="28"/>
        </w:rPr>
      </w:pPr>
      <w:r>
        <w:rPr>
          <w:rFonts w:hint="eastAsia" w:ascii="宋体" w:hAnsi="宋体" w:cs="宋体"/>
          <w:sz w:val="28"/>
          <w:szCs w:val="28"/>
        </w:rPr>
        <w:t>二是抓好乡村振兴工作。继续深化农村产权制度改革，激活乡村各类资源，积极探索乡村振兴发展有效实现路径。推广集体产权制度改革“三化”模式，推动集体资产股份有限公司实体化运营，盘活并管理经营好各类集体资产资源。引导新型农业经营主体和种养大户，推广特色农业产业。加快美丽乡村建设及精准扶贫工作力度，加快农村电商发展，搭建农村综合服务平台，振兴乡村经济。</w:t>
      </w:r>
    </w:p>
    <w:p w14:paraId="02A4680A">
      <w:pPr>
        <w:spacing w:line="580" w:lineRule="exact"/>
        <w:ind w:firstLine="560" w:firstLineChars="200"/>
        <w:rPr>
          <w:rFonts w:ascii="宋体" w:hAnsi="宋体" w:cs="宋体"/>
          <w:sz w:val="28"/>
          <w:szCs w:val="28"/>
        </w:rPr>
      </w:pPr>
      <w:r>
        <w:rPr>
          <w:rFonts w:hint="eastAsia" w:ascii="宋体" w:hAnsi="宋体" w:cs="宋体"/>
          <w:sz w:val="28"/>
          <w:szCs w:val="28"/>
        </w:rPr>
        <w:t>（三）聚焦民生，提升水平，切实为群众解决实际问题。</w:t>
      </w:r>
    </w:p>
    <w:p w14:paraId="2C31CA15">
      <w:pPr>
        <w:spacing w:line="580" w:lineRule="exact"/>
        <w:ind w:firstLine="560" w:firstLineChars="200"/>
        <w:rPr>
          <w:rFonts w:ascii="宋体" w:hAnsi="宋体" w:cs="宋体"/>
          <w:sz w:val="28"/>
          <w:szCs w:val="28"/>
        </w:rPr>
      </w:pPr>
      <w:r>
        <w:rPr>
          <w:rFonts w:hint="eastAsia" w:ascii="宋体" w:hAnsi="宋体" w:cs="宋体"/>
          <w:sz w:val="28"/>
          <w:szCs w:val="28"/>
        </w:rPr>
        <w:t>一是拓宽农民就业渠道。搭建就业平台，畅通就业渠道，增加就业机会。创新就业方式，加快物流、餐饮服务业，提供就业岗位。加强就业培训，提升村民素质，培育实用人才。</w:t>
      </w:r>
    </w:p>
    <w:p w14:paraId="0815D0EE">
      <w:pPr>
        <w:spacing w:line="580" w:lineRule="exact"/>
        <w:ind w:firstLine="560" w:firstLineChars="200"/>
        <w:rPr>
          <w:rFonts w:ascii="宋体" w:hAnsi="宋体" w:cs="宋体"/>
          <w:sz w:val="28"/>
          <w:szCs w:val="28"/>
        </w:rPr>
      </w:pPr>
      <w:r>
        <w:rPr>
          <w:rFonts w:hint="eastAsia" w:ascii="宋体" w:hAnsi="宋体" w:cs="宋体"/>
          <w:sz w:val="28"/>
          <w:szCs w:val="28"/>
        </w:rPr>
        <w:t>二是加强社会保障。扎实做好各类社会救助和帮扶对象申报、审核、发放工作，规范城乡低保评审程序，严格城乡低保审查和资金管理使用，切实按政策落实低保待遇并实施动态管理。推进城乡居民医疗保险和社会养老保险工作扩面提质，提高社会保障能力。</w:t>
      </w:r>
    </w:p>
    <w:p w14:paraId="78C1DCE0">
      <w:pPr>
        <w:spacing w:line="580" w:lineRule="exact"/>
        <w:ind w:firstLine="560" w:firstLineChars="200"/>
        <w:rPr>
          <w:rFonts w:ascii="宋体" w:hAnsi="宋体" w:cs="宋体"/>
          <w:sz w:val="28"/>
          <w:szCs w:val="28"/>
        </w:rPr>
      </w:pPr>
      <w:r>
        <w:rPr>
          <w:rFonts w:hint="eastAsia" w:ascii="宋体" w:hAnsi="宋体" w:cs="宋体"/>
          <w:sz w:val="28"/>
          <w:szCs w:val="28"/>
        </w:rPr>
        <w:t>三是用好惠农资金。加大惠农资金的宣传力度，保障群众的知情权和监督权，及时将惠农补贴公开，强化对惠农资金的监督，确保拨付及时、专款专用。</w:t>
      </w:r>
    </w:p>
    <w:p w14:paraId="27CA3257">
      <w:pPr>
        <w:spacing w:line="580" w:lineRule="exact"/>
        <w:ind w:firstLine="560" w:firstLineChars="200"/>
        <w:rPr>
          <w:rFonts w:ascii="宋体" w:hAnsi="宋体" w:cs="宋体"/>
          <w:sz w:val="28"/>
          <w:szCs w:val="28"/>
        </w:rPr>
      </w:pPr>
      <w:r>
        <w:rPr>
          <w:rFonts w:hint="eastAsia" w:ascii="宋体" w:hAnsi="宋体" w:cs="宋体"/>
          <w:sz w:val="28"/>
          <w:szCs w:val="28"/>
        </w:rPr>
        <w:t>四是改善农村人居环境。扎实开展农村人居环境综合整治三年行动，大力实施以“一拆二改三清四化”为重点的村庄清洁行动，打造好白果示范片。推进农村人居环境综合整治示范片工程，推进农村厕所革命，推进村组垃圾收集点建设和垃圾集中清运工作，推进乡镇污水处理厂建设，完善农村垃圾处理、污水处理体系。积极推进点亮乡村工程，引导和支持村庄主要出入口、主干道和公共活动空间合理设置路灯。加强集镇“五乱”治理，重点整治乱搭乱建、车辆乱停乱靠、电气线路私拉乱建、污水乱排、垃圾乱扔等现象。全面完成农村“空心房”清理和“大棚房”整治年度任务，依法依规拆除闲置房、危旧房、违建房。</w:t>
      </w:r>
    </w:p>
    <w:p w14:paraId="54023C33">
      <w:pPr>
        <w:spacing w:line="580" w:lineRule="exact"/>
        <w:ind w:firstLine="560" w:firstLineChars="200"/>
        <w:rPr>
          <w:rFonts w:ascii="宋体" w:hAnsi="宋体" w:cs="宋体"/>
          <w:sz w:val="28"/>
          <w:szCs w:val="28"/>
        </w:rPr>
      </w:pPr>
      <w:r>
        <w:rPr>
          <w:rFonts w:hint="eastAsia" w:ascii="宋体" w:hAnsi="宋体" w:cs="宋体"/>
          <w:sz w:val="28"/>
          <w:szCs w:val="28"/>
        </w:rPr>
        <w:t>五是打好精准脱贫攻坚战。紧扣“两不愁三保障”标准，把继续攻坚和成果巩固摆在同等重要位置，统筹重点贫困村和面上贫困村之间的政策平衡，研究解决收入水平略高于建档立卡贫困户的群体缺乏政策支持等新问题，实现除一类低保兜底对象外的贫困人口全部脱贫。进一步加大产业扶贫力度，全面落实教育、健康、住房等扶贫政策，深入实施就业扶贫、基础设施扶贫，确保贫困户脱贫不脱政策。坚持扶贫与扶志、扶贫与扶智相结合，激发贫困群众的内生动力，着力巩固提升脱贫成果，切实防止和减少返贫现象发生。</w:t>
      </w:r>
    </w:p>
    <w:p w14:paraId="043E7EAD">
      <w:pPr>
        <w:spacing w:line="560" w:lineRule="exact"/>
        <w:ind w:firstLine="281" w:firstLineChars="100"/>
        <w:rPr>
          <w:rFonts w:ascii="宋体" w:hAnsi="宋体" w:cs="宋体"/>
          <w:b/>
          <w:sz w:val="28"/>
          <w:szCs w:val="28"/>
        </w:rPr>
      </w:pPr>
      <w:r>
        <w:rPr>
          <w:rFonts w:hint="eastAsia" w:ascii="宋体" w:hAnsi="宋体" w:cs="宋体"/>
          <w:b/>
          <w:sz w:val="28"/>
          <w:szCs w:val="28"/>
        </w:rPr>
        <w:t>七、其他需要说明的情况</w:t>
      </w:r>
    </w:p>
    <w:p w14:paraId="1D09A943">
      <w:pPr>
        <w:spacing w:line="560" w:lineRule="exact"/>
        <w:ind w:firstLine="560" w:firstLineChars="200"/>
        <w:rPr>
          <w:rFonts w:ascii="宋体" w:hAnsi="宋体" w:cs="宋体"/>
          <w:sz w:val="28"/>
          <w:szCs w:val="28"/>
        </w:rPr>
      </w:pPr>
      <w:r>
        <w:rPr>
          <w:rFonts w:hint="eastAsia" w:ascii="宋体" w:hAnsi="宋体" w:cs="宋体"/>
          <w:sz w:val="28"/>
          <w:szCs w:val="28"/>
        </w:rPr>
        <w:t>无</w:t>
      </w:r>
    </w:p>
    <w:p w14:paraId="5417459C">
      <w:pPr>
        <w:spacing w:line="560" w:lineRule="exact"/>
        <w:ind w:firstLine="560" w:firstLineChars="200"/>
        <w:rPr>
          <w:rFonts w:ascii="宋体" w:hAnsi="宋体" w:cs="宋体"/>
          <w:sz w:val="28"/>
          <w:szCs w:val="28"/>
        </w:rPr>
      </w:pPr>
    </w:p>
    <w:p w14:paraId="2242939F">
      <w:pPr>
        <w:spacing w:line="560" w:lineRule="exact"/>
        <w:ind w:firstLine="560" w:firstLineChars="200"/>
        <w:rPr>
          <w:rFonts w:ascii="宋体" w:hAnsi="宋体" w:cs="宋体"/>
          <w:sz w:val="28"/>
          <w:szCs w:val="28"/>
        </w:rPr>
      </w:pPr>
    </w:p>
    <w:p w14:paraId="34EA3547">
      <w:pPr>
        <w:spacing w:line="560" w:lineRule="exact"/>
        <w:ind w:firstLine="560" w:firstLineChars="200"/>
        <w:rPr>
          <w:rFonts w:ascii="宋体" w:hAnsi="宋体" w:cs="宋体"/>
          <w:sz w:val="28"/>
          <w:szCs w:val="28"/>
        </w:rPr>
      </w:pPr>
    </w:p>
    <w:p w14:paraId="30EE1805">
      <w:pPr>
        <w:spacing w:line="560" w:lineRule="exact"/>
        <w:ind w:firstLine="560" w:firstLineChars="200"/>
        <w:rPr>
          <w:rFonts w:ascii="宋体" w:hAnsi="宋体" w:cs="宋体"/>
          <w:sz w:val="28"/>
          <w:szCs w:val="28"/>
        </w:rPr>
      </w:pPr>
    </w:p>
    <w:p w14:paraId="308796F0">
      <w:pPr>
        <w:spacing w:line="560" w:lineRule="exact"/>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B5A7E"/>
    <w:multiLevelType w:val="multilevel"/>
    <w:tmpl w:val="460B5A7E"/>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F5EF82F"/>
    <w:multiLevelType w:val="singleLevel"/>
    <w:tmpl w:val="6F5EF82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3E51"/>
    <w:rsid w:val="000221B5"/>
    <w:rsid w:val="00042179"/>
    <w:rsid w:val="000A3E51"/>
    <w:rsid w:val="001147E7"/>
    <w:rsid w:val="00151FCB"/>
    <w:rsid w:val="001F11C5"/>
    <w:rsid w:val="002125FD"/>
    <w:rsid w:val="0025234F"/>
    <w:rsid w:val="00312DCA"/>
    <w:rsid w:val="00363258"/>
    <w:rsid w:val="003656F2"/>
    <w:rsid w:val="00397D93"/>
    <w:rsid w:val="00452B0A"/>
    <w:rsid w:val="004F3B19"/>
    <w:rsid w:val="00542C9A"/>
    <w:rsid w:val="00545295"/>
    <w:rsid w:val="00546AB0"/>
    <w:rsid w:val="005C2680"/>
    <w:rsid w:val="005E4055"/>
    <w:rsid w:val="006C5649"/>
    <w:rsid w:val="00733503"/>
    <w:rsid w:val="00755A1B"/>
    <w:rsid w:val="007607A6"/>
    <w:rsid w:val="007767A7"/>
    <w:rsid w:val="008006DB"/>
    <w:rsid w:val="00801CB6"/>
    <w:rsid w:val="008243E1"/>
    <w:rsid w:val="009B5CF1"/>
    <w:rsid w:val="009E185B"/>
    <w:rsid w:val="00AD33CC"/>
    <w:rsid w:val="00AD7885"/>
    <w:rsid w:val="00AF768B"/>
    <w:rsid w:val="00B51038"/>
    <w:rsid w:val="00B70877"/>
    <w:rsid w:val="00BA5E77"/>
    <w:rsid w:val="00C01CCC"/>
    <w:rsid w:val="00C10CAD"/>
    <w:rsid w:val="00C741AC"/>
    <w:rsid w:val="00CF6BE6"/>
    <w:rsid w:val="00D04C31"/>
    <w:rsid w:val="00D445B4"/>
    <w:rsid w:val="00D475FC"/>
    <w:rsid w:val="00D72A30"/>
    <w:rsid w:val="00DC127A"/>
    <w:rsid w:val="00F925F8"/>
    <w:rsid w:val="00FB7747"/>
    <w:rsid w:val="00FD7C23"/>
    <w:rsid w:val="6C61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uiPriority w:val="99"/>
    <w:rPr>
      <w:rFonts w:ascii="Calibri" w:hAnsi="Calibri" w:eastAsia="宋体" w:cs="Times New Roman"/>
      <w:sz w:val="18"/>
      <w:szCs w:val="18"/>
    </w:rPr>
  </w:style>
  <w:style w:type="character" w:customStyle="1" w:styleId="8">
    <w:name w:val="页脚 Char"/>
    <w:basedOn w:val="6"/>
    <w:link w:val="2"/>
    <w:semiHidden/>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AA51F8-BE32-4E3A-B6FA-846F6DF71D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3785</Words>
  <Characters>3917</Characters>
  <Lines>28</Lines>
  <Paragraphs>7</Paragraphs>
  <TotalTime>1586</TotalTime>
  <ScaleCrop>false</ScaleCrop>
  <LinksUpToDate>false</LinksUpToDate>
  <CharactersWithSpaces>3926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2020-10-03T02:24:00Z</dcterms:created>
  <dc:creator>微软用户</dc:creator>
  <cp:lastModifiedBy>邓婷</cp:lastModifiedBy>
  <cp:lastPrinted>2020-10-20T08:34:00Z</cp:lastPrinted>
  <dcterms:modified xsi:type="dcterms:W3CDTF">2025-01-17T07:43:51Z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eyJoZGlkIjoiNWMyNjllMmU0YTcwZjNhMTY0NmE1Zjk3MGY5NmI4MWYiLCJ1c2VySWQiOiIxMDY5MjgzMDcxIn0=</vt:lpwstr>
  </property>
  <property fmtid="{D5CDD505-2E9C-101B-9397-08002B2CF9AE}" pid="3" name="KSOProductBuildVer">
    <vt:lpwstr>2052-12.1.0.19770</vt:lpwstr>
  </property>
  <property fmtid="{D5CDD505-2E9C-101B-9397-08002B2CF9AE}" pid="4" name="ICV">
    <vt:lpwstr>B0336D4095FE40DEA185E4E6977EFF5F_12</vt:lpwstr>
  </property>
</Properties>
</file>