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kern w:val="0"/>
          <w:sz w:val="32"/>
          <w:szCs w:val="32"/>
        </w:rPr>
      </w:pPr>
      <w:bookmarkStart w:id="0" w:name="_GoBack"/>
      <w:bookmarkEnd w:id="0"/>
      <w:r>
        <w:rPr>
          <w:rFonts w:hint="eastAsia" w:ascii="黑体" w:hAnsi="黑体" w:eastAsia="黑体"/>
          <w:kern w:val="0"/>
          <w:sz w:val="32"/>
          <w:szCs w:val="32"/>
        </w:rPr>
        <w:t>附件</w:t>
      </w:r>
      <w:r>
        <w:rPr>
          <w:rFonts w:ascii="黑体" w:hAnsi="黑体" w:eastAsia="黑体"/>
          <w:kern w:val="0"/>
          <w:sz w:val="32"/>
          <w:szCs w:val="32"/>
        </w:rPr>
        <w:t>1</w:t>
      </w:r>
    </w:p>
    <w:p>
      <w:pPr>
        <w:jc w:val="center"/>
        <w:rPr>
          <w:kern w:val="0"/>
          <w:sz w:val="24"/>
        </w:rPr>
      </w:pPr>
      <w:r>
        <w:rPr>
          <w:rFonts w:hint="eastAsia" w:eastAsia="方正小标宋_GBK"/>
          <w:kern w:val="0"/>
          <w:sz w:val="36"/>
          <w:szCs w:val="36"/>
        </w:rPr>
        <w:t>部门整体支出绩效评价指标评分表</w:t>
      </w:r>
    </w:p>
    <w:tbl>
      <w:tblPr>
        <w:tblStyle w:val="6"/>
        <w:tblW w:w="8930" w:type="dxa"/>
        <w:jc w:val="center"/>
        <w:tblInd w:w="0" w:type="dxa"/>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Layout w:type="fixed"/>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0"/>
                <w:szCs w:val="20"/>
              </w:rPr>
            </w:pPr>
            <w:r>
              <w:rPr>
                <w:rFonts w:hint="eastAsia"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eastAsia="黑体"/>
                <w:kern w:val="0"/>
                <w:sz w:val="20"/>
                <w:szCs w:val="20"/>
              </w:rPr>
            </w:pPr>
            <w:r>
              <w:rPr>
                <w:rFonts w:hint="eastAsia"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黑体"/>
                <w:kern w:val="0"/>
                <w:sz w:val="20"/>
                <w:szCs w:val="20"/>
              </w:rPr>
            </w:pPr>
            <w:r>
              <w:rPr>
                <w:rFonts w:hint="eastAsia" w:eastAsia="黑体"/>
                <w:kern w:val="0"/>
                <w:sz w:val="20"/>
                <w:szCs w:val="20"/>
              </w:rPr>
              <w:t>三级</w:t>
            </w:r>
          </w:p>
          <w:p>
            <w:pPr>
              <w:widowControl/>
              <w:jc w:val="center"/>
              <w:rPr>
                <w:rFonts w:eastAsia="黑体"/>
                <w:kern w:val="0"/>
                <w:sz w:val="20"/>
                <w:szCs w:val="20"/>
              </w:rPr>
            </w:pPr>
            <w:r>
              <w:rPr>
                <w:rFonts w:hint="eastAsia"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黑体"/>
                <w:kern w:val="0"/>
                <w:sz w:val="20"/>
                <w:szCs w:val="20"/>
              </w:rPr>
            </w:pPr>
            <w:r>
              <w:rPr>
                <w:rFonts w:hint="eastAsia"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eastAsia="黑体"/>
                <w:kern w:val="0"/>
                <w:sz w:val="20"/>
                <w:szCs w:val="20"/>
              </w:rPr>
            </w:pPr>
            <w:r>
              <w:rPr>
                <w:rFonts w:hint="eastAsia"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eastAsia="黑体"/>
                <w:kern w:val="0"/>
                <w:sz w:val="20"/>
                <w:szCs w:val="20"/>
              </w:rPr>
            </w:pPr>
            <w:r>
              <w:rPr>
                <w:rFonts w:hint="eastAsia"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eastAsia="黑体"/>
                <w:kern w:val="0"/>
                <w:sz w:val="20"/>
                <w:szCs w:val="20"/>
              </w:rPr>
            </w:pPr>
            <w:r>
              <w:rPr>
                <w:rFonts w:hint="eastAsia"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Ansi="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Ansi="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2</w:t>
            </w:r>
          </w:p>
        </w:tc>
      </w:tr>
      <w:tr>
        <w:tblPrEx>
          <w:tblLayout w:type="fixed"/>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0</w:t>
            </w:r>
          </w:p>
        </w:tc>
      </w:tr>
      <w:tr>
        <w:tblPrEx>
          <w:tblLayout w:type="fixed"/>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7</w:t>
            </w:r>
          </w:p>
        </w:tc>
      </w:tr>
      <w:tr>
        <w:tblPrEx>
          <w:tblLayout w:type="fixed"/>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Layout w:type="fixed"/>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Ansi="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Ansi="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Ansi="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Ansi="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blPrEx>
          <w:tblLayout w:type="fixed"/>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kern w:val="0"/>
                <w:sz w:val="20"/>
                <w:szCs w:val="20"/>
              </w:rPr>
              <w:t>①</w:t>
            </w:r>
            <w:r>
              <w:rPr>
                <w:rFonts w:hint="eastAsia" w:eastAsia="仿宋_GB2312"/>
                <w:kern w:val="0"/>
                <w:sz w:val="20"/>
                <w:szCs w:val="20"/>
              </w:rPr>
              <w:t>支出符合国家财经法规和财务管理制度规定以及有关专项资金管理办法的规定；</w:t>
            </w:r>
            <w:r>
              <w:rPr>
                <w:kern w:val="0"/>
                <w:sz w:val="20"/>
                <w:szCs w:val="20"/>
              </w:rPr>
              <w:t>②</w:t>
            </w:r>
            <w:r>
              <w:rPr>
                <w:rFonts w:hint="eastAsia" w:eastAsia="仿宋_GB2312"/>
                <w:kern w:val="0"/>
                <w:sz w:val="20"/>
                <w:szCs w:val="20"/>
              </w:rPr>
              <w:t>资金拨付有完整的审批程序和手续；</w:t>
            </w:r>
            <w:r>
              <w:rPr>
                <w:kern w:val="0"/>
                <w:sz w:val="20"/>
                <w:szCs w:val="20"/>
              </w:rPr>
              <w:t>③</w:t>
            </w:r>
            <w:r>
              <w:rPr>
                <w:rFonts w:hint="eastAsia" w:eastAsia="仿宋_GB2312"/>
                <w:kern w:val="0"/>
                <w:sz w:val="20"/>
                <w:szCs w:val="20"/>
              </w:rPr>
              <w:t>项目支出按规定经过评估论证；</w:t>
            </w:r>
            <w:r>
              <w:rPr>
                <w:kern w:val="0"/>
                <w:sz w:val="20"/>
                <w:szCs w:val="20"/>
              </w:rPr>
              <w:t>④</w:t>
            </w:r>
            <w:r>
              <w:rPr>
                <w:rFonts w:hint="eastAsia" w:eastAsia="仿宋_GB2312"/>
                <w:kern w:val="0"/>
                <w:sz w:val="20"/>
                <w:szCs w:val="20"/>
              </w:rPr>
              <w:t>支出符合部门预算批复的用途；</w:t>
            </w:r>
            <w:r>
              <w:rPr>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Layout w:type="fixed"/>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Layout w:type="fixed"/>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r>
              <w:rPr>
                <w:kern w:val="0"/>
                <w:sz w:val="24"/>
              </w:rPr>
              <w:t>10</w:t>
            </w:r>
          </w:p>
        </w:tc>
      </w:tr>
      <w:tr>
        <w:tblPrEx>
          <w:tblLayout w:type="fixed"/>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Layout w:type="fixed"/>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bl>
    <w:p/>
    <w:p/>
    <w:p/>
    <w:p/>
    <w:p/>
    <w:p/>
    <w:p/>
    <w:p/>
    <w:p/>
    <w:p/>
    <w:p/>
    <w:p/>
    <w:p/>
    <w:p/>
    <w:p/>
    <w:p/>
    <w:p/>
    <w:p>
      <w:pPr>
        <w:rPr>
          <w:rFonts w:ascii="黑体" w:hAnsi="黑体" w:eastAsia="黑体"/>
          <w:sz w:val="32"/>
          <w:szCs w:val="32"/>
        </w:rPr>
      </w:pPr>
      <w:r>
        <w:br w:type="page"/>
      </w:r>
      <w:r>
        <w:rPr>
          <w:rFonts w:hint="eastAsia" w:ascii="黑体" w:hAnsi="黑体" w:eastAsia="黑体"/>
          <w:sz w:val="32"/>
          <w:szCs w:val="32"/>
        </w:rPr>
        <w:t>附件</w:t>
      </w:r>
      <w:r>
        <w:rPr>
          <w:rFonts w:ascii="黑体" w:hAnsi="黑体" w:eastAsia="黑体"/>
          <w:sz w:val="32"/>
          <w:szCs w:val="32"/>
        </w:rPr>
        <w:t>2</w:t>
      </w:r>
    </w:p>
    <w:p>
      <w:pPr>
        <w:jc w:val="center"/>
        <w:rPr>
          <w:rFonts w:eastAsia="方正小标宋_GBK"/>
          <w:kern w:val="0"/>
          <w:sz w:val="36"/>
          <w:szCs w:val="36"/>
        </w:rPr>
      </w:pP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填报单位：衡山县人民政府办公室</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6"/>
        <w:tblW w:w="9534"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969"/>
        <w:gridCol w:w="933"/>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年实际在职人数</w:t>
            </w:r>
          </w:p>
        </w:tc>
        <w:tc>
          <w:tcPr>
            <w:tcW w:w="190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Layout w:type="fixed"/>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54</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48</w:t>
            </w: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88.8%</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2017</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年预算数</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年决算数</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42.56</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40.8</w:t>
            </w: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28.07</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13.99</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14</w:t>
            </w: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13.99</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28.57</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27.4</w:t>
            </w: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14.08</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04" w:firstLineChars="400"/>
              <w:jc w:val="left"/>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104</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40</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39</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10.9</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06" w:firstLineChars="550"/>
              <w:jc w:val="left"/>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14.1</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45.92</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45.92</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681.4</w:t>
            </w:r>
            <w:r>
              <w:rPr>
                <w:rFonts w:hint="eastAsia" w:eastAsia="仿宋_GB2312"/>
                <w:kern w:val="0"/>
                <w:szCs w:val="21"/>
              </w:rPr>
              <w:t>　</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848.9</w:t>
            </w:r>
            <w:r>
              <w:rPr>
                <w:rFonts w:hint="eastAsia" w:eastAsia="仿宋_GB2312"/>
                <w:kern w:val="0"/>
                <w:szCs w:val="21"/>
              </w:rPr>
              <w:t>　</w:t>
            </w:r>
          </w:p>
        </w:tc>
      </w:tr>
      <w:tr>
        <w:tblPrEx>
          <w:tblLayout w:type="fixed"/>
          <w:tblCellMar>
            <w:top w:w="0" w:type="dxa"/>
            <w:left w:w="108" w:type="dxa"/>
            <w:bottom w:w="0" w:type="dxa"/>
            <w:right w:w="108" w:type="dxa"/>
          </w:tblCellMar>
        </w:tblPrEx>
        <w:trPr>
          <w:trHeight w:val="65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spacing w:val="-8"/>
                <w:kern w:val="0"/>
                <w:szCs w:val="21"/>
              </w:rPr>
            </w:pPr>
            <w:r>
              <w:rPr>
                <w:rFonts w:hint="eastAsia" w:eastAsia="仿宋_GB2312"/>
                <w:b/>
                <w:bCs/>
                <w:spacing w:val="-8"/>
                <w:kern w:val="0"/>
                <w:szCs w:val="21"/>
              </w:rPr>
              <w:t>实际投资（万元）</w:t>
            </w:r>
          </w:p>
        </w:tc>
        <w:tc>
          <w:tcPr>
            <w:tcW w:w="933" w:type="dxa"/>
            <w:tcBorders>
              <w:top w:val="nil"/>
              <w:left w:val="nil"/>
              <w:bottom w:val="single" w:color="auto" w:sz="4" w:space="0"/>
              <w:right w:val="single" w:color="auto" w:sz="4" w:space="0"/>
            </w:tcBorders>
            <w:vAlign w:val="center"/>
          </w:tcPr>
          <w:p>
            <w:pPr>
              <w:widowControl/>
              <w:jc w:val="center"/>
              <w:rPr>
                <w:rFonts w:eastAsia="仿宋_GB2312"/>
                <w:b/>
                <w:bCs/>
                <w:spacing w:val="-12"/>
                <w:kern w:val="0"/>
                <w:szCs w:val="21"/>
              </w:rPr>
            </w:pPr>
            <w:r>
              <w:rPr>
                <w:rFonts w:hint="eastAsia" w:eastAsia="仿宋_GB2312"/>
                <w:b/>
                <w:bCs/>
                <w:spacing w:val="-12"/>
                <w:kern w:val="0"/>
                <w:szCs w:val="21"/>
              </w:rPr>
              <w:t>投资概算控制率</w:t>
            </w:r>
          </w:p>
        </w:tc>
      </w:tr>
      <w:tr>
        <w:tblPrEx>
          <w:tblLayout w:type="fixed"/>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3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8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无</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spacing w:line="600" w:lineRule="exac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3</w:t>
      </w:r>
    </w:p>
    <w:p>
      <w:pPr>
        <w:widowControl/>
        <w:spacing w:line="600" w:lineRule="exact"/>
        <w:jc w:val="center"/>
        <w:rPr>
          <w:rFonts w:eastAsia="方正小标宋_GBK"/>
          <w:kern w:val="0"/>
          <w:sz w:val="36"/>
          <w:szCs w:val="36"/>
        </w:rPr>
      </w:pPr>
      <w:r>
        <w:rPr>
          <w:rFonts w:eastAsia="方正小标宋_GBK"/>
          <w:kern w:val="0"/>
          <w:sz w:val="36"/>
          <w:szCs w:val="36"/>
        </w:rPr>
        <w:t>2018</w:t>
      </w:r>
      <w:r>
        <w:rPr>
          <w:rFonts w:hint="eastAsia" w:eastAsia="方正小标宋_GBK"/>
          <w:kern w:val="0"/>
          <w:sz w:val="36"/>
          <w:szCs w:val="36"/>
        </w:rPr>
        <w:t>年度县级专项资金绩效目标自评表</w:t>
      </w:r>
    </w:p>
    <w:tbl>
      <w:tblPr>
        <w:tblStyle w:val="6"/>
        <w:tblW w:w="9035" w:type="dxa"/>
        <w:jc w:val="center"/>
        <w:tblInd w:w="0" w:type="dxa"/>
        <w:tblLayout w:type="fixed"/>
        <w:tblCellMar>
          <w:top w:w="0" w:type="dxa"/>
          <w:left w:w="108" w:type="dxa"/>
          <w:bottom w:w="0" w:type="dxa"/>
          <w:right w:w="108" w:type="dxa"/>
        </w:tblCellMar>
      </w:tblPr>
      <w:tblGrid>
        <w:gridCol w:w="769"/>
        <w:gridCol w:w="675"/>
        <w:gridCol w:w="709"/>
        <w:gridCol w:w="1701"/>
        <w:gridCol w:w="1843"/>
        <w:gridCol w:w="907"/>
        <w:gridCol w:w="115"/>
        <w:gridCol w:w="730"/>
        <w:gridCol w:w="1555"/>
        <w:gridCol w:w="31"/>
      </w:tblGrid>
      <w:tr>
        <w:tblPrEx>
          <w:tblLayout w:type="fixed"/>
          <w:tblCellMar>
            <w:top w:w="0" w:type="dxa"/>
            <w:left w:w="108" w:type="dxa"/>
            <w:bottom w:w="0" w:type="dxa"/>
            <w:right w:w="108" w:type="dxa"/>
          </w:tblCellMar>
        </w:tblPrEx>
        <w:trPr>
          <w:trHeight w:val="270" w:hRule="atLeast"/>
          <w:jc w:val="center"/>
        </w:trPr>
        <w:tc>
          <w:tcPr>
            <w:tcW w:w="9035" w:type="dxa"/>
            <w:gridSpan w:val="10"/>
            <w:tcBorders>
              <w:top w:val="nil"/>
              <w:left w:val="nil"/>
              <w:bottom w:val="single" w:color="auto" w:sz="4" w:space="0"/>
              <w:right w:val="nil"/>
            </w:tcBorders>
            <w:vAlign w:val="center"/>
          </w:tcPr>
          <w:p>
            <w:pPr>
              <w:widowControl/>
              <w:jc w:val="center"/>
              <w:rPr>
                <w:rFonts w:eastAsia="楷体_GB2312"/>
                <w:b/>
                <w:bCs/>
                <w:kern w:val="0"/>
                <w:sz w:val="22"/>
              </w:rPr>
            </w:pPr>
          </w:p>
        </w:tc>
      </w:tr>
      <w:tr>
        <w:tblPrEx>
          <w:tblLayout w:type="fixed"/>
          <w:tblCellMar>
            <w:top w:w="0" w:type="dxa"/>
            <w:left w:w="108" w:type="dxa"/>
            <w:bottom w:w="0" w:type="dxa"/>
            <w:right w:w="108" w:type="dxa"/>
          </w:tblCellMar>
        </w:tblPrEx>
        <w:trPr>
          <w:trHeight w:val="456"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eastAsia="仿宋_GB2312"/>
                <w:kern w:val="0"/>
                <w:szCs w:val="21"/>
              </w:rPr>
            </w:pPr>
            <w:r>
              <w:rPr>
                <w:rFonts w:hint="eastAsia" w:eastAsia="仿宋_GB2312"/>
                <w:kern w:val="0"/>
                <w:szCs w:val="21"/>
              </w:rPr>
              <w:t>　无</w:t>
            </w:r>
          </w:p>
        </w:tc>
        <w:tc>
          <w:tcPr>
            <w:tcW w:w="102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负责人</w:t>
            </w:r>
          </w:p>
          <w:p>
            <w:pPr>
              <w:widowControl/>
              <w:jc w:val="center"/>
              <w:rPr>
                <w:rFonts w:eastAsia="仿宋_GB2312"/>
                <w:kern w:val="0"/>
                <w:szCs w:val="21"/>
              </w:rPr>
            </w:pPr>
            <w:r>
              <w:rPr>
                <w:rFonts w:hint="eastAsia" w:eastAsia="仿宋_GB2312"/>
                <w:kern w:val="0"/>
                <w:szCs w:val="21"/>
              </w:rPr>
              <w:t>及电话</w:t>
            </w:r>
          </w:p>
        </w:tc>
        <w:tc>
          <w:tcPr>
            <w:tcW w:w="231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6"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02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实施单位</w:t>
            </w:r>
          </w:p>
        </w:tc>
        <w:tc>
          <w:tcPr>
            <w:tcW w:w="2316"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全年预算数（</w:t>
            </w:r>
            <w:r>
              <w:rPr>
                <w:rFonts w:eastAsia="仿宋_GB2312"/>
                <w:kern w:val="0"/>
                <w:szCs w:val="21"/>
              </w:rPr>
              <w:t>A</w:t>
            </w:r>
            <w:r>
              <w:rPr>
                <w:rFonts w:hint="eastAsia" w:eastAsia="仿宋_GB2312"/>
                <w:kern w:val="0"/>
                <w:szCs w:val="21"/>
              </w:rPr>
              <w:t>）</w:t>
            </w:r>
          </w:p>
        </w:tc>
        <w:tc>
          <w:tcPr>
            <w:tcW w:w="17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全年执行数（</w:t>
            </w:r>
            <w:r>
              <w:rPr>
                <w:rFonts w:eastAsia="仿宋_GB2312"/>
                <w:kern w:val="0"/>
                <w:szCs w:val="21"/>
              </w:rPr>
              <w:t>B</w:t>
            </w:r>
            <w:r>
              <w:rPr>
                <w:rFonts w:hint="eastAsia" w:eastAsia="仿宋_GB2312"/>
                <w:kern w:val="0"/>
                <w:szCs w:val="21"/>
              </w:rPr>
              <w:t>）</w:t>
            </w:r>
          </w:p>
        </w:tc>
        <w:tc>
          <w:tcPr>
            <w:tcW w:w="158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执行率（</w:t>
            </w:r>
            <w:r>
              <w:rPr>
                <w:rFonts w:eastAsia="仿宋_GB2312"/>
                <w:kern w:val="0"/>
                <w:szCs w:val="21"/>
              </w:rPr>
              <w:t>B</w:t>
            </w:r>
            <w:r>
              <w:rPr>
                <w:rFonts w:hint="eastAsia" w:eastAsia="仿宋_GB2312"/>
                <w:kern w:val="0"/>
                <w:szCs w:val="21"/>
              </w:rPr>
              <w:t>／</w:t>
            </w:r>
            <w:r>
              <w:rPr>
                <w:rFonts w:eastAsia="仿宋_GB2312"/>
                <w:kern w:val="0"/>
                <w:szCs w:val="21"/>
              </w:rPr>
              <w:t>A</w:t>
            </w:r>
            <w:r>
              <w:rPr>
                <w:rFonts w:hint="eastAsia" w:eastAsia="仿宋_GB2312"/>
                <w:kern w:val="0"/>
                <w:szCs w:val="21"/>
              </w:rPr>
              <w:t>）</w:t>
            </w:r>
          </w:p>
        </w:tc>
      </w:tr>
      <w:tr>
        <w:tblPrEx>
          <w:tblLayout w:type="fixed"/>
          <w:tblCellMar>
            <w:top w:w="0" w:type="dxa"/>
            <w:left w:w="108" w:type="dxa"/>
            <w:bottom w:w="0" w:type="dxa"/>
            <w:right w:w="108" w:type="dxa"/>
          </w:tblCellMar>
        </w:tblPrEx>
        <w:trPr>
          <w:trHeight w:val="483"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7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58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7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58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5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 xml:space="preserve">  </w:t>
            </w:r>
            <w:r>
              <w:rPr>
                <w:rFonts w:hint="eastAsia" w:eastAsia="仿宋_GB2312"/>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7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58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89"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 xml:space="preserve">   </w:t>
            </w:r>
            <w:r>
              <w:rPr>
                <w:rFonts w:hint="eastAsia" w:eastAsia="仿宋_GB2312"/>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7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158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488"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eastAsia="仿宋_GB2312"/>
                <w:kern w:val="0"/>
                <w:szCs w:val="21"/>
              </w:rPr>
              <w:t>年初设定目标</w:t>
            </w:r>
            <w:r>
              <w:rPr>
                <w:rFonts w:hint="eastAsia"/>
                <w:kern w:val="0"/>
                <w:szCs w:val="21"/>
              </w:rPr>
              <w:t>　</w:t>
            </w:r>
          </w:p>
        </w:tc>
        <w:tc>
          <w:tcPr>
            <w:tcW w:w="333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全年实际完成情况</w:t>
            </w:r>
          </w:p>
        </w:tc>
      </w:tr>
      <w:tr>
        <w:tblPrEx>
          <w:tblLayout w:type="fixed"/>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kern w:val="0"/>
                <w:szCs w:val="21"/>
              </w:rPr>
            </w:pPr>
            <w:r>
              <w:rPr>
                <w:rFonts w:hint="eastAsia"/>
                <w:kern w:val="0"/>
                <w:szCs w:val="21"/>
              </w:rPr>
              <w:t>　</w:t>
            </w:r>
          </w:p>
        </w:tc>
        <w:tc>
          <w:tcPr>
            <w:tcW w:w="333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绩</w:t>
            </w:r>
            <w:r>
              <w:rPr>
                <w:rFonts w:eastAsia="仿宋_GB2312"/>
                <w:kern w:val="0"/>
                <w:szCs w:val="21"/>
              </w:rPr>
              <w:t xml:space="preserve">  </w:t>
            </w:r>
            <w:r>
              <w:rPr>
                <w:rFonts w:hint="eastAsia" w:eastAsia="仿宋_GB2312"/>
                <w:kern w:val="0"/>
                <w:szCs w:val="21"/>
              </w:rPr>
              <w:t>效</w:t>
            </w:r>
            <w:r>
              <w:rPr>
                <w:rFonts w:eastAsia="仿宋_GB2312"/>
                <w:kern w:val="0"/>
                <w:szCs w:val="21"/>
              </w:rPr>
              <w:t xml:space="preserve">    </w:t>
            </w:r>
            <w:r>
              <w:rPr>
                <w:rFonts w:hint="eastAsia" w:eastAsia="仿宋_GB2312"/>
                <w:kern w:val="0"/>
                <w:szCs w:val="21"/>
              </w:rPr>
              <w:t>指</w:t>
            </w:r>
            <w:r>
              <w:rPr>
                <w:rFonts w:eastAsia="仿宋_GB2312"/>
                <w:kern w:val="0"/>
                <w:szCs w:val="21"/>
              </w:rPr>
              <w:t xml:space="preserve">  </w:t>
            </w:r>
            <w:r>
              <w:rPr>
                <w:rFonts w:hint="eastAsia" w:eastAsia="仿宋_GB2312"/>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eastAsia="仿宋_GB2312"/>
                <w:kern w:val="0"/>
                <w:szCs w:val="21"/>
              </w:rPr>
            </w:pPr>
            <w:r>
              <w:rPr>
                <w:rFonts w:hint="eastAsia" w:eastAsia="仿宋_GB2312"/>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年度指标值</w:t>
            </w:r>
          </w:p>
        </w:tc>
        <w:tc>
          <w:tcPr>
            <w:tcW w:w="845"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hint="eastAsia" w:eastAsia="仿宋_GB2312"/>
                <w:kern w:val="0"/>
                <w:szCs w:val="21"/>
              </w:rPr>
              <w:t>全年</w:t>
            </w:r>
          </w:p>
          <w:p>
            <w:pPr>
              <w:widowControl/>
              <w:jc w:val="center"/>
              <w:rPr>
                <w:rFonts w:eastAsia="仿宋_GB2312"/>
                <w:kern w:val="0"/>
                <w:szCs w:val="21"/>
              </w:rPr>
            </w:pPr>
            <w:r>
              <w:rPr>
                <w:rFonts w:hint="eastAsia" w:eastAsia="仿宋_GB2312"/>
                <w:kern w:val="0"/>
                <w:szCs w:val="21"/>
              </w:rPr>
              <w:t>完成值</w:t>
            </w:r>
          </w:p>
        </w:tc>
        <w:tc>
          <w:tcPr>
            <w:tcW w:w="155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未完成原因和</w:t>
            </w:r>
          </w:p>
          <w:p>
            <w:pPr>
              <w:widowControl/>
              <w:jc w:val="center"/>
              <w:rPr>
                <w:rFonts w:eastAsia="仿宋_GB2312"/>
                <w:kern w:val="0"/>
                <w:szCs w:val="21"/>
              </w:rPr>
            </w:pPr>
            <w:r>
              <w:rPr>
                <w:rFonts w:hint="eastAsia" w:eastAsia="仿宋_GB2312"/>
                <w:kern w:val="0"/>
                <w:szCs w:val="21"/>
              </w:rPr>
              <w:t>改进措施</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产</w:t>
            </w:r>
          </w:p>
          <w:p>
            <w:pPr>
              <w:widowControl/>
              <w:jc w:val="center"/>
              <w:rPr>
                <w:rFonts w:eastAsia="仿宋_GB2312"/>
                <w:kern w:val="0"/>
                <w:szCs w:val="21"/>
              </w:rPr>
            </w:pPr>
            <w:r>
              <w:rPr>
                <w:rFonts w:hint="eastAsia" w:eastAsia="仿宋_GB2312"/>
                <w:kern w:val="0"/>
                <w:szCs w:val="21"/>
              </w:rPr>
              <w:t>出</w:t>
            </w:r>
          </w:p>
          <w:p>
            <w:pPr>
              <w:widowControl/>
              <w:jc w:val="center"/>
              <w:rPr>
                <w:rFonts w:eastAsia="仿宋_GB2312"/>
                <w:kern w:val="0"/>
                <w:szCs w:val="21"/>
              </w:rPr>
            </w:pPr>
            <w:r>
              <w:rPr>
                <w:rFonts w:hint="eastAsia" w:eastAsia="仿宋_GB2312"/>
                <w:kern w:val="0"/>
                <w:szCs w:val="21"/>
              </w:rPr>
              <w:t>指</w:t>
            </w:r>
          </w:p>
          <w:p>
            <w:pPr>
              <w:widowControl/>
              <w:jc w:val="center"/>
              <w:rPr>
                <w:rFonts w:eastAsia="仿宋_GB2312"/>
                <w:kern w:val="0"/>
                <w:szCs w:val="21"/>
              </w:rPr>
            </w:pPr>
            <w:r>
              <w:rPr>
                <w:rFonts w:hint="eastAsia" w:eastAsia="仿宋_GB2312"/>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51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3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效益</w:t>
            </w:r>
            <w:r>
              <w:rPr>
                <w:rFonts w:eastAsia="仿宋_GB2312"/>
                <w:kern w:val="0"/>
                <w:szCs w:val="21"/>
              </w:rPr>
              <w:t xml:space="preserve">   </w:t>
            </w:r>
            <w:r>
              <w:rPr>
                <w:rFonts w:hint="eastAsia" w:eastAsia="仿宋_GB2312"/>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6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4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eastAsia="仿宋_GB2312"/>
                <w:kern w:val="0"/>
                <w:szCs w:val="21"/>
              </w:rPr>
            </w:pPr>
            <w:r>
              <w:rPr>
                <w:rFonts w:hint="eastAsia" w:eastAsia="仿宋_GB2312"/>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1"/>
              </w:rPr>
            </w:pPr>
            <w:r>
              <w:rPr>
                <w:rFonts w:hint="eastAsia" w:eastAsia="仿宋_GB2312"/>
                <w:kern w:val="0"/>
                <w:szCs w:val="21"/>
              </w:rPr>
              <w:t>效</w:t>
            </w:r>
          </w:p>
          <w:p>
            <w:pPr>
              <w:jc w:val="center"/>
              <w:rPr>
                <w:rFonts w:eastAsia="仿宋_GB2312"/>
                <w:kern w:val="0"/>
                <w:szCs w:val="21"/>
              </w:rPr>
            </w:pPr>
            <w:r>
              <w:rPr>
                <w:rFonts w:hint="eastAsia" w:eastAsia="仿宋_GB2312"/>
                <w:kern w:val="0"/>
                <w:szCs w:val="21"/>
              </w:rPr>
              <w:t>益</w:t>
            </w:r>
          </w:p>
          <w:p>
            <w:pPr>
              <w:jc w:val="center"/>
              <w:rPr>
                <w:rFonts w:eastAsia="仿宋_GB2312"/>
                <w:kern w:val="0"/>
                <w:szCs w:val="21"/>
              </w:rPr>
            </w:pPr>
            <w:r>
              <w:rPr>
                <w:rFonts w:hint="eastAsia" w:eastAsia="仿宋_GB2312"/>
                <w:kern w:val="0"/>
                <w:szCs w:val="21"/>
              </w:rPr>
              <w:t>指</w:t>
            </w:r>
          </w:p>
          <w:p>
            <w:pPr>
              <w:jc w:val="center"/>
              <w:rPr>
                <w:rFonts w:eastAsia="仿宋_GB2312"/>
                <w:kern w:val="0"/>
                <w:szCs w:val="21"/>
              </w:rPr>
            </w:pPr>
            <w:r>
              <w:rPr>
                <w:rFonts w:hint="eastAsia" w:eastAsia="仿宋_GB2312"/>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生态效益</w:t>
            </w:r>
            <w:r>
              <w:rPr>
                <w:rFonts w:eastAsia="仿宋_GB2312"/>
                <w:kern w:val="0"/>
                <w:szCs w:val="21"/>
              </w:rPr>
              <w:t xml:space="preserve">  </w:t>
            </w:r>
            <w:r>
              <w:rPr>
                <w:rFonts w:hint="eastAsia" w:eastAsia="仿宋_GB2312"/>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spacing w:line="280" w:lineRule="exac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center"/>
          </w:tcPr>
          <w:p>
            <w:pPr>
              <w:widowControl/>
              <w:spacing w:line="280" w:lineRule="exac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52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Cs w:val="21"/>
              </w:rPr>
            </w:pPr>
            <w:r>
              <w:rPr>
                <w:rFonts w:hint="eastAsia" w:eastAsia="仿宋_GB2312"/>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5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44"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gridAfter w:val="1"/>
          <w:wAfter w:w="31" w:type="dxa"/>
          <w:trHeight w:val="40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907"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845" w:type="dxa"/>
            <w:gridSpan w:val="2"/>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c>
          <w:tcPr>
            <w:tcW w:w="1555" w:type="dxa"/>
            <w:tcBorders>
              <w:top w:val="single" w:color="auto" w:sz="4" w:space="0"/>
              <w:left w:val="nil"/>
              <w:bottom w:val="single" w:color="auto" w:sz="4" w:space="0"/>
              <w:right w:val="single" w:color="auto" w:sz="4" w:space="0"/>
            </w:tcBorders>
            <w:noWrap/>
            <w:vAlign w:val="bottom"/>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667"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eastAsia="仿宋_GB2312"/>
                <w:kern w:val="0"/>
                <w:szCs w:val="21"/>
              </w:rPr>
            </w:pPr>
            <w:r>
              <w:rPr>
                <w:rFonts w:hint="eastAsia" w:eastAsia="仿宋_GB2312"/>
                <w:kern w:val="0"/>
                <w:szCs w:val="21"/>
              </w:rPr>
              <w:t>说明</w:t>
            </w:r>
          </w:p>
        </w:tc>
        <w:tc>
          <w:tcPr>
            <w:tcW w:w="8266" w:type="dxa"/>
            <w:gridSpan w:val="9"/>
            <w:tcBorders>
              <w:top w:val="single" w:color="auto" w:sz="4" w:space="0"/>
              <w:left w:val="nil"/>
              <w:bottom w:val="nil"/>
              <w:right w:val="single" w:color="000000" w:sz="4" w:space="0"/>
            </w:tcBorders>
            <w:noWrap/>
            <w:vAlign w:val="center"/>
          </w:tcPr>
          <w:p>
            <w:pPr>
              <w:widowControl/>
              <w:ind w:firstLine="101" w:firstLineChars="50"/>
              <w:rPr>
                <w:rFonts w:eastAsia="仿宋_GB2312"/>
                <w:kern w:val="0"/>
                <w:szCs w:val="21"/>
              </w:rPr>
            </w:pPr>
            <w:r>
              <w:rPr>
                <w:rFonts w:hint="eastAsia" w:eastAsia="仿宋_GB2312"/>
                <w:kern w:val="0"/>
                <w:szCs w:val="21"/>
              </w:rPr>
              <w:t>请在此处简要说明各级监督检查中发现的问题及其所涉及的金额，如没有请填无。</w:t>
            </w:r>
          </w:p>
        </w:tc>
      </w:tr>
      <w:tr>
        <w:tblPrEx>
          <w:tblLayout w:type="fixed"/>
          <w:tblCellMar>
            <w:top w:w="0" w:type="dxa"/>
            <w:left w:w="108" w:type="dxa"/>
            <w:bottom w:w="0" w:type="dxa"/>
            <w:right w:w="108" w:type="dxa"/>
          </w:tblCellMar>
        </w:tblPrEx>
        <w:trPr>
          <w:trHeight w:val="1785" w:hRule="atLeast"/>
          <w:jc w:val="center"/>
        </w:trPr>
        <w:tc>
          <w:tcPr>
            <w:tcW w:w="9035" w:type="dxa"/>
            <w:gridSpan w:val="10"/>
            <w:tcBorders>
              <w:top w:val="single" w:color="auto" w:sz="8" w:space="0"/>
              <w:left w:val="nil"/>
              <w:bottom w:val="nil"/>
              <w:right w:val="nil"/>
            </w:tcBorders>
          </w:tcPr>
          <w:p>
            <w:pPr>
              <w:widowControl/>
              <w:ind w:firstLine="402" w:firstLineChars="200"/>
              <w:jc w:val="left"/>
              <w:rPr>
                <w:rFonts w:eastAsia="仿宋_GB2312"/>
                <w:kern w:val="0"/>
                <w:szCs w:val="21"/>
              </w:rPr>
            </w:pPr>
          </w:p>
          <w:p>
            <w:pPr>
              <w:widowControl/>
              <w:spacing w:line="360" w:lineRule="exact"/>
              <w:ind w:firstLine="402" w:firstLineChars="200"/>
              <w:jc w:val="left"/>
              <w:rPr>
                <w:rFonts w:eastAsia="仿宋_GB2312"/>
                <w:kern w:val="0"/>
                <w:szCs w:val="21"/>
              </w:rPr>
            </w:pPr>
            <w:r>
              <w:rPr>
                <w:rFonts w:hint="eastAsia" w:eastAsia="仿宋_GB2312"/>
                <w:kern w:val="0"/>
                <w:szCs w:val="21"/>
              </w:rPr>
              <w:t>注：</w:t>
            </w:r>
            <w:r>
              <w:rPr>
                <w:rFonts w:eastAsia="仿宋_GB2312"/>
                <w:kern w:val="0"/>
                <w:szCs w:val="21"/>
              </w:rPr>
              <w:t>1</w:t>
            </w:r>
            <w:r>
              <w:rPr>
                <w:rFonts w:hint="eastAsia" w:eastAsia="仿宋_GB2312"/>
                <w:kern w:val="0"/>
                <w:szCs w:val="21"/>
              </w:rPr>
              <w:t>、其他资金包括和中央、省、市补助、地方财政资金共同投入到同一项目的自有资金、社会资金，以及以前年度的结转结余资金等。</w:t>
            </w:r>
            <w:r>
              <w:rPr>
                <w:rFonts w:eastAsia="仿宋_GB2312"/>
                <w:kern w:val="0"/>
                <w:szCs w:val="21"/>
              </w:rPr>
              <w:t xml:space="preserve"> </w:t>
            </w:r>
          </w:p>
          <w:p>
            <w:pPr>
              <w:widowControl/>
              <w:spacing w:line="360" w:lineRule="exact"/>
              <w:ind w:firstLine="402" w:firstLineChars="200"/>
              <w:jc w:val="left"/>
              <w:rPr>
                <w:rFonts w:eastAsia="仿宋_GB2312"/>
                <w:kern w:val="0"/>
                <w:szCs w:val="21"/>
              </w:rPr>
            </w:pPr>
            <w:r>
              <w:rPr>
                <w:rFonts w:eastAsia="仿宋_GB2312"/>
                <w:kern w:val="0"/>
                <w:szCs w:val="21"/>
              </w:rPr>
              <w:t>2</w:t>
            </w:r>
            <w:r>
              <w:rPr>
                <w:rFonts w:hint="eastAsia" w:eastAsia="仿宋_GB2312"/>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eastAsia="仿宋_GB2312"/>
                <w:kern w:val="0"/>
                <w:szCs w:val="21"/>
              </w:rPr>
            </w:pPr>
            <w:r>
              <w:rPr>
                <w:rFonts w:eastAsia="仿宋_GB2312"/>
                <w:kern w:val="0"/>
                <w:szCs w:val="21"/>
              </w:rPr>
              <w:t>3</w:t>
            </w:r>
            <w:r>
              <w:rPr>
                <w:rFonts w:hint="eastAsia" w:eastAsia="仿宋_GB2312"/>
                <w:kern w:val="0"/>
                <w:szCs w:val="21"/>
              </w:rPr>
              <w:t>、定性指标根据指标完成情况分为：全部或基本达成预期指标、部分达成预期指标并具有一定效果、未达成预期指标且效果较差三档，资金使用单位分别按照</w:t>
            </w:r>
            <w:r>
              <w:rPr>
                <w:rFonts w:eastAsia="仿宋_GB2312"/>
                <w:kern w:val="0"/>
                <w:szCs w:val="21"/>
              </w:rPr>
              <w:t>100</w:t>
            </w:r>
            <w:r>
              <w:rPr>
                <w:rFonts w:hint="eastAsia" w:eastAsia="仿宋_GB2312"/>
                <w:kern w:val="0"/>
                <w:szCs w:val="21"/>
              </w:rPr>
              <w:t>％</w:t>
            </w:r>
            <w:r>
              <w:rPr>
                <w:rFonts w:eastAsia="仿宋_GB2312"/>
                <w:kern w:val="0"/>
                <w:szCs w:val="21"/>
              </w:rPr>
              <w:t>—80</w:t>
            </w:r>
            <w:r>
              <w:rPr>
                <w:rFonts w:hint="eastAsia" w:eastAsia="仿宋_GB2312"/>
                <w:kern w:val="0"/>
                <w:szCs w:val="21"/>
              </w:rPr>
              <w:t>％（含）、</w:t>
            </w:r>
            <w:r>
              <w:rPr>
                <w:rFonts w:eastAsia="仿宋_GB2312"/>
                <w:kern w:val="0"/>
                <w:szCs w:val="21"/>
              </w:rPr>
              <w:t>80</w:t>
            </w:r>
            <w:r>
              <w:rPr>
                <w:rFonts w:hint="eastAsia" w:eastAsia="仿宋_GB2312"/>
                <w:kern w:val="0"/>
                <w:szCs w:val="21"/>
              </w:rPr>
              <w:t>％</w:t>
            </w:r>
            <w:r>
              <w:rPr>
                <w:rFonts w:eastAsia="仿宋_GB2312"/>
                <w:kern w:val="0"/>
                <w:szCs w:val="21"/>
              </w:rPr>
              <w:t>—60</w:t>
            </w:r>
            <w:r>
              <w:rPr>
                <w:rFonts w:hint="eastAsia" w:eastAsia="仿宋_GB2312"/>
                <w:kern w:val="0"/>
                <w:szCs w:val="21"/>
              </w:rPr>
              <w:t>％（含）、</w:t>
            </w:r>
            <w:r>
              <w:rPr>
                <w:rFonts w:eastAsia="仿宋_GB2312"/>
                <w:kern w:val="0"/>
                <w:szCs w:val="21"/>
              </w:rPr>
              <w:t>60</w:t>
            </w:r>
            <w:r>
              <w:rPr>
                <w:rFonts w:hint="eastAsia" w:eastAsia="仿宋_GB2312"/>
                <w:kern w:val="0"/>
                <w:szCs w:val="21"/>
              </w:rPr>
              <w:t>％</w:t>
            </w:r>
            <w:r>
              <w:rPr>
                <w:rFonts w:eastAsia="仿宋_GB2312"/>
                <w:kern w:val="0"/>
                <w:szCs w:val="21"/>
              </w:rPr>
              <w:t>—0</w:t>
            </w:r>
            <w:r>
              <w:rPr>
                <w:rFonts w:hint="eastAsia" w:eastAsia="仿宋_GB2312"/>
                <w:kern w:val="0"/>
                <w:szCs w:val="21"/>
              </w:rPr>
              <w:t>％合理填写完成比例。</w:t>
            </w:r>
          </w:p>
          <w:p>
            <w:pPr>
              <w:widowControl/>
              <w:spacing w:line="360" w:lineRule="exact"/>
              <w:ind w:firstLine="402" w:firstLineChars="200"/>
              <w:jc w:val="left"/>
              <w:rPr>
                <w:rFonts w:eastAsia="仿宋_GB2312"/>
                <w:kern w:val="0"/>
                <w:szCs w:val="21"/>
              </w:rPr>
            </w:pPr>
            <w:r>
              <w:rPr>
                <w:rFonts w:eastAsia="仿宋_GB2312"/>
                <w:kern w:val="0"/>
                <w:szCs w:val="21"/>
              </w:rPr>
              <w:t>4</w:t>
            </w:r>
            <w:r>
              <w:rPr>
                <w:rFonts w:hint="eastAsia" w:eastAsia="仿宋_GB2312"/>
                <w:kern w:val="0"/>
                <w:szCs w:val="21"/>
              </w:rPr>
              <w:t>、各主管部门及资金使用单位填写《自评表》并报送同级财政部门审核后，形成县级专项资金《自评表》。</w:t>
            </w:r>
          </w:p>
        </w:tc>
      </w:tr>
    </w:tbl>
    <w:p>
      <w:pPr>
        <w:rPr>
          <w:rFonts w:eastAsia="仿宋_GB2312"/>
          <w:kern w:val="0"/>
          <w:sz w:val="22"/>
          <w:szCs w:val="22"/>
        </w:rPr>
      </w:pPr>
      <w:r>
        <w:rPr>
          <w:rFonts w:eastAsia="仿宋_GB2312"/>
          <w:kern w:val="0"/>
          <w:sz w:val="22"/>
          <w:szCs w:val="22"/>
        </w:rPr>
        <w:t xml:space="preserve"> </w:t>
      </w:r>
    </w:p>
    <w:sectPr>
      <w:footerReference r:id="rId3" w:type="default"/>
      <w:footerReference r:id="rId4" w:type="even"/>
      <w:pgSz w:w="11906" w:h="16838"/>
      <w:pgMar w:top="1559" w:right="1287" w:bottom="1440" w:left="1622" w:header="851" w:footer="1021" w:gutter="0"/>
      <w:pgNumType w:start="0"/>
      <w:cols w:space="425" w:num="1"/>
      <w:titlePg/>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08"/>
    <w:rsid w:val="00030A20"/>
    <w:rsid w:val="0003350F"/>
    <w:rsid w:val="000C2790"/>
    <w:rsid w:val="00191481"/>
    <w:rsid w:val="002168C7"/>
    <w:rsid w:val="00223AA5"/>
    <w:rsid w:val="002251F0"/>
    <w:rsid w:val="002C703D"/>
    <w:rsid w:val="00300864"/>
    <w:rsid w:val="00320897"/>
    <w:rsid w:val="003209DE"/>
    <w:rsid w:val="0036318A"/>
    <w:rsid w:val="003963BE"/>
    <w:rsid w:val="003A145A"/>
    <w:rsid w:val="00531672"/>
    <w:rsid w:val="00532EFB"/>
    <w:rsid w:val="005A0293"/>
    <w:rsid w:val="00611602"/>
    <w:rsid w:val="00651D89"/>
    <w:rsid w:val="00751E68"/>
    <w:rsid w:val="007961C3"/>
    <w:rsid w:val="007C5FCA"/>
    <w:rsid w:val="00845FFF"/>
    <w:rsid w:val="008538BA"/>
    <w:rsid w:val="008A5D92"/>
    <w:rsid w:val="00993007"/>
    <w:rsid w:val="009D4A2F"/>
    <w:rsid w:val="00A917D5"/>
    <w:rsid w:val="00AF3825"/>
    <w:rsid w:val="00B23F34"/>
    <w:rsid w:val="00BA4F96"/>
    <w:rsid w:val="00BF4CC2"/>
    <w:rsid w:val="00C30D14"/>
    <w:rsid w:val="00C32325"/>
    <w:rsid w:val="00C43FE7"/>
    <w:rsid w:val="00C71363"/>
    <w:rsid w:val="00CC3008"/>
    <w:rsid w:val="00CC5150"/>
    <w:rsid w:val="00D6261F"/>
    <w:rsid w:val="00DC6F3D"/>
    <w:rsid w:val="00E25E12"/>
    <w:rsid w:val="00ED2940"/>
    <w:rsid w:val="00EF2DF2"/>
    <w:rsid w:val="00F60906"/>
    <w:rsid w:val="00FA2752"/>
    <w:rsid w:val="00FF3A75"/>
    <w:rsid w:val="096B5405"/>
    <w:rsid w:val="0FE5599C"/>
    <w:rsid w:val="13985EC3"/>
    <w:rsid w:val="17D077E9"/>
    <w:rsid w:val="48526C3B"/>
    <w:rsid w:val="4F846A62"/>
    <w:rsid w:val="5A360F6C"/>
    <w:rsid w:val="60484B86"/>
    <w:rsid w:val="7CF639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uiPriority="99" w:name="header" w:locked="1"/>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qFormat/>
    <w:uiPriority w:val="99"/>
    <w:pPr>
      <w:jc w:val="left"/>
    </w:pPr>
  </w:style>
  <w:style w:type="paragraph" w:styleId="3">
    <w:name w:val="Body Text"/>
    <w:basedOn w:val="1"/>
    <w:link w:val="11"/>
    <w:qFormat/>
    <w:uiPriority w:val="99"/>
    <w:rPr>
      <w:sz w:val="32"/>
    </w:rPr>
  </w:style>
  <w:style w:type="paragraph" w:styleId="4">
    <w:name w:val="Balloon Text"/>
    <w:basedOn w:val="1"/>
    <w:link w:val="15"/>
    <w:semiHidden/>
    <w:locked/>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character" w:styleId="8">
    <w:name w:val="page number"/>
    <w:basedOn w:val="7"/>
    <w:qFormat/>
    <w:uiPriority w:val="99"/>
    <w:rPr>
      <w:rFonts w:cs="Times New Roman"/>
    </w:rPr>
  </w:style>
  <w:style w:type="character" w:styleId="9">
    <w:name w:val="annotation reference"/>
    <w:basedOn w:val="7"/>
    <w:uiPriority w:val="99"/>
    <w:rPr>
      <w:rFonts w:cs="Times New Roman"/>
      <w:sz w:val="21"/>
      <w:szCs w:val="21"/>
    </w:rPr>
  </w:style>
  <w:style w:type="character" w:customStyle="1" w:styleId="10">
    <w:name w:val="批注文字 Char"/>
    <w:basedOn w:val="7"/>
    <w:link w:val="2"/>
    <w:semiHidden/>
    <w:locked/>
    <w:uiPriority w:val="99"/>
    <w:rPr>
      <w:rFonts w:cs="Times New Roman"/>
      <w:sz w:val="24"/>
      <w:szCs w:val="24"/>
    </w:rPr>
  </w:style>
  <w:style w:type="character" w:customStyle="1" w:styleId="11">
    <w:name w:val="正文文本 Char"/>
    <w:basedOn w:val="7"/>
    <w:link w:val="3"/>
    <w:semiHidden/>
    <w:locked/>
    <w:uiPriority w:val="99"/>
    <w:rPr>
      <w:rFonts w:cs="Times New Roman"/>
      <w:sz w:val="24"/>
      <w:szCs w:val="24"/>
    </w:rPr>
  </w:style>
  <w:style w:type="paragraph" w:customStyle="1" w:styleId="12">
    <w:name w:val="列出段落1"/>
    <w:basedOn w:val="1"/>
    <w:qFormat/>
    <w:uiPriority w:val="99"/>
    <w:pPr>
      <w:ind w:firstLine="420" w:firstLineChars="200"/>
    </w:pPr>
  </w:style>
  <w:style w:type="paragraph" w:styleId="13">
    <w:name w:val="List Paragraph"/>
    <w:basedOn w:val="1"/>
    <w:qFormat/>
    <w:uiPriority w:val="99"/>
    <w:pPr>
      <w:ind w:firstLine="420" w:firstLineChars="200"/>
    </w:pPr>
  </w:style>
  <w:style w:type="character" w:customStyle="1" w:styleId="14">
    <w:name w:val="页脚 Char"/>
    <w:basedOn w:val="7"/>
    <w:link w:val="5"/>
    <w:semiHidden/>
    <w:locked/>
    <w:uiPriority w:val="99"/>
    <w:rPr>
      <w:rFonts w:cs="Times New Roman"/>
      <w:sz w:val="18"/>
      <w:szCs w:val="18"/>
    </w:rPr>
  </w:style>
  <w:style w:type="character" w:customStyle="1" w:styleId="15">
    <w:name w:val="批注框文本 Char"/>
    <w:basedOn w:val="7"/>
    <w:link w:val="4"/>
    <w:semiHidden/>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4007</Words>
  <Characters>1642</Characters>
  <Lines>13</Lines>
  <Paragraphs>11</Paragraphs>
  <TotalTime>45</TotalTime>
  <ScaleCrop>false</ScaleCrop>
  <LinksUpToDate>false</LinksUpToDate>
  <CharactersWithSpaces>5638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2019-09-09T08:14:00Z</dcterms:created>
  <dc:creator>Administrator</dc:creator>
  <cp:lastModifiedBy>Administrator</cp:lastModifiedBy>
  <cp:lastPrinted>2019-09-11T02:55:00Z</cp:lastPrinted>
  <dcterms:modified xsi:type="dcterms:W3CDTF">2019-09-17T03:52:06Z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